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方正小标宋简体" w:hAnsi="方正小标宋简体" w:eastAsia="方正小标宋简体" w:cs="方正小标宋简体"/>
          <w:b w:val="0"/>
          <w:bCs/>
          <w:sz w:val="44"/>
          <w:szCs w:val="44"/>
          <w:lang w:val="en-US" w:eastAsia="zh-CN"/>
        </w:rPr>
      </w:pPr>
      <w:r>
        <w:rPr>
          <w:rFonts w:hint="eastAsia" w:ascii="方正小标宋简体" w:hAnsi="方正小标宋简体" w:eastAsia="方正小标宋简体" w:cs="方正小标宋简体"/>
          <w:b w:val="0"/>
          <w:bCs/>
          <w:sz w:val="44"/>
          <w:szCs w:val="44"/>
          <w:lang w:val="en-US" w:eastAsia="zh-CN"/>
        </w:rPr>
        <w:t>浙商</w:t>
      </w:r>
      <w:r>
        <w:rPr>
          <w:rFonts w:hint="eastAsia" w:ascii="方正小标宋简体" w:hAnsi="方正小标宋简体" w:eastAsia="方正小标宋简体" w:cs="方正小标宋简体"/>
          <w:b w:val="0"/>
          <w:bCs/>
          <w:sz w:val="44"/>
          <w:szCs w:val="44"/>
        </w:rPr>
        <w:t>太原分行押运服务</w:t>
      </w:r>
      <w:r>
        <w:rPr>
          <w:rFonts w:hint="eastAsia" w:ascii="方正小标宋简体" w:hAnsi="方正小标宋简体" w:eastAsia="方正小标宋简体" w:cs="方正小标宋简体"/>
          <w:b w:val="0"/>
          <w:bCs/>
          <w:sz w:val="44"/>
          <w:szCs w:val="44"/>
          <w:lang w:val="en-US" w:eastAsia="zh-CN"/>
        </w:rPr>
        <w:t>采购项目</w:t>
      </w: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_GB2312" w:hAnsi="仿宋_GB2312" w:eastAsia="仿宋_GB2312" w:cs="仿宋_GB2312"/>
          <w:b/>
          <w:sz w:val="32"/>
          <w:szCs w:val="32"/>
        </w:rPr>
      </w:pPr>
      <w:r>
        <w:rPr>
          <w:rFonts w:hint="eastAsia" w:ascii="方正小标宋简体" w:hAnsi="方正小标宋简体" w:eastAsia="方正小标宋简体" w:cs="方正小标宋简体"/>
          <w:b w:val="0"/>
          <w:bCs/>
          <w:sz w:val="44"/>
          <w:szCs w:val="44"/>
        </w:rPr>
        <w:t>采购说明书</w:t>
      </w:r>
    </w:p>
    <w:p>
      <w:pPr>
        <w:pStyle w:val="2"/>
        <w:keepNext w:val="0"/>
        <w:keepLines w:val="0"/>
        <w:pageBreakBefore w:val="0"/>
        <w:shd w:val="clear" w:color="auto" w:fill="FFFFFF"/>
        <w:kinsoku/>
        <w:wordWrap/>
        <w:overflowPunct/>
        <w:topLinePunct w:val="0"/>
        <w:autoSpaceDE w:val="0"/>
        <w:autoSpaceDN/>
        <w:bidi w:val="0"/>
        <w:adjustRightInd w:val="0"/>
        <w:spacing w:before="0" w:beforeAutospacing="0" w:line="360" w:lineRule="auto"/>
        <w:ind w:firstLine="640" w:firstLineChars="200"/>
        <w:contextualSpacing/>
        <w:jc w:val="both"/>
        <w:textAlignment w:val="auto"/>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rPr>
        <w:t xml:space="preserve">致：太原市神威守护押运有限责任公司 </w:t>
      </w:r>
      <w:r>
        <w:rPr>
          <w:rFonts w:hint="eastAsia" w:ascii="仿宋_GB2312" w:hAnsi="仿宋_GB2312" w:eastAsia="仿宋_GB2312" w:cs="仿宋_GB2312"/>
          <w:sz w:val="32"/>
          <w:szCs w:val="32"/>
          <w:u w:val="none"/>
        </w:rPr>
        <w:t xml:space="preserve">              </w:t>
      </w:r>
      <w:r>
        <w:rPr>
          <w:rFonts w:hint="eastAsia" w:ascii="仿宋_GB2312" w:hAnsi="仿宋_GB2312" w:eastAsia="仿宋_GB2312" w:cs="仿宋_GB2312"/>
          <w:sz w:val="32"/>
          <w:szCs w:val="32"/>
          <w:u w:val="single"/>
        </w:rPr>
        <w:t xml:space="preserve">  </w:t>
      </w:r>
    </w:p>
    <w:p>
      <w:pPr>
        <w:pStyle w:val="2"/>
        <w:keepNext w:val="0"/>
        <w:keepLines w:val="0"/>
        <w:pageBreakBefore w:val="0"/>
        <w:shd w:val="clear" w:color="auto" w:fill="FFFFFF"/>
        <w:kinsoku/>
        <w:wordWrap/>
        <w:overflowPunct/>
        <w:topLinePunct w:val="0"/>
        <w:autoSpaceDE w:val="0"/>
        <w:autoSpaceDN/>
        <w:bidi w:val="0"/>
        <w:adjustRightInd w:val="0"/>
        <w:spacing w:before="0" w:beforeAutospacing="0" w:line="360" w:lineRule="auto"/>
        <w:ind w:firstLine="640" w:firstLineChars="200"/>
        <w:contextualSpacing/>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根据国家法律法规及我行相关规章制度等有关规定，就太原分行押运服务项目进行采购，现将有关事项说明如下：</w:t>
      </w:r>
    </w:p>
    <w:p>
      <w:pPr>
        <w:keepNext w:val="0"/>
        <w:keepLines w:val="0"/>
        <w:pageBreakBefore w:val="0"/>
        <w:kinsoku/>
        <w:wordWrap/>
        <w:overflowPunct/>
        <w:topLinePunct w:val="0"/>
        <w:autoSpaceDN/>
        <w:bidi w:val="0"/>
        <w:spacing w:beforeAutospacing="0" w:line="360" w:lineRule="auto"/>
        <w:ind w:firstLine="640" w:firstLineChars="200"/>
        <w:textAlignment w:val="auto"/>
        <w:rPr>
          <w:rFonts w:hint="eastAsia" w:ascii="仿宋_GB2312" w:hAnsi="仿宋_GB2312" w:eastAsia="仿宋_GB2312" w:cs="仿宋_GB2312"/>
          <w:b w:val="0"/>
          <w:bCs w:val="0"/>
          <w:kern w:val="0"/>
          <w:sz w:val="32"/>
          <w:szCs w:val="32"/>
          <w:lang w:val="en-US" w:eastAsia="zh-CN" w:bidi="ar-SA"/>
        </w:rPr>
      </w:pPr>
      <w:r>
        <w:rPr>
          <w:rFonts w:hint="eastAsia" w:ascii="仿宋_GB2312" w:hAnsi="仿宋_GB2312" w:eastAsia="仿宋_GB2312" w:cs="仿宋_GB2312"/>
          <w:sz w:val="32"/>
          <w:szCs w:val="32"/>
        </w:rPr>
        <w:t>一、项目编号</w:t>
      </w:r>
      <w:r>
        <w:rPr>
          <w:rFonts w:hint="eastAsia" w:ascii="仿宋_GB2312" w:hAnsi="仿宋_GB2312" w:eastAsia="仿宋_GB2312" w:cs="仿宋_GB2312"/>
          <w:b w:val="0"/>
          <w:bCs w:val="0"/>
          <w:sz w:val="32"/>
          <w:szCs w:val="32"/>
        </w:rPr>
        <w:t>：TYJC2026YYDYb001</w:t>
      </w:r>
    </w:p>
    <w:p>
      <w:pPr>
        <w:pStyle w:val="2"/>
        <w:keepNext w:val="0"/>
        <w:keepLines w:val="0"/>
        <w:pageBreakBefore w:val="0"/>
        <w:shd w:val="clear" w:color="auto" w:fill="FFFFFF"/>
        <w:kinsoku/>
        <w:wordWrap/>
        <w:overflowPunct/>
        <w:topLinePunct w:val="0"/>
        <w:autoSpaceDE w:val="0"/>
        <w:autoSpaceDN/>
        <w:bidi w:val="0"/>
        <w:adjustRightInd w:val="0"/>
        <w:spacing w:before="0" w:beforeAutospacing="0" w:line="360" w:lineRule="auto"/>
        <w:ind w:firstLine="640" w:firstLineChars="200"/>
        <w:contextualSpacing/>
        <w:jc w:val="both"/>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二、项目名称：</w:t>
      </w:r>
      <w:r>
        <w:rPr>
          <w:rFonts w:hint="eastAsia" w:ascii="仿宋_GB2312" w:hAnsi="仿宋_GB2312" w:eastAsia="仿宋_GB2312" w:cs="仿宋_GB2312"/>
          <w:b w:val="0"/>
          <w:bCs w:val="0"/>
          <w:sz w:val="32"/>
          <w:szCs w:val="32"/>
          <w:lang w:val="en-US" w:eastAsia="zh-CN"/>
        </w:rPr>
        <w:t>浙商银行</w:t>
      </w:r>
      <w:r>
        <w:rPr>
          <w:rFonts w:hint="eastAsia" w:ascii="仿宋_GB2312" w:hAnsi="仿宋_GB2312" w:eastAsia="仿宋_GB2312" w:cs="仿宋_GB2312"/>
          <w:b w:val="0"/>
          <w:bCs w:val="0"/>
          <w:sz w:val="32"/>
          <w:szCs w:val="32"/>
        </w:rPr>
        <w:t>太原分行</w:t>
      </w:r>
      <w:r>
        <w:rPr>
          <w:rFonts w:hint="eastAsia" w:ascii="仿宋_GB2312" w:hAnsi="仿宋_GB2312" w:eastAsia="仿宋_GB2312" w:cs="仿宋_GB2312"/>
          <w:b w:val="0"/>
          <w:bCs w:val="0"/>
          <w:sz w:val="32"/>
          <w:szCs w:val="32"/>
          <w:lang w:val="en-US" w:eastAsia="zh-CN"/>
        </w:rPr>
        <w:t>武装押运采购</w:t>
      </w:r>
    </w:p>
    <w:p>
      <w:pPr>
        <w:pStyle w:val="2"/>
        <w:keepNext w:val="0"/>
        <w:keepLines w:val="0"/>
        <w:pageBreakBefore w:val="0"/>
        <w:shd w:val="clear" w:color="auto" w:fill="FFFFFF"/>
        <w:kinsoku/>
        <w:wordWrap/>
        <w:overflowPunct/>
        <w:topLinePunct w:val="0"/>
        <w:autoSpaceDE w:val="0"/>
        <w:autoSpaceDN/>
        <w:bidi w:val="0"/>
        <w:adjustRightInd w:val="0"/>
        <w:spacing w:before="0" w:beforeAutospacing="0" w:line="360" w:lineRule="auto"/>
        <w:ind w:firstLine="640" w:firstLineChars="200"/>
        <w:contextualSpacing/>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三、供应商资格要求：</w:t>
      </w:r>
    </w:p>
    <w:p>
      <w:pPr>
        <w:pStyle w:val="2"/>
        <w:keepNext w:val="0"/>
        <w:keepLines w:val="0"/>
        <w:pageBreakBefore w:val="0"/>
        <w:shd w:val="clear" w:color="auto" w:fill="FFFFFF"/>
        <w:kinsoku/>
        <w:wordWrap/>
        <w:overflowPunct/>
        <w:topLinePunct w:val="0"/>
        <w:autoSpaceDE w:val="0"/>
        <w:autoSpaceDN/>
        <w:bidi w:val="0"/>
        <w:adjustRightInd w:val="0"/>
        <w:spacing w:before="0" w:beforeAutospacing="0" w:line="360" w:lineRule="auto"/>
        <w:ind w:firstLine="640" w:firstLineChars="200"/>
        <w:contextualSpacing/>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1、在中华人民共和国境内依法设立，具有独立承担民事责任的能力；</w:t>
      </w:r>
    </w:p>
    <w:p>
      <w:pPr>
        <w:pStyle w:val="2"/>
        <w:keepNext w:val="0"/>
        <w:keepLines w:val="0"/>
        <w:pageBreakBefore w:val="0"/>
        <w:shd w:val="clear" w:color="auto" w:fill="FFFFFF"/>
        <w:kinsoku/>
        <w:wordWrap/>
        <w:overflowPunct/>
        <w:topLinePunct w:val="0"/>
        <w:autoSpaceDE w:val="0"/>
        <w:autoSpaceDN/>
        <w:bidi w:val="0"/>
        <w:adjustRightInd w:val="0"/>
        <w:spacing w:before="0" w:beforeAutospacing="0" w:line="360" w:lineRule="auto"/>
        <w:ind w:firstLine="640" w:firstLineChars="200"/>
        <w:contextualSpacing/>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2、</w:t>
      </w:r>
      <w:r>
        <w:rPr>
          <w:rFonts w:hint="eastAsia" w:ascii="仿宋_GB2312" w:hAnsi="仿宋_GB2312" w:eastAsia="仿宋_GB2312" w:cs="仿宋_GB2312"/>
          <w:b w:val="0"/>
          <w:bCs w:val="0"/>
          <w:sz w:val="32"/>
          <w:szCs w:val="32"/>
        </w:rPr>
        <w:t>投标人未被“中国执行信息公开网”（https://zxgk.court.gov.cn/shixin/）列入失信被执行人、未被“信用中国”（https://www.creditchina.gov.cn）列入重大税收违法失信主体、未被“中国政府采购网”（https://www.ccgp.gov.cn）列入政府采购严重违法失信行为记录名单、未被“国家企业信用信息公示系统”（https://www.gsxt.gov.cn/index.html）列入严重违法失信企业名单；</w:t>
      </w:r>
    </w:p>
    <w:p>
      <w:pPr>
        <w:pStyle w:val="2"/>
        <w:keepNext w:val="0"/>
        <w:keepLines w:val="0"/>
        <w:pageBreakBefore w:val="0"/>
        <w:shd w:val="clear" w:color="auto" w:fill="FFFFFF"/>
        <w:kinsoku/>
        <w:wordWrap/>
        <w:overflowPunct/>
        <w:topLinePunct w:val="0"/>
        <w:autoSpaceDE w:val="0"/>
        <w:autoSpaceDN/>
        <w:bidi w:val="0"/>
        <w:adjustRightInd w:val="0"/>
        <w:spacing w:before="0" w:beforeAutospacing="0" w:line="360" w:lineRule="auto"/>
        <w:ind w:firstLine="640" w:firstLineChars="200"/>
        <w:contextualSpacing/>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3、参加招标活动前三年内（新成立不满三年的单位自成立之日起算）在经营活动中没有重大违法记录；</w:t>
      </w:r>
    </w:p>
    <w:p>
      <w:pPr>
        <w:pStyle w:val="2"/>
        <w:keepNext w:val="0"/>
        <w:keepLines w:val="0"/>
        <w:pageBreakBefore w:val="0"/>
        <w:shd w:val="clear" w:color="auto" w:fill="FFFFFF"/>
        <w:kinsoku/>
        <w:wordWrap/>
        <w:overflowPunct/>
        <w:topLinePunct w:val="0"/>
        <w:autoSpaceDE w:val="0"/>
        <w:autoSpaceDN/>
        <w:bidi w:val="0"/>
        <w:adjustRightInd w:val="0"/>
        <w:spacing w:before="0" w:beforeAutospacing="0" w:line="360" w:lineRule="auto"/>
        <w:ind w:firstLine="640" w:firstLineChars="200"/>
        <w:contextualSpacing/>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4、单位负责人为同一人或者存在直接控股、管理关系的不同投标人，不得参加同一项目标段项下的投标活动；</w:t>
      </w:r>
    </w:p>
    <w:p>
      <w:pPr>
        <w:pStyle w:val="2"/>
        <w:keepNext w:val="0"/>
        <w:keepLines w:val="0"/>
        <w:pageBreakBefore w:val="0"/>
        <w:shd w:val="clear" w:color="auto" w:fill="FFFFFF"/>
        <w:kinsoku/>
        <w:wordWrap/>
        <w:overflowPunct/>
        <w:topLinePunct w:val="0"/>
        <w:autoSpaceDE w:val="0"/>
        <w:autoSpaceDN/>
        <w:bidi w:val="0"/>
        <w:adjustRightInd w:val="0"/>
        <w:spacing w:before="0" w:beforeAutospacing="0" w:line="360" w:lineRule="auto"/>
        <w:ind w:firstLine="640" w:firstLineChars="200"/>
        <w:contextualSpacing/>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5、具备《</w:t>
      </w:r>
      <w:r>
        <w:rPr>
          <w:rFonts w:hint="eastAsia" w:ascii="仿宋_GB2312" w:hAnsi="仿宋_GB2312" w:eastAsia="仿宋_GB2312" w:cs="仿宋_GB2312"/>
          <w:b w:val="0"/>
          <w:bCs w:val="0"/>
          <w:sz w:val="32"/>
          <w:szCs w:val="32"/>
          <w:lang w:val="en-US" w:eastAsia="zh-CN"/>
        </w:rPr>
        <w:t>山西省保安服务</w:t>
      </w:r>
      <w:r>
        <w:rPr>
          <w:rFonts w:hint="eastAsia" w:ascii="仿宋_GB2312" w:hAnsi="仿宋_GB2312" w:eastAsia="仿宋_GB2312" w:cs="仿宋_GB2312"/>
          <w:b w:val="0"/>
          <w:bCs w:val="0"/>
          <w:sz w:val="32"/>
          <w:szCs w:val="32"/>
        </w:rPr>
        <w:t>许可证》</w:t>
      </w:r>
      <w:r>
        <w:rPr>
          <w:rFonts w:hint="eastAsia" w:ascii="仿宋_GB2312" w:hAnsi="仿宋_GB2312" w:eastAsia="仿宋_GB2312" w:cs="仿宋_GB2312"/>
          <w:b w:val="0"/>
          <w:bCs w:val="0"/>
          <w:sz w:val="32"/>
          <w:szCs w:val="32"/>
          <w:lang w:eastAsia="zh-CN"/>
        </w:rPr>
        <w:t>；</w:t>
      </w:r>
    </w:p>
    <w:p>
      <w:pPr>
        <w:pStyle w:val="2"/>
        <w:keepNext w:val="0"/>
        <w:keepLines w:val="0"/>
        <w:pageBreakBefore w:val="0"/>
        <w:shd w:val="clear" w:color="auto" w:fill="FFFFFF"/>
        <w:kinsoku/>
        <w:wordWrap/>
        <w:overflowPunct/>
        <w:topLinePunct w:val="0"/>
        <w:autoSpaceDE w:val="0"/>
        <w:autoSpaceDN/>
        <w:bidi w:val="0"/>
        <w:adjustRightInd w:val="0"/>
        <w:spacing w:before="0" w:beforeAutospacing="0" w:line="360" w:lineRule="auto"/>
        <w:ind w:firstLine="640" w:firstLineChars="200"/>
        <w:contextualSpacing/>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6、本项目允许/不允许联合体投标</w:t>
      </w:r>
      <w:r>
        <w:rPr>
          <w:rFonts w:hint="eastAsia" w:ascii="仿宋_GB2312" w:hAnsi="仿宋_GB2312" w:eastAsia="仿宋_GB2312" w:cs="仿宋_GB2312"/>
          <w:b w:val="0"/>
          <w:bCs w:val="0"/>
          <w:sz w:val="32"/>
          <w:szCs w:val="32"/>
          <w:lang w:eastAsia="zh-CN"/>
        </w:rPr>
        <w:t>；</w:t>
      </w:r>
    </w:p>
    <w:p>
      <w:pPr>
        <w:pStyle w:val="2"/>
        <w:keepNext w:val="0"/>
        <w:keepLines w:val="0"/>
        <w:pageBreakBefore w:val="0"/>
        <w:shd w:val="clear" w:color="auto" w:fill="FFFFFF"/>
        <w:kinsoku/>
        <w:wordWrap/>
        <w:overflowPunct/>
        <w:topLinePunct w:val="0"/>
        <w:autoSpaceDE w:val="0"/>
        <w:autoSpaceDN/>
        <w:bidi w:val="0"/>
        <w:adjustRightInd w:val="0"/>
        <w:spacing w:before="0" w:beforeAutospacing="0" w:line="360" w:lineRule="auto"/>
        <w:ind w:firstLine="640" w:firstLineChars="200"/>
        <w:contextualSpacing/>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被列入失信被执行人、重大税收违法案件当事人名单、政府采购严重违法失信行为记录名单及其它不符合《中华人民共和国政府采购法》第二十二条规定条件的，其谈判响应将被拒绝</w:t>
      </w:r>
      <w:r>
        <w:rPr>
          <w:rFonts w:hint="eastAsia" w:ascii="仿宋_GB2312" w:hAnsi="仿宋_GB2312" w:eastAsia="仿宋_GB2312" w:cs="仿宋_GB2312"/>
          <w:b w:val="0"/>
          <w:bCs w:val="0"/>
          <w:sz w:val="32"/>
          <w:szCs w:val="32"/>
          <w:lang w:eastAsia="zh-CN"/>
        </w:rPr>
        <w:t>。</w:t>
      </w:r>
    </w:p>
    <w:p>
      <w:pPr>
        <w:pStyle w:val="2"/>
        <w:keepNext w:val="0"/>
        <w:keepLines w:val="0"/>
        <w:pageBreakBefore w:val="0"/>
        <w:kinsoku/>
        <w:wordWrap/>
        <w:overflowPunct/>
        <w:topLinePunct w:val="0"/>
        <w:autoSpaceDN/>
        <w:bidi w:val="0"/>
        <w:spacing w:before="0" w:beforeAutospacing="0" w:line="360" w:lineRule="auto"/>
        <w:ind w:firstLine="640" w:firstLineChars="200"/>
        <w:contextualSpacing/>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四、采购需求(货物或服务，包括</w:t>
      </w:r>
      <w:r>
        <w:rPr>
          <w:rFonts w:hint="eastAsia" w:ascii="仿宋_GB2312" w:hAnsi="仿宋_GB2312" w:eastAsia="仿宋_GB2312" w:cs="仿宋_GB2312"/>
          <w:sz w:val="32"/>
          <w:szCs w:val="32"/>
          <w:lang w:val="zh-TW"/>
        </w:rPr>
        <w:t>内容、用途、数量、简要技术要求</w:t>
      </w:r>
      <w:r>
        <w:rPr>
          <w:rFonts w:hint="eastAsia" w:ascii="仿宋_GB2312" w:hAnsi="仿宋_GB2312" w:eastAsia="仿宋_GB2312" w:cs="仿宋_GB2312"/>
          <w:sz w:val="32"/>
          <w:szCs w:val="32"/>
        </w:rPr>
        <w:t>规格、型号、参数等）：</w:t>
      </w:r>
    </w:p>
    <w:p>
      <w:pPr>
        <w:pStyle w:val="2"/>
        <w:keepNext w:val="0"/>
        <w:keepLines w:val="0"/>
        <w:pageBreakBefore w:val="0"/>
        <w:kinsoku/>
        <w:wordWrap/>
        <w:overflowPunct/>
        <w:topLinePunct w:val="0"/>
        <w:autoSpaceDN/>
        <w:bidi w:val="0"/>
        <w:spacing w:before="0" w:beforeAutospacing="0" w:line="360" w:lineRule="auto"/>
        <w:ind w:firstLine="640" w:firstLineChars="200"/>
        <w:contextualSpacing/>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（一）承担如下标的物的安全押运和护卫服务：</w:t>
      </w:r>
    </w:p>
    <w:p>
      <w:pPr>
        <w:pStyle w:val="2"/>
        <w:keepNext w:val="0"/>
        <w:keepLines w:val="0"/>
        <w:pageBreakBefore w:val="0"/>
        <w:kinsoku/>
        <w:wordWrap/>
        <w:overflowPunct/>
        <w:topLinePunct w:val="0"/>
        <w:autoSpaceDN/>
        <w:bidi w:val="0"/>
        <w:spacing w:before="0" w:beforeAutospacing="0" w:line="360" w:lineRule="auto"/>
        <w:ind w:firstLine="640" w:firstLineChars="200"/>
        <w:contextualSpacing/>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1.接送营业款尾箱（包）；</w:t>
      </w:r>
    </w:p>
    <w:p>
      <w:pPr>
        <w:pStyle w:val="2"/>
        <w:keepNext w:val="0"/>
        <w:keepLines w:val="0"/>
        <w:pageBreakBefore w:val="0"/>
        <w:kinsoku/>
        <w:wordWrap/>
        <w:overflowPunct/>
        <w:topLinePunct w:val="0"/>
        <w:autoSpaceDN/>
        <w:bidi w:val="0"/>
        <w:spacing w:before="0" w:beforeAutospacing="0" w:line="360" w:lineRule="auto"/>
        <w:ind w:firstLine="640" w:firstLineChars="200"/>
        <w:contextualSpacing/>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2.接送营业网点间的现金调拨；</w:t>
      </w:r>
    </w:p>
    <w:p>
      <w:pPr>
        <w:pStyle w:val="2"/>
        <w:keepNext w:val="0"/>
        <w:keepLines w:val="0"/>
        <w:pageBreakBefore w:val="0"/>
        <w:kinsoku/>
        <w:wordWrap/>
        <w:overflowPunct/>
        <w:topLinePunct w:val="0"/>
        <w:autoSpaceDN/>
        <w:bidi w:val="0"/>
        <w:spacing w:before="0" w:beforeAutospacing="0" w:line="360" w:lineRule="auto"/>
        <w:ind w:firstLine="640" w:firstLineChars="200"/>
        <w:contextualSpacing/>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3.自助设备清机、加卸钞或维护；</w:t>
      </w:r>
    </w:p>
    <w:p>
      <w:pPr>
        <w:pStyle w:val="2"/>
        <w:keepNext w:val="0"/>
        <w:keepLines w:val="0"/>
        <w:pageBreakBefore w:val="0"/>
        <w:kinsoku/>
        <w:wordWrap/>
        <w:overflowPunct/>
        <w:topLinePunct w:val="0"/>
        <w:autoSpaceDN/>
        <w:bidi w:val="0"/>
        <w:spacing w:before="0" w:beforeAutospacing="0" w:line="360" w:lineRule="auto"/>
        <w:ind w:firstLine="640" w:firstLineChars="200"/>
        <w:contextualSpacing/>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4.营业网点上门收款；</w:t>
      </w:r>
    </w:p>
    <w:p>
      <w:pPr>
        <w:pStyle w:val="2"/>
        <w:keepNext w:val="0"/>
        <w:keepLines w:val="0"/>
        <w:pageBreakBefore w:val="0"/>
        <w:kinsoku/>
        <w:wordWrap/>
        <w:overflowPunct/>
        <w:topLinePunct w:val="0"/>
        <w:autoSpaceDN/>
        <w:bidi w:val="0"/>
        <w:spacing w:before="0" w:beforeAutospacing="0" w:line="360" w:lineRule="auto"/>
        <w:ind w:firstLine="640" w:firstLineChars="200"/>
        <w:contextualSpacing/>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5.向人民银行和其他银行调、缴款业务；</w:t>
      </w:r>
    </w:p>
    <w:p>
      <w:pPr>
        <w:pStyle w:val="2"/>
        <w:keepNext w:val="0"/>
        <w:keepLines w:val="0"/>
        <w:pageBreakBefore w:val="0"/>
        <w:kinsoku/>
        <w:wordWrap/>
        <w:overflowPunct/>
        <w:topLinePunct w:val="0"/>
        <w:autoSpaceDN/>
        <w:bidi w:val="0"/>
        <w:spacing w:before="0" w:beforeAutospacing="0" w:line="360" w:lineRule="auto"/>
        <w:ind w:firstLine="640" w:firstLineChars="200"/>
        <w:contextualSpacing/>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6.传递营业网点票据或重要空白凭证等业务；</w:t>
      </w:r>
    </w:p>
    <w:p>
      <w:pPr>
        <w:pStyle w:val="2"/>
        <w:keepNext w:val="0"/>
        <w:keepLines w:val="0"/>
        <w:pageBreakBefore w:val="0"/>
        <w:kinsoku/>
        <w:wordWrap/>
        <w:overflowPunct/>
        <w:topLinePunct w:val="0"/>
        <w:autoSpaceDN/>
        <w:bidi w:val="0"/>
        <w:spacing w:before="0" w:beforeAutospacing="0" w:line="360" w:lineRule="auto"/>
        <w:ind w:firstLine="640" w:firstLineChars="200"/>
        <w:contextualSpacing/>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7.在时间、条件许可的情况下，完成甲方临时押运、护卫的贵重标的物。</w:t>
      </w:r>
    </w:p>
    <w:p>
      <w:pPr>
        <w:pStyle w:val="2"/>
        <w:keepNext w:val="0"/>
        <w:keepLines w:val="0"/>
        <w:pageBreakBefore w:val="0"/>
        <w:kinsoku/>
        <w:wordWrap/>
        <w:overflowPunct/>
        <w:topLinePunct w:val="0"/>
        <w:autoSpaceDN/>
        <w:bidi w:val="0"/>
        <w:spacing w:before="0" w:beforeAutospacing="0" w:line="360" w:lineRule="auto"/>
        <w:ind w:firstLine="640" w:firstLineChars="200"/>
        <w:contextualSpacing/>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（二）按照确定的网点顺序或押运线路时间负责全程、安全、准点押运护卫。</w:t>
      </w:r>
    </w:p>
    <w:p>
      <w:pPr>
        <w:pStyle w:val="2"/>
        <w:spacing w:before="0" w:beforeAutospacing="0"/>
        <w:ind w:firstLine="640" w:firstLineChars="200"/>
        <w:contextualSpacing/>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（三）服务要求：</w:t>
      </w:r>
    </w:p>
    <w:p>
      <w:pPr>
        <w:pStyle w:val="2"/>
        <w:spacing w:before="0" w:beforeAutospacing="0"/>
        <w:ind w:firstLine="640" w:firstLineChars="200"/>
        <w:contextualSpacing/>
        <w:jc w:val="both"/>
        <w:rPr>
          <w:rFonts w:hint="eastAsia" w:ascii="仿宋_GB2312" w:eastAsia="仿宋_GB2312"/>
          <w:sz w:val="32"/>
          <w:szCs w:val="32"/>
          <w:highlight w:val="none"/>
        </w:rPr>
      </w:pPr>
      <w:r>
        <w:rPr>
          <w:rFonts w:hint="eastAsia" w:ascii="仿宋_GB2312" w:eastAsia="仿宋_GB2312"/>
          <w:sz w:val="32"/>
          <w:szCs w:val="32"/>
          <w:highlight w:val="none"/>
          <w:lang w:eastAsia="zh-CN"/>
        </w:rPr>
        <w:t>（</w:t>
      </w:r>
      <w:r>
        <w:rPr>
          <w:rFonts w:hint="eastAsia" w:ascii="仿宋_GB2312" w:eastAsia="仿宋_GB2312"/>
          <w:sz w:val="32"/>
          <w:szCs w:val="32"/>
          <w:highlight w:val="none"/>
          <w:lang w:val="en-US" w:eastAsia="zh-CN"/>
        </w:rPr>
        <w:t>1</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供应商需按照协议约定合理配置押运车组人员核运钞车辆，做到准时出车、按时到达，满足我行需求。跟我我行网点分布情况，提供</w:t>
      </w:r>
      <w:r>
        <w:rPr>
          <w:rFonts w:hint="eastAsia" w:ascii="仿宋_GB2312" w:eastAsia="仿宋_GB2312"/>
          <w:sz w:val="32"/>
          <w:szCs w:val="32"/>
          <w:highlight w:val="none"/>
          <w:lang w:val="en-US" w:eastAsia="zh-CN"/>
        </w:rPr>
        <w:t>5</w:t>
      </w:r>
      <w:r>
        <w:rPr>
          <w:rFonts w:hint="eastAsia" w:ascii="仿宋_GB2312" w:eastAsia="仿宋_GB2312"/>
          <w:sz w:val="32"/>
          <w:szCs w:val="32"/>
          <w:highlight w:val="none"/>
        </w:rPr>
        <w:t>人车组服务，每个</w:t>
      </w:r>
      <w:r>
        <w:rPr>
          <w:rFonts w:hint="eastAsia" w:ascii="仿宋_GB2312" w:eastAsia="仿宋_GB2312"/>
          <w:sz w:val="32"/>
          <w:szCs w:val="32"/>
          <w:highlight w:val="none"/>
          <w:lang w:val="en-US" w:eastAsia="zh-CN"/>
        </w:rPr>
        <w:t>5</w:t>
      </w:r>
      <w:r>
        <w:rPr>
          <w:rFonts w:hint="eastAsia" w:ascii="仿宋_GB2312" w:eastAsia="仿宋_GB2312"/>
          <w:sz w:val="32"/>
          <w:szCs w:val="32"/>
          <w:highlight w:val="none"/>
        </w:rPr>
        <w:t>人车组配备运钞车1辆，驾驶员1人、押运员2人、提</w:t>
      </w:r>
      <w:r>
        <w:rPr>
          <w:rFonts w:hint="eastAsia" w:ascii="仿宋_GB2312" w:eastAsia="仿宋_GB2312"/>
          <w:sz w:val="32"/>
          <w:szCs w:val="32"/>
          <w:highlight w:val="none"/>
          <w:lang w:val="en-US" w:eastAsia="zh-CN"/>
        </w:rPr>
        <w:t>包</w:t>
      </w:r>
      <w:r>
        <w:rPr>
          <w:rFonts w:hint="eastAsia" w:ascii="仿宋_GB2312" w:eastAsia="仿宋_GB2312"/>
          <w:sz w:val="32"/>
          <w:szCs w:val="32"/>
          <w:highlight w:val="none"/>
        </w:rPr>
        <w:t>员</w:t>
      </w:r>
      <w:r>
        <w:rPr>
          <w:rFonts w:hint="eastAsia" w:ascii="仿宋_GB2312" w:eastAsia="仿宋_GB2312"/>
          <w:sz w:val="32"/>
          <w:szCs w:val="32"/>
          <w:highlight w:val="none"/>
          <w:lang w:val="en-US" w:eastAsia="zh-CN"/>
        </w:rPr>
        <w:t>2</w:t>
      </w:r>
      <w:r>
        <w:rPr>
          <w:rFonts w:hint="eastAsia" w:ascii="仿宋_GB2312" w:eastAsia="仿宋_GB2312"/>
          <w:sz w:val="32"/>
          <w:szCs w:val="32"/>
          <w:highlight w:val="none"/>
        </w:rPr>
        <w:t>人。</w:t>
      </w:r>
    </w:p>
    <w:p>
      <w:pPr>
        <w:pStyle w:val="2"/>
        <w:spacing w:before="0" w:beforeAutospacing="0"/>
        <w:ind w:firstLine="640" w:firstLineChars="200"/>
        <w:contextualSpacing/>
        <w:jc w:val="both"/>
        <w:rPr>
          <w:rFonts w:hint="eastAsia" w:ascii="仿宋_GB2312" w:eastAsia="仿宋_GB2312"/>
          <w:sz w:val="32"/>
          <w:szCs w:val="32"/>
          <w:highlight w:val="none"/>
        </w:rPr>
      </w:pPr>
      <w:r>
        <w:rPr>
          <w:rFonts w:hint="eastAsia" w:ascii="仿宋_GB2312" w:eastAsia="仿宋_GB2312"/>
          <w:sz w:val="32"/>
          <w:szCs w:val="32"/>
          <w:highlight w:val="none"/>
        </w:rPr>
        <w:t>(2）供应商提供的专用运钞车的性能和安全标准，必须获得公安、工商等有权审批部门的批准，具备提供押运服务的资质；独立、完全履行协议约定的押运任务，不将押运任</w:t>
      </w:r>
      <w:r>
        <w:rPr>
          <w:rFonts w:hint="eastAsia" w:ascii="仿宋_GB2312" w:hAnsi="仿宋_GB2312" w:eastAsia="仿宋_GB2312" w:cs="仿宋_GB2312"/>
          <w:sz w:val="32"/>
          <w:szCs w:val="32"/>
          <w:highlight w:val="none"/>
        </w:rPr>
        <w:t>务进行转包或分包。供应商要保证其派出的专职押运员和驾</w:t>
      </w:r>
      <w:r>
        <w:rPr>
          <w:rFonts w:hint="eastAsia" w:ascii="仿宋_GB2312" w:eastAsia="仿宋_GB2312"/>
          <w:sz w:val="32"/>
          <w:szCs w:val="32"/>
          <w:highlight w:val="none"/>
        </w:rPr>
        <w:t>驶员政治素质好，工作责任心强，作风正派，身心健康，具有抵御外来侵害的能力，并按规定为人员配备武器装备和统一着装，佩戴贴有本人照片和带编号的证件上岗。</w:t>
      </w:r>
    </w:p>
    <w:p>
      <w:pPr>
        <w:pStyle w:val="2"/>
        <w:spacing w:before="0" w:beforeAutospacing="0"/>
        <w:ind w:firstLine="640" w:firstLineChars="200"/>
        <w:contextualSpacing/>
        <w:jc w:val="both"/>
        <w:rPr>
          <w:rFonts w:hint="eastAsia" w:ascii="仿宋_GB2312" w:hAnsi="仿宋_GB2312" w:eastAsia="仿宋_GB2312" w:cs="仿宋_GB2312"/>
          <w:sz w:val="32"/>
          <w:szCs w:val="32"/>
          <w:highlight w:val="none"/>
        </w:rPr>
      </w:pPr>
      <w:r>
        <w:rPr>
          <w:rFonts w:hint="eastAsia" w:ascii="仿宋_GB2312" w:eastAsia="仿宋_GB2312"/>
          <w:sz w:val="32"/>
          <w:szCs w:val="32"/>
          <w:highlight w:val="none"/>
        </w:rPr>
        <w:t>(3)供应商的押运车辆要尽量靠近我行营业网点，押运</w:t>
      </w:r>
      <w:r>
        <w:rPr>
          <w:rFonts w:hint="eastAsia" w:ascii="仿宋_GB2312" w:hAnsi="仿宋_GB2312" w:eastAsia="仿宋_GB2312" w:cs="仿宋_GB2312"/>
          <w:sz w:val="32"/>
          <w:szCs w:val="32"/>
          <w:highlight w:val="none"/>
        </w:rPr>
        <w:t>员负责提</w:t>
      </w:r>
      <w:r>
        <w:rPr>
          <w:rFonts w:hint="eastAsia" w:ascii="仿宋_GB2312" w:hAnsi="仿宋_GB2312" w:eastAsia="仿宋_GB2312" w:cs="仿宋_GB2312"/>
          <w:sz w:val="32"/>
          <w:szCs w:val="32"/>
          <w:highlight w:val="none"/>
          <w:lang w:val="en-US" w:eastAsia="zh-CN"/>
        </w:rPr>
        <w:t>包</w:t>
      </w:r>
      <w:r>
        <w:rPr>
          <w:rFonts w:hint="eastAsia" w:ascii="仿宋_GB2312" w:hAnsi="仿宋_GB2312" w:eastAsia="仿宋_GB2312" w:cs="仿宋_GB2312"/>
          <w:sz w:val="32"/>
          <w:szCs w:val="32"/>
          <w:highlight w:val="none"/>
        </w:rPr>
        <w:t>员和款箱往返运钞车与营业网点之间及交接过程中人员和款箱安全。送款箱时，提</w:t>
      </w:r>
      <w:r>
        <w:rPr>
          <w:rFonts w:hint="eastAsia" w:ascii="仿宋_GB2312" w:hAnsi="仿宋_GB2312" w:eastAsia="仿宋_GB2312" w:cs="仿宋_GB2312"/>
          <w:sz w:val="32"/>
          <w:szCs w:val="32"/>
          <w:highlight w:val="none"/>
          <w:lang w:val="en-US" w:eastAsia="zh-CN"/>
        </w:rPr>
        <w:t>包</w:t>
      </w:r>
      <w:r>
        <w:rPr>
          <w:rFonts w:hint="eastAsia" w:ascii="仿宋_GB2312" w:hAnsi="仿宋_GB2312" w:eastAsia="仿宋_GB2312" w:cs="仿宋_GB2312"/>
          <w:sz w:val="32"/>
          <w:szCs w:val="32"/>
          <w:highlight w:val="none"/>
        </w:rPr>
        <w:t>员送款箱进入我行营业网点</w:t>
      </w:r>
      <w:r>
        <w:rPr>
          <w:rFonts w:hint="eastAsia" w:ascii="仿宋_GB2312" w:hAnsi="仿宋_GB2312" w:eastAsia="仿宋_GB2312" w:cs="仿宋_GB2312"/>
          <w:sz w:val="32"/>
          <w:szCs w:val="32"/>
          <w:highlight w:val="none"/>
          <w:lang w:val="en-US" w:eastAsia="zh-CN"/>
        </w:rPr>
        <w:t>指定</w:t>
      </w:r>
      <w:r>
        <w:rPr>
          <w:rFonts w:hint="eastAsia" w:ascii="仿宋_GB2312" w:hAnsi="仿宋_GB2312" w:eastAsia="仿宋_GB2312" w:cs="仿宋_GB2312"/>
          <w:sz w:val="32"/>
          <w:szCs w:val="32"/>
          <w:highlight w:val="none"/>
        </w:rPr>
        <w:t>交接区，待我行2名当班人员在监控下确认提</w:t>
      </w:r>
      <w:r>
        <w:rPr>
          <w:rFonts w:hint="eastAsia" w:ascii="仿宋_GB2312" w:hAnsi="仿宋_GB2312" w:eastAsia="仿宋_GB2312" w:cs="仿宋_GB2312"/>
          <w:sz w:val="32"/>
          <w:szCs w:val="32"/>
          <w:highlight w:val="none"/>
          <w:lang w:val="en-US" w:eastAsia="zh-CN"/>
        </w:rPr>
        <w:t>包</w:t>
      </w:r>
      <w:r>
        <w:rPr>
          <w:rFonts w:hint="eastAsia" w:ascii="仿宋_GB2312" w:hAnsi="仿宋_GB2312" w:eastAsia="仿宋_GB2312" w:cs="仿宋_GB2312"/>
          <w:sz w:val="32"/>
          <w:szCs w:val="32"/>
          <w:highlight w:val="none"/>
        </w:rPr>
        <w:t>员身份并查验款箱及锁具、封签完好无损、清点款项数量无误后，双方当面在《交接登记簿》上交叉签字完毕、移交款箱，提</w:t>
      </w:r>
      <w:r>
        <w:rPr>
          <w:rFonts w:hint="eastAsia" w:ascii="仿宋_GB2312" w:hAnsi="仿宋_GB2312" w:eastAsia="仿宋_GB2312" w:cs="仿宋_GB2312"/>
          <w:sz w:val="32"/>
          <w:szCs w:val="32"/>
          <w:highlight w:val="none"/>
          <w:lang w:val="en-US" w:eastAsia="zh-CN"/>
        </w:rPr>
        <w:t>包</w:t>
      </w:r>
      <w:r>
        <w:rPr>
          <w:rFonts w:hint="eastAsia" w:ascii="仿宋_GB2312" w:hAnsi="仿宋_GB2312" w:eastAsia="仿宋_GB2312" w:cs="仿宋_GB2312"/>
          <w:sz w:val="32"/>
          <w:szCs w:val="32"/>
          <w:highlight w:val="none"/>
        </w:rPr>
        <w:t>员在离开交接区并闭锁</w:t>
      </w:r>
      <w:r>
        <w:rPr>
          <w:rFonts w:hint="eastAsia" w:ascii="仿宋_GB2312" w:hAnsi="仿宋_GB2312" w:eastAsia="仿宋_GB2312" w:cs="仿宋_GB2312"/>
          <w:sz w:val="32"/>
          <w:szCs w:val="32"/>
          <w:highlight w:val="none"/>
          <w:lang w:val="en-US" w:eastAsia="zh-CN"/>
        </w:rPr>
        <w:t>联动</w:t>
      </w:r>
      <w:r>
        <w:rPr>
          <w:rFonts w:hint="eastAsia" w:ascii="仿宋_GB2312" w:hAnsi="仿宋_GB2312" w:eastAsia="仿宋_GB2312" w:cs="仿宋_GB2312"/>
          <w:sz w:val="32"/>
          <w:szCs w:val="32"/>
          <w:highlight w:val="none"/>
        </w:rPr>
        <w:t>门后离开网点；接款箱时，提</w:t>
      </w:r>
      <w:r>
        <w:rPr>
          <w:rFonts w:hint="eastAsia" w:ascii="仿宋_GB2312" w:hAnsi="仿宋_GB2312" w:eastAsia="仿宋_GB2312" w:cs="仿宋_GB2312"/>
          <w:sz w:val="32"/>
          <w:szCs w:val="32"/>
          <w:highlight w:val="none"/>
          <w:lang w:val="en-US" w:eastAsia="zh-CN"/>
        </w:rPr>
        <w:t>包</w:t>
      </w:r>
      <w:r>
        <w:rPr>
          <w:rFonts w:hint="eastAsia" w:ascii="仿宋_GB2312" w:hAnsi="仿宋_GB2312" w:eastAsia="仿宋_GB2312" w:cs="仿宋_GB2312"/>
          <w:sz w:val="32"/>
          <w:szCs w:val="32"/>
          <w:highlight w:val="none"/>
        </w:rPr>
        <w:t>员在我行网点工作人员确认其身份无误后进入营业网点</w:t>
      </w:r>
      <w:r>
        <w:rPr>
          <w:rFonts w:hint="eastAsia" w:ascii="仿宋_GB2312" w:hAnsi="仿宋_GB2312" w:eastAsia="仿宋_GB2312" w:cs="仿宋_GB2312"/>
          <w:sz w:val="32"/>
          <w:szCs w:val="32"/>
          <w:highlight w:val="none"/>
          <w:lang w:val="en-US" w:eastAsia="zh-CN"/>
        </w:rPr>
        <w:t>指定</w:t>
      </w:r>
      <w:r>
        <w:rPr>
          <w:rFonts w:hint="eastAsia" w:ascii="仿宋_GB2312" w:hAnsi="仿宋_GB2312" w:eastAsia="仿宋_GB2312" w:cs="仿宋_GB2312"/>
          <w:sz w:val="32"/>
          <w:szCs w:val="32"/>
          <w:highlight w:val="none"/>
        </w:rPr>
        <w:t>交接区，在监控下查验款箱及锁具、封签完好无损、清点款箱数量无误后，与我行2名当班人员当面在《交接登记簿》上交叉签字完毕，携带接收的款箱同时离开交接区并闭锁联动门后离开。</w:t>
      </w:r>
    </w:p>
    <w:p>
      <w:pPr>
        <w:pStyle w:val="2"/>
        <w:spacing w:before="0" w:beforeAutospacing="0"/>
        <w:ind w:firstLine="640" w:firstLineChars="200"/>
        <w:contextualSpacing/>
        <w:jc w:val="both"/>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供应商为押运车组人员配备的武器装备和提供的专用运钞车必须符合公安部门的要求并保持良好状态，并将各押运车组的车型、车牌号以书面方式报我行备案，如有变动供应商必须提前2天书面向我行报备，以备核对验证。</w:t>
      </w:r>
    </w:p>
    <w:p>
      <w:pPr>
        <w:pStyle w:val="2"/>
        <w:keepNext w:val="0"/>
        <w:keepLines w:val="0"/>
        <w:pageBreakBefore w:val="0"/>
        <w:kinsoku/>
        <w:wordWrap/>
        <w:overflowPunct/>
        <w:topLinePunct w:val="0"/>
        <w:autoSpaceDN/>
        <w:bidi w:val="0"/>
        <w:spacing w:before="0" w:beforeAutospacing="0" w:line="360" w:lineRule="auto"/>
        <w:ind w:firstLine="640" w:firstLineChars="200"/>
        <w:contextualSpacing/>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highlight w:val="none"/>
        </w:rPr>
        <w:t>(5）为减少风险，确保发生案件事故后赔偿的适时性，供应商的专用运钞车要按规定购买好财产保险。供应商所有的专用运钞车及安防设备的维修保养及其一切费用开支，由供应商自行负责承担；供应商派出人员的工资、奖金、服装、医疗、保险、伤亡抚恤等一切费用均由供应商自行承担。</w:t>
      </w:r>
    </w:p>
    <w:p>
      <w:pPr>
        <w:pStyle w:val="2"/>
        <w:keepNext w:val="0"/>
        <w:keepLines w:val="0"/>
        <w:pageBreakBefore w:val="0"/>
        <w:kinsoku/>
        <w:wordWrap/>
        <w:overflowPunct/>
        <w:topLinePunct w:val="0"/>
        <w:autoSpaceDN/>
        <w:bidi w:val="0"/>
        <w:spacing w:before="0" w:beforeAutospacing="0" w:line="360" w:lineRule="auto"/>
        <w:ind w:firstLine="640" w:firstLineChars="200"/>
        <w:contextualSpacing/>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五、服务期限：</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w:t>
      </w:r>
    </w:p>
    <w:p>
      <w:pPr>
        <w:pStyle w:val="2"/>
        <w:keepNext w:val="0"/>
        <w:keepLines w:val="0"/>
        <w:pageBreakBefore w:val="0"/>
        <w:kinsoku/>
        <w:wordWrap/>
        <w:overflowPunct/>
        <w:topLinePunct w:val="0"/>
        <w:autoSpaceDN/>
        <w:bidi w:val="0"/>
        <w:spacing w:before="0" w:beforeAutospacing="0" w:line="360" w:lineRule="auto"/>
        <w:ind w:firstLine="640" w:firstLineChars="200"/>
        <w:contextualSpacing/>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六</w:t>
      </w:r>
      <w:r>
        <w:rPr>
          <w:rFonts w:hint="eastAsia" w:ascii="仿宋_GB2312" w:hAnsi="仿宋_GB2312" w:eastAsia="仿宋_GB2312" w:cs="仿宋_GB2312"/>
          <w:sz w:val="32"/>
          <w:szCs w:val="32"/>
        </w:rPr>
        <w:t>、采购结果有效期：</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w:t>
      </w:r>
    </w:p>
    <w:p>
      <w:pPr>
        <w:pStyle w:val="2"/>
        <w:keepNext w:val="0"/>
        <w:keepLines w:val="0"/>
        <w:pageBreakBefore w:val="0"/>
        <w:kinsoku/>
        <w:wordWrap/>
        <w:overflowPunct/>
        <w:topLinePunct w:val="0"/>
        <w:autoSpaceDN/>
        <w:bidi w:val="0"/>
        <w:spacing w:before="0" w:beforeAutospacing="0" w:line="360" w:lineRule="auto"/>
        <w:ind w:firstLine="640" w:firstLineChars="200"/>
        <w:contextualSpacing/>
        <w:jc w:val="both"/>
        <w:textAlignment w:val="auto"/>
        <w:rPr>
          <w:rFonts w:hint="eastAsia" w:ascii="仿宋_GB2312" w:eastAsia="仿宋_GB2312"/>
          <w:sz w:val="32"/>
          <w:szCs w:val="32"/>
        </w:rPr>
      </w:pPr>
      <w:r>
        <w:rPr>
          <w:rFonts w:hint="eastAsia" w:ascii="仿宋_GB2312" w:hAnsi="仿宋_GB2312" w:eastAsia="仿宋_GB2312" w:cs="仿宋_GB2312"/>
          <w:sz w:val="32"/>
          <w:szCs w:val="32"/>
          <w:lang w:val="en-US" w:eastAsia="zh-CN"/>
        </w:rPr>
        <w:t>七</w:t>
      </w:r>
      <w:r>
        <w:rPr>
          <w:rFonts w:hint="eastAsia" w:ascii="仿宋_GB2312" w:hAnsi="仿宋_GB2312" w:eastAsia="仿宋_GB2312" w:cs="仿宋_GB2312"/>
          <w:sz w:val="32"/>
          <w:szCs w:val="32"/>
        </w:rPr>
        <w:t>、报价一览表：</w:t>
      </w:r>
      <w:r>
        <w:rPr>
          <w:rFonts w:hint="eastAsia" w:ascii="仿宋_GB2312" w:eastAsia="仿宋_GB2312"/>
          <w:sz w:val="32"/>
          <w:szCs w:val="32"/>
        </w:rPr>
        <w:t xml:space="preserve"> </w:t>
      </w:r>
    </w:p>
    <w:p>
      <w:pPr>
        <w:contextualSpacing/>
        <w:jc w:val="center"/>
        <w:rPr>
          <w:rFonts w:hint="eastAsia" w:ascii="仿宋_GB2312" w:hAnsi="宋体" w:eastAsia="仿宋_GB2312"/>
          <w:bCs/>
          <w:sz w:val="32"/>
          <w:szCs w:val="32"/>
        </w:rPr>
      </w:pPr>
      <w:r>
        <w:rPr>
          <w:rFonts w:ascii="楷体_GB2312" w:hAnsi="黑体" w:eastAsia="楷体_GB2312"/>
          <w:sz w:val="32"/>
          <w:szCs w:val="32"/>
        </w:rPr>
        <w:t>太原分行押运服务</w:t>
      </w:r>
      <w:r>
        <w:rPr>
          <w:rFonts w:hint="eastAsia" w:ascii="仿宋_GB2312" w:hAnsi="宋体" w:eastAsia="仿宋_GB2312"/>
          <w:bCs/>
          <w:sz w:val="32"/>
          <w:szCs w:val="32"/>
        </w:rPr>
        <w:t>报价一览表</w:t>
      </w:r>
    </w:p>
    <w:tbl>
      <w:tblPr>
        <w:tblStyle w:val="3"/>
        <w:tblW w:w="5167" w:type="pct"/>
        <w:jc w:val="center"/>
        <w:tblLayout w:type="fixed"/>
        <w:tblCellMar>
          <w:top w:w="0" w:type="dxa"/>
          <w:left w:w="108" w:type="dxa"/>
          <w:bottom w:w="0" w:type="dxa"/>
          <w:right w:w="108" w:type="dxa"/>
        </w:tblCellMar>
      </w:tblPr>
      <w:tblGrid>
        <w:gridCol w:w="603"/>
        <w:gridCol w:w="1617"/>
        <w:gridCol w:w="1370"/>
        <w:gridCol w:w="914"/>
        <w:gridCol w:w="1418"/>
        <w:gridCol w:w="1777"/>
        <w:gridCol w:w="1108"/>
      </w:tblGrid>
      <w:tr>
        <w:tblPrEx>
          <w:tblCellMar>
            <w:top w:w="0" w:type="dxa"/>
            <w:left w:w="108" w:type="dxa"/>
            <w:bottom w:w="0" w:type="dxa"/>
            <w:right w:w="108" w:type="dxa"/>
          </w:tblCellMar>
        </w:tblPrEx>
        <w:trPr>
          <w:trHeight w:val="577" w:hRule="atLeast"/>
          <w:jc w:val="center"/>
        </w:trPr>
        <w:tc>
          <w:tcPr>
            <w:tcW w:w="342" w:type="pct"/>
            <w:tcBorders>
              <w:top w:val="single" w:color="auto" w:sz="4" w:space="0"/>
              <w:left w:val="single" w:color="auto" w:sz="4" w:space="0"/>
              <w:bottom w:val="single" w:color="auto" w:sz="4" w:space="0"/>
              <w:right w:val="single" w:color="auto" w:sz="4" w:space="0"/>
            </w:tcBorders>
            <w:noWrap/>
            <w:vAlign w:val="center"/>
          </w:tcPr>
          <w:p>
            <w:pPr>
              <w:widowControl/>
              <w:ind w:firstLine="480" w:firstLineChars="200"/>
              <w:contextualSpacing/>
              <w:rPr>
                <w:rFonts w:hint="eastAsia" w:ascii="宋体" w:hAnsi="宋体" w:cs="宋体"/>
                <w:bCs/>
                <w:i/>
                <w:kern w:val="0"/>
                <w:sz w:val="24"/>
              </w:rPr>
            </w:pPr>
            <w:r>
              <w:rPr>
                <w:rFonts w:hint="eastAsia" w:ascii="宋体" w:hAnsi="宋体" w:cs="宋体"/>
                <w:bCs/>
                <w:i/>
                <w:kern w:val="0"/>
                <w:sz w:val="24"/>
              </w:rPr>
              <w:t>项目类别</w:t>
            </w:r>
          </w:p>
        </w:tc>
        <w:tc>
          <w:tcPr>
            <w:tcW w:w="918" w:type="pct"/>
            <w:tcBorders>
              <w:top w:val="single" w:color="auto" w:sz="4" w:space="0"/>
              <w:left w:val="nil"/>
              <w:bottom w:val="single" w:color="auto" w:sz="4" w:space="0"/>
              <w:right w:val="single" w:color="auto" w:sz="4" w:space="0"/>
            </w:tcBorders>
            <w:noWrap/>
            <w:vAlign w:val="center"/>
          </w:tcPr>
          <w:p>
            <w:pPr>
              <w:widowControl/>
              <w:ind w:firstLine="480" w:firstLineChars="200"/>
              <w:contextualSpacing/>
              <w:rPr>
                <w:rFonts w:hint="eastAsia" w:ascii="宋体" w:hAnsi="宋体" w:cs="宋体"/>
                <w:bCs/>
                <w:i/>
                <w:kern w:val="0"/>
                <w:sz w:val="24"/>
              </w:rPr>
            </w:pPr>
            <w:r>
              <w:rPr>
                <w:rFonts w:hint="eastAsia" w:ascii="宋体" w:hAnsi="宋体" w:cs="宋体"/>
                <w:bCs/>
                <w:i/>
                <w:kern w:val="0"/>
                <w:sz w:val="24"/>
              </w:rPr>
              <w:t>内容</w:t>
            </w:r>
          </w:p>
        </w:tc>
        <w:tc>
          <w:tcPr>
            <w:tcW w:w="778" w:type="pct"/>
            <w:tcBorders>
              <w:top w:val="single" w:color="auto" w:sz="4" w:space="0"/>
              <w:left w:val="single" w:color="auto" w:sz="4" w:space="0"/>
              <w:bottom w:val="single" w:color="auto" w:sz="4" w:space="0"/>
              <w:right w:val="single" w:color="auto" w:sz="4" w:space="0"/>
            </w:tcBorders>
            <w:noWrap w:val="0"/>
            <w:vAlign w:val="center"/>
          </w:tcPr>
          <w:p>
            <w:pPr>
              <w:widowControl/>
              <w:ind w:firstLine="480" w:firstLineChars="200"/>
              <w:contextualSpacing/>
              <w:rPr>
                <w:rFonts w:hint="eastAsia" w:ascii="宋体" w:hAnsi="宋体" w:cs="宋体"/>
                <w:bCs/>
                <w:i/>
                <w:kern w:val="0"/>
                <w:sz w:val="24"/>
              </w:rPr>
            </w:pPr>
            <w:r>
              <w:rPr>
                <w:rFonts w:hint="eastAsia" w:ascii="宋体" w:hAnsi="宋体" w:cs="宋体"/>
                <w:bCs/>
                <w:i/>
                <w:kern w:val="0"/>
                <w:sz w:val="24"/>
              </w:rPr>
              <w:t>含税金额（元）</w:t>
            </w:r>
          </w:p>
        </w:tc>
        <w:tc>
          <w:tcPr>
            <w:tcW w:w="519" w:type="pct"/>
            <w:tcBorders>
              <w:top w:val="single" w:color="auto" w:sz="4" w:space="0"/>
              <w:left w:val="single" w:color="auto" w:sz="4" w:space="0"/>
              <w:bottom w:val="single" w:color="auto" w:sz="4" w:space="0"/>
              <w:right w:val="single" w:color="auto" w:sz="4" w:space="0"/>
            </w:tcBorders>
            <w:noWrap w:val="0"/>
            <w:vAlign w:val="center"/>
          </w:tcPr>
          <w:p>
            <w:pPr>
              <w:widowControl/>
              <w:ind w:firstLine="480" w:firstLineChars="200"/>
              <w:contextualSpacing/>
              <w:rPr>
                <w:rFonts w:hint="eastAsia" w:ascii="宋体" w:hAnsi="宋体" w:cs="宋体"/>
                <w:bCs/>
                <w:i/>
                <w:kern w:val="0"/>
                <w:sz w:val="24"/>
              </w:rPr>
            </w:pPr>
            <w:r>
              <w:rPr>
                <w:rFonts w:hint="eastAsia" w:ascii="宋体" w:hAnsi="宋体" w:cs="宋体"/>
                <w:bCs/>
                <w:i/>
                <w:kern w:val="0"/>
                <w:sz w:val="24"/>
              </w:rPr>
              <w:t>增值税税率</w:t>
            </w:r>
          </w:p>
        </w:tc>
        <w:tc>
          <w:tcPr>
            <w:tcW w:w="805" w:type="pct"/>
            <w:tcBorders>
              <w:top w:val="single" w:color="auto" w:sz="4" w:space="0"/>
              <w:left w:val="single" w:color="auto" w:sz="4" w:space="0"/>
              <w:bottom w:val="single" w:color="auto" w:sz="4" w:space="0"/>
              <w:right w:val="single" w:color="auto" w:sz="4" w:space="0"/>
            </w:tcBorders>
            <w:noWrap w:val="0"/>
            <w:vAlign w:val="center"/>
          </w:tcPr>
          <w:p>
            <w:pPr>
              <w:widowControl/>
              <w:ind w:firstLine="480" w:firstLineChars="200"/>
              <w:contextualSpacing/>
              <w:rPr>
                <w:rFonts w:hint="eastAsia" w:ascii="宋体" w:hAnsi="宋体" w:cs="宋体"/>
                <w:bCs/>
                <w:i/>
                <w:kern w:val="0"/>
                <w:sz w:val="24"/>
              </w:rPr>
            </w:pPr>
            <w:r>
              <w:rPr>
                <w:rFonts w:hint="eastAsia" w:ascii="宋体" w:hAnsi="宋体" w:cs="宋体"/>
                <w:bCs/>
                <w:i/>
                <w:kern w:val="0"/>
                <w:sz w:val="24"/>
              </w:rPr>
              <w:t>不含税金额（元）</w:t>
            </w:r>
          </w:p>
        </w:tc>
        <w:tc>
          <w:tcPr>
            <w:tcW w:w="1009" w:type="pct"/>
            <w:tcBorders>
              <w:top w:val="single" w:color="auto" w:sz="4" w:space="0"/>
              <w:left w:val="single" w:color="auto" w:sz="4" w:space="0"/>
              <w:bottom w:val="single" w:color="auto" w:sz="4" w:space="0"/>
              <w:right w:val="single" w:color="auto" w:sz="4" w:space="0"/>
            </w:tcBorders>
            <w:noWrap w:val="0"/>
            <w:vAlign w:val="center"/>
          </w:tcPr>
          <w:p>
            <w:pPr>
              <w:widowControl/>
              <w:ind w:firstLine="480" w:firstLineChars="200"/>
              <w:contextualSpacing/>
              <w:rPr>
                <w:rFonts w:hint="eastAsia" w:ascii="宋体" w:hAnsi="宋体" w:cs="宋体"/>
                <w:bCs/>
                <w:i/>
                <w:kern w:val="0"/>
                <w:sz w:val="24"/>
              </w:rPr>
            </w:pPr>
            <w:r>
              <w:rPr>
                <w:rFonts w:hint="eastAsia" w:ascii="宋体" w:hAnsi="宋体" w:cs="宋体"/>
                <w:bCs/>
                <w:i/>
                <w:kern w:val="0"/>
                <w:sz w:val="24"/>
              </w:rPr>
              <w:t>是否开具增值税专用发票</w:t>
            </w:r>
          </w:p>
        </w:tc>
        <w:tc>
          <w:tcPr>
            <w:tcW w:w="629" w:type="pct"/>
            <w:tcBorders>
              <w:top w:val="single" w:color="auto" w:sz="4" w:space="0"/>
              <w:left w:val="single" w:color="auto" w:sz="4" w:space="0"/>
              <w:bottom w:val="single" w:color="auto" w:sz="4" w:space="0"/>
              <w:right w:val="single" w:color="auto" w:sz="4" w:space="0"/>
            </w:tcBorders>
            <w:noWrap/>
            <w:vAlign w:val="center"/>
          </w:tcPr>
          <w:p>
            <w:pPr>
              <w:widowControl/>
              <w:ind w:firstLine="480" w:firstLineChars="200"/>
              <w:contextualSpacing/>
              <w:rPr>
                <w:rFonts w:hint="eastAsia" w:ascii="宋体" w:hAnsi="宋体" w:cs="宋体"/>
                <w:bCs/>
                <w:i/>
                <w:kern w:val="0"/>
                <w:sz w:val="24"/>
              </w:rPr>
            </w:pPr>
            <w:r>
              <w:rPr>
                <w:rFonts w:hint="eastAsia" w:ascii="宋体" w:hAnsi="宋体" w:cs="宋体"/>
                <w:bCs/>
                <w:i/>
                <w:kern w:val="0"/>
                <w:sz w:val="24"/>
              </w:rPr>
              <w:t>备注</w:t>
            </w:r>
          </w:p>
        </w:tc>
      </w:tr>
      <w:tr>
        <w:tblPrEx>
          <w:tblCellMar>
            <w:top w:w="0" w:type="dxa"/>
            <w:left w:w="108" w:type="dxa"/>
            <w:bottom w:w="0" w:type="dxa"/>
            <w:right w:w="108" w:type="dxa"/>
          </w:tblCellMar>
        </w:tblPrEx>
        <w:trPr>
          <w:trHeight w:val="375" w:hRule="atLeast"/>
          <w:jc w:val="center"/>
        </w:trPr>
        <w:tc>
          <w:tcPr>
            <w:tcW w:w="342" w:type="pct"/>
            <w:vMerge w:val="restart"/>
            <w:tcBorders>
              <w:top w:val="nil"/>
              <w:left w:val="single" w:color="auto" w:sz="4" w:space="0"/>
              <w:right w:val="single" w:color="auto" w:sz="4" w:space="0"/>
            </w:tcBorders>
            <w:noWrap/>
            <w:vAlign w:val="center"/>
          </w:tcPr>
          <w:p>
            <w:pPr>
              <w:widowControl/>
              <w:ind w:firstLine="480" w:firstLineChars="200"/>
              <w:contextualSpacing/>
              <w:rPr>
                <w:rFonts w:hint="eastAsia" w:ascii="宋体" w:hAnsi="宋体" w:cs="宋体"/>
                <w:kern w:val="0"/>
                <w:sz w:val="24"/>
              </w:rPr>
            </w:pPr>
          </w:p>
        </w:tc>
        <w:tc>
          <w:tcPr>
            <w:tcW w:w="918" w:type="pct"/>
            <w:tcBorders>
              <w:top w:val="nil"/>
              <w:left w:val="nil"/>
              <w:bottom w:val="single" w:color="auto" w:sz="4" w:space="0"/>
              <w:right w:val="single" w:color="auto" w:sz="4" w:space="0"/>
            </w:tcBorders>
            <w:noWrap/>
            <w:vAlign w:val="center"/>
          </w:tcPr>
          <w:p>
            <w:pPr>
              <w:widowControl/>
              <w:ind w:firstLine="480" w:firstLineChars="200"/>
              <w:contextualSpacing/>
              <w:rPr>
                <w:rFonts w:hint="eastAsia" w:ascii="宋体" w:hAnsi="宋体" w:cs="宋体"/>
                <w:kern w:val="0"/>
                <w:sz w:val="24"/>
              </w:rPr>
            </w:pPr>
          </w:p>
        </w:tc>
        <w:tc>
          <w:tcPr>
            <w:tcW w:w="778" w:type="pct"/>
            <w:tcBorders>
              <w:top w:val="single" w:color="auto" w:sz="4" w:space="0"/>
              <w:left w:val="single" w:color="auto" w:sz="4" w:space="0"/>
              <w:bottom w:val="single" w:color="auto" w:sz="4" w:space="0"/>
              <w:right w:val="single" w:color="auto" w:sz="4" w:space="0"/>
            </w:tcBorders>
            <w:noWrap/>
            <w:vAlign w:val="center"/>
          </w:tcPr>
          <w:p>
            <w:pPr>
              <w:widowControl/>
              <w:ind w:firstLine="480" w:firstLineChars="200"/>
              <w:contextualSpacing/>
              <w:rPr>
                <w:rFonts w:hint="eastAsia" w:ascii="宋体" w:hAnsi="宋体" w:cs="宋体"/>
                <w:kern w:val="0"/>
                <w:sz w:val="24"/>
              </w:rPr>
            </w:pPr>
          </w:p>
        </w:tc>
        <w:tc>
          <w:tcPr>
            <w:tcW w:w="519" w:type="pct"/>
            <w:tcBorders>
              <w:top w:val="single" w:color="auto" w:sz="4" w:space="0"/>
              <w:left w:val="single" w:color="auto" w:sz="4" w:space="0"/>
              <w:bottom w:val="single" w:color="auto" w:sz="4" w:space="0"/>
              <w:right w:val="single" w:color="auto" w:sz="4" w:space="0"/>
            </w:tcBorders>
            <w:noWrap w:val="0"/>
            <w:vAlign w:val="top"/>
          </w:tcPr>
          <w:p>
            <w:pPr>
              <w:widowControl/>
              <w:ind w:firstLine="480" w:firstLineChars="200"/>
              <w:contextualSpacing/>
              <w:rPr>
                <w:rFonts w:hint="eastAsia" w:ascii="宋体" w:hAnsi="宋体" w:cs="宋体"/>
                <w:kern w:val="0"/>
                <w:sz w:val="24"/>
              </w:rPr>
            </w:pPr>
          </w:p>
        </w:tc>
        <w:tc>
          <w:tcPr>
            <w:tcW w:w="805" w:type="pct"/>
            <w:tcBorders>
              <w:top w:val="single" w:color="auto" w:sz="4" w:space="0"/>
              <w:left w:val="single" w:color="auto" w:sz="4" w:space="0"/>
              <w:bottom w:val="single" w:color="auto" w:sz="4" w:space="0"/>
              <w:right w:val="single" w:color="auto" w:sz="4" w:space="0"/>
            </w:tcBorders>
            <w:noWrap w:val="0"/>
            <w:vAlign w:val="top"/>
          </w:tcPr>
          <w:p>
            <w:pPr>
              <w:widowControl/>
              <w:ind w:firstLine="480" w:firstLineChars="200"/>
              <w:contextualSpacing/>
              <w:rPr>
                <w:rFonts w:hint="eastAsia" w:ascii="宋体" w:hAnsi="宋体" w:cs="宋体"/>
                <w:kern w:val="0"/>
                <w:sz w:val="24"/>
              </w:rPr>
            </w:pPr>
          </w:p>
        </w:tc>
        <w:tc>
          <w:tcPr>
            <w:tcW w:w="1009" w:type="pct"/>
            <w:tcBorders>
              <w:top w:val="single" w:color="auto" w:sz="4" w:space="0"/>
              <w:left w:val="single" w:color="auto" w:sz="4" w:space="0"/>
              <w:bottom w:val="single" w:color="auto" w:sz="4" w:space="0"/>
              <w:right w:val="single" w:color="auto" w:sz="4" w:space="0"/>
            </w:tcBorders>
            <w:noWrap w:val="0"/>
            <w:vAlign w:val="top"/>
          </w:tcPr>
          <w:p>
            <w:pPr>
              <w:widowControl/>
              <w:ind w:firstLine="480" w:firstLineChars="200"/>
              <w:contextualSpacing/>
              <w:rPr>
                <w:rFonts w:hint="eastAsia" w:ascii="宋体" w:hAnsi="宋体" w:cs="宋体"/>
                <w:kern w:val="0"/>
                <w:sz w:val="24"/>
              </w:rPr>
            </w:pPr>
          </w:p>
        </w:tc>
        <w:tc>
          <w:tcPr>
            <w:tcW w:w="629" w:type="pct"/>
            <w:tcBorders>
              <w:top w:val="single" w:color="auto" w:sz="4" w:space="0"/>
              <w:left w:val="single" w:color="auto" w:sz="4" w:space="0"/>
              <w:bottom w:val="single" w:color="auto" w:sz="4" w:space="0"/>
              <w:right w:val="single" w:color="auto" w:sz="4" w:space="0"/>
            </w:tcBorders>
            <w:noWrap/>
            <w:vAlign w:val="center"/>
          </w:tcPr>
          <w:p>
            <w:pPr>
              <w:widowControl/>
              <w:ind w:firstLine="480" w:firstLineChars="200"/>
              <w:contextualSpacing/>
              <w:rPr>
                <w:rFonts w:hint="eastAsia" w:ascii="宋体" w:hAnsi="宋体" w:cs="宋体"/>
                <w:kern w:val="0"/>
                <w:sz w:val="24"/>
              </w:rPr>
            </w:pPr>
          </w:p>
        </w:tc>
      </w:tr>
      <w:tr>
        <w:tblPrEx>
          <w:tblCellMar>
            <w:top w:w="0" w:type="dxa"/>
            <w:left w:w="108" w:type="dxa"/>
            <w:bottom w:w="0" w:type="dxa"/>
            <w:right w:w="108" w:type="dxa"/>
          </w:tblCellMar>
        </w:tblPrEx>
        <w:trPr>
          <w:trHeight w:val="375" w:hRule="atLeast"/>
          <w:jc w:val="center"/>
        </w:trPr>
        <w:tc>
          <w:tcPr>
            <w:tcW w:w="342" w:type="pct"/>
            <w:vMerge w:val="continue"/>
            <w:tcBorders>
              <w:left w:val="single" w:color="auto" w:sz="4" w:space="0"/>
              <w:right w:val="single" w:color="auto" w:sz="4" w:space="0"/>
            </w:tcBorders>
            <w:noWrap/>
            <w:vAlign w:val="center"/>
          </w:tcPr>
          <w:p>
            <w:pPr>
              <w:ind w:firstLine="480" w:firstLineChars="200"/>
              <w:contextualSpacing/>
              <w:rPr>
                <w:rFonts w:hint="eastAsia" w:ascii="宋体" w:hAnsi="宋体" w:cs="宋体"/>
                <w:kern w:val="0"/>
                <w:sz w:val="24"/>
              </w:rPr>
            </w:pPr>
          </w:p>
        </w:tc>
        <w:tc>
          <w:tcPr>
            <w:tcW w:w="918" w:type="pct"/>
            <w:tcBorders>
              <w:top w:val="nil"/>
              <w:left w:val="nil"/>
              <w:bottom w:val="single" w:color="auto" w:sz="4" w:space="0"/>
              <w:right w:val="single" w:color="auto" w:sz="4" w:space="0"/>
            </w:tcBorders>
            <w:noWrap/>
            <w:vAlign w:val="center"/>
          </w:tcPr>
          <w:p>
            <w:pPr>
              <w:widowControl/>
              <w:ind w:firstLine="480" w:firstLineChars="200"/>
              <w:contextualSpacing/>
              <w:rPr>
                <w:rFonts w:hint="eastAsia" w:ascii="宋体" w:hAnsi="宋体" w:cs="宋体"/>
                <w:kern w:val="0"/>
                <w:sz w:val="24"/>
              </w:rPr>
            </w:pPr>
          </w:p>
        </w:tc>
        <w:tc>
          <w:tcPr>
            <w:tcW w:w="778" w:type="pct"/>
            <w:tcBorders>
              <w:top w:val="single" w:color="auto" w:sz="4" w:space="0"/>
              <w:left w:val="single" w:color="auto" w:sz="4" w:space="0"/>
              <w:bottom w:val="single" w:color="auto" w:sz="4" w:space="0"/>
              <w:right w:val="single" w:color="auto" w:sz="4" w:space="0"/>
            </w:tcBorders>
            <w:noWrap/>
            <w:vAlign w:val="center"/>
          </w:tcPr>
          <w:p>
            <w:pPr>
              <w:widowControl/>
              <w:ind w:firstLine="480" w:firstLineChars="200"/>
              <w:contextualSpacing/>
              <w:rPr>
                <w:rFonts w:hint="eastAsia" w:ascii="宋体" w:hAnsi="宋体" w:cs="宋体"/>
                <w:kern w:val="0"/>
                <w:sz w:val="24"/>
              </w:rPr>
            </w:pPr>
          </w:p>
        </w:tc>
        <w:tc>
          <w:tcPr>
            <w:tcW w:w="519" w:type="pct"/>
            <w:tcBorders>
              <w:top w:val="single" w:color="auto" w:sz="4" w:space="0"/>
              <w:left w:val="single" w:color="auto" w:sz="4" w:space="0"/>
              <w:bottom w:val="single" w:color="auto" w:sz="4" w:space="0"/>
              <w:right w:val="single" w:color="auto" w:sz="4" w:space="0"/>
            </w:tcBorders>
            <w:noWrap w:val="0"/>
            <w:vAlign w:val="top"/>
          </w:tcPr>
          <w:p>
            <w:pPr>
              <w:widowControl/>
              <w:ind w:firstLine="480" w:firstLineChars="200"/>
              <w:contextualSpacing/>
              <w:rPr>
                <w:rFonts w:hint="eastAsia" w:ascii="宋体" w:hAnsi="宋体" w:cs="宋体"/>
                <w:kern w:val="0"/>
                <w:sz w:val="24"/>
              </w:rPr>
            </w:pPr>
          </w:p>
        </w:tc>
        <w:tc>
          <w:tcPr>
            <w:tcW w:w="805" w:type="pct"/>
            <w:tcBorders>
              <w:top w:val="single" w:color="auto" w:sz="4" w:space="0"/>
              <w:left w:val="single" w:color="auto" w:sz="4" w:space="0"/>
              <w:bottom w:val="single" w:color="auto" w:sz="4" w:space="0"/>
              <w:right w:val="single" w:color="auto" w:sz="4" w:space="0"/>
            </w:tcBorders>
            <w:noWrap w:val="0"/>
            <w:vAlign w:val="top"/>
          </w:tcPr>
          <w:p>
            <w:pPr>
              <w:widowControl/>
              <w:ind w:firstLine="480" w:firstLineChars="200"/>
              <w:contextualSpacing/>
              <w:rPr>
                <w:rFonts w:hint="eastAsia" w:ascii="宋体" w:hAnsi="宋体" w:cs="宋体"/>
                <w:kern w:val="0"/>
                <w:sz w:val="24"/>
              </w:rPr>
            </w:pPr>
          </w:p>
        </w:tc>
        <w:tc>
          <w:tcPr>
            <w:tcW w:w="1009" w:type="pct"/>
            <w:tcBorders>
              <w:top w:val="single" w:color="auto" w:sz="4" w:space="0"/>
              <w:left w:val="single" w:color="auto" w:sz="4" w:space="0"/>
              <w:bottom w:val="single" w:color="auto" w:sz="4" w:space="0"/>
              <w:right w:val="single" w:color="auto" w:sz="4" w:space="0"/>
            </w:tcBorders>
            <w:noWrap w:val="0"/>
            <w:vAlign w:val="top"/>
          </w:tcPr>
          <w:p>
            <w:pPr>
              <w:widowControl/>
              <w:ind w:firstLine="480" w:firstLineChars="200"/>
              <w:contextualSpacing/>
              <w:rPr>
                <w:rFonts w:hint="eastAsia" w:ascii="宋体" w:hAnsi="宋体" w:cs="宋体"/>
                <w:kern w:val="0"/>
                <w:sz w:val="24"/>
              </w:rPr>
            </w:pPr>
          </w:p>
        </w:tc>
        <w:tc>
          <w:tcPr>
            <w:tcW w:w="629" w:type="pct"/>
            <w:tcBorders>
              <w:top w:val="single" w:color="auto" w:sz="4" w:space="0"/>
              <w:left w:val="single" w:color="auto" w:sz="4" w:space="0"/>
              <w:bottom w:val="single" w:color="auto" w:sz="4" w:space="0"/>
              <w:right w:val="single" w:color="auto" w:sz="4" w:space="0"/>
            </w:tcBorders>
            <w:noWrap/>
            <w:vAlign w:val="center"/>
          </w:tcPr>
          <w:p>
            <w:pPr>
              <w:widowControl/>
              <w:ind w:firstLine="480" w:firstLineChars="200"/>
              <w:contextualSpacing/>
              <w:rPr>
                <w:rFonts w:hint="eastAsia" w:ascii="宋体" w:hAnsi="宋体" w:cs="宋体"/>
                <w:kern w:val="0"/>
                <w:sz w:val="24"/>
              </w:rPr>
            </w:pPr>
          </w:p>
        </w:tc>
      </w:tr>
      <w:tr>
        <w:tblPrEx>
          <w:tblCellMar>
            <w:top w:w="0" w:type="dxa"/>
            <w:left w:w="108" w:type="dxa"/>
            <w:bottom w:w="0" w:type="dxa"/>
            <w:right w:w="108" w:type="dxa"/>
          </w:tblCellMar>
        </w:tblPrEx>
        <w:trPr>
          <w:trHeight w:val="375" w:hRule="atLeast"/>
          <w:jc w:val="center"/>
        </w:trPr>
        <w:tc>
          <w:tcPr>
            <w:tcW w:w="342" w:type="pct"/>
            <w:vMerge w:val="continue"/>
            <w:tcBorders>
              <w:left w:val="single" w:color="auto" w:sz="4" w:space="0"/>
              <w:right w:val="single" w:color="auto" w:sz="4" w:space="0"/>
            </w:tcBorders>
            <w:noWrap/>
            <w:vAlign w:val="center"/>
          </w:tcPr>
          <w:p>
            <w:pPr>
              <w:ind w:firstLine="480" w:firstLineChars="200"/>
              <w:contextualSpacing/>
              <w:rPr>
                <w:rFonts w:hint="eastAsia" w:ascii="宋体" w:hAnsi="宋体" w:cs="宋体"/>
                <w:kern w:val="0"/>
                <w:sz w:val="24"/>
              </w:rPr>
            </w:pPr>
          </w:p>
        </w:tc>
        <w:tc>
          <w:tcPr>
            <w:tcW w:w="918" w:type="pct"/>
            <w:tcBorders>
              <w:top w:val="nil"/>
              <w:left w:val="nil"/>
              <w:bottom w:val="single" w:color="auto" w:sz="4" w:space="0"/>
              <w:right w:val="single" w:color="auto" w:sz="4" w:space="0"/>
            </w:tcBorders>
            <w:noWrap/>
            <w:vAlign w:val="center"/>
          </w:tcPr>
          <w:p>
            <w:pPr>
              <w:widowControl/>
              <w:ind w:firstLine="480" w:firstLineChars="200"/>
              <w:contextualSpacing/>
              <w:rPr>
                <w:rFonts w:hint="eastAsia" w:ascii="宋体" w:hAnsi="宋体" w:cs="宋体"/>
                <w:kern w:val="0"/>
                <w:sz w:val="24"/>
              </w:rPr>
            </w:pPr>
          </w:p>
        </w:tc>
        <w:tc>
          <w:tcPr>
            <w:tcW w:w="778" w:type="pct"/>
            <w:tcBorders>
              <w:top w:val="single" w:color="auto" w:sz="4" w:space="0"/>
              <w:left w:val="single" w:color="auto" w:sz="4" w:space="0"/>
              <w:bottom w:val="single" w:color="auto" w:sz="4" w:space="0"/>
              <w:right w:val="single" w:color="auto" w:sz="4" w:space="0"/>
            </w:tcBorders>
            <w:noWrap/>
            <w:vAlign w:val="center"/>
          </w:tcPr>
          <w:p>
            <w:pPr>
              <w:widowControl/>
              <w:ind w:firstLine="480" w:firstLineChars="200"/>
              <w:contextualSpacing/>
              <w:rPr>
                <w:rFonts w:hint="eastAsia" w:ascii="宋体" w:hAnsi="宋体" w:cs="宋体"/>
                <w:kern w:val="0"/>
                <w:sz w:val="24"/>
              </w:rPr>
            </w:pPr>
          </w:p>
        </w:tc>
        <w:tc>
          <w:tcPr>
            <w:tcW w:w="519" w:type="pct"/>
            <w:tcBorders>
              <w:top w:val="single" w:color="auto" w:sz="4" w:space="0"/>
              <w:left w:val="single" w:color="auto" w:sz="4" w:space="0"/>
              <w:bottom w:val="single" w:color="auto" w:sz="4" w:space="0"/>
              <w:right w:val="single" w:color="auto" w:sz="4" w:space="0"/>
            </w:tcBorders>
            <w:noWrap w:val="0"/>
            <w:vAlign w:val="top"/>
          </w:tcPr>
          <w:p>
            <w:pPr>
              <w:widowControl/>
              <w:ind w:firstLine="480" w:firstLineChars="200"/>
              <w:contextualSpacing/>
              <w:rPr>
                <w:rFonts w:hint="eastAsia" w:ascii="宋体" w:hAnsi="宋体" w:cs="宋体"/>
                <w:kern w:val="0"/>
                <w:sz w:val="24"/>
              </w:rPr>
            </w:pPr>
          </w:p>
        </w:tc>
        <w:tc>
          <w:tcPr>
            <w:tcW w:w="805" w:type="pct"/>
            <w:tcBorders>
              <w:top w:val="single" w:color="auto" w:sz="4" w:space="0"/>
              <w:left w:val="single" w:color="auto" w:sz="4" w:space="0"/>
              <w:bottom w:val="single" w:color="auto" w:sz="4" w:space="0"/>
              <w:right w:val="single" w:color="auto" w:sz="4" w:space="0"/>
            </w:tcBorders>
            <w:noWrap w:val="0"/>
            <w:vAlign w:val="top"/>
          </w:tcPr>
          <w:p>
            <w:pPr>
              <w:widowControl/>
              <w:ind w:firstLine="480" w:firstLineChars="200"/>
              <w:contextualSpacing/>
              <w:rPr>
                <w:rFonts w:hint="eastAsia" w:ascii="宋体" w:hAnsi="宋体" w:cs="宋体"/>
                <w:kern w:val="0"/>
                <w:sz w:val="24"/>
              </w:rPr>
            </w:pPr>
          </w:p>
        </w:tc>
        <w:tc>
          <w:tcPr>
            <w:tcW w:w="1009" w:type="pct"/>
            <w:tcBorders>
              <w:top w:val="single" w:color="auto" w:sz="4" w:space="0"/>
              <w:left w:val="single" w:color="auto" w:sz="4" w:space="0"/>
              <w:bottom w:val="single" w:color="auto" w:sz="4" w:space="0"/>
              <w:right w:val="single" w:color="auto" w:sz="4" w:space="0"/>
            </w:tcBorders>
            <w:noWrap w:val="0"/>
            <w:vAlign w:val="top"/>
          </w:tcPr>
          <w:p>
            <w:pPr>
              <w:widowControl/>
              <w:ind w:firstLine="480" w:firstLineChars="200"/>
              <w:contextualSpacing/>
              <w:rPr>
                <w:rFonts w:hint="eastAsia" w:ascii="宋体" w:hAnsi="宋体" w:cs="宋体"/>
                <w:kern w:val="0"/>
                <w:sz w:val="24"/>
              </w:rPr>
            </w:pPr>
          </w:p>
        </w:tc>
        <w:tc>
          <w:tcPr>
            <w:tcW w:w="629" w:type="pct"/>
            <w:tcBorders>
              <w:top w:val="single" w:color="auto" w:sz="4" w:space="0"/>
              <w:left w:val="single" w:color="auto" w:sz="4" w:space="0"/>
              <w:bottom w:val="single" w:color="auto" w:sz="4" w:space="0"/>
              <w:right w:val="single" w:color="auto" w:sz="4" w:space="0"/>
            </w:tcBorders>
            <w:noWrap/>
            <w:vAlign w:val="center"/>
          </w:tcPr>
          <w:p>
            <w:pPr>
              <w:widowControl/>
              <w:ind w:firstLine="480" w:firstLineChars="200"/>
              <w:contextualSpacing/>
              <w:rPr>
                <w:rFonts w:hint="eastAsia" w:ascii="宋体" w:hAnsi="宋体" w:cs="宋体"/>
                <w:kern w:val="0"/>
                <w:sz w:val="24"/>
              </w:rPr>
            </w:pPr>
          </w:p>
        </w:tc>
      </w:tr>
      <w:tr>
        <w:tblPrEx>
          <w:tblCellMar>
            <w:top w:w="0" w:type="dxa"/>
            <w:left w:w="108" w:type="dxa"/>
            <w:bottom w:w="0" w:type="dxa"/>
            <w:right w:w="108" w:type="dxa"/>
          </w:tblCellMar>
        </w:tblPrEx>
        <w:trPr>
          <w:trHeight w:val="375" w:hRule="atLeast"/>
          <w:jc w:val="center"/>
        </w:trPr>
        <w:tc>
          <w:tcPr>
            <w:tcW w:w="342" w:type="pct"/>
            <w:vMerge w:val="continue"/>
            <w:tcBorders>
              <w:left w:val="single" w:color="auto" w:sz="4" w:space="0"/>
              <w:right w:val="single" w:color="auto" w:sz="4" w:space="0"/>
            </w:tcBorders>
            <w:noWrap/>
            <w:vAlign w:val="center"/>
          </w:tcPr>
          <w:p>
            <w:pPr>
              <w:widowControl/>
              <w:ind w:firstLine="480" w:firstLineChars="200"/>
              <w:contextualSpacing/>
              <w:rPr>
                <w:rFonts w:hint="eastAsia" w:ascii="宋体" w:hAnsi="宋体" w:cs="宋体"/>
                <w:kern w:val="0"/>
                <w:sz w:val="24"/>
              </w:rPr>
            </w:pPr>
          </w:p>
        </w:tc>
        <w:tc>
          <w:tcPr>
            <w:tcW w:w="918" w:type="pct"/>
            <w:tcBorders>
              <w:top w:val="nil"/>
              <w:left w:val="nil"/>
              <w:bottom w:val="single" w:color="auto" w:sz="4" w:space="0"/>
              <w:right w:val="single" w:color="auto" w:sz="4" w:space="0"/>
            </w:tcBorders>
            <w:noWrap/>
            <w:vAlign w:val="center"/>
          </w:tcPr>
          <w:p>
            <w:pPr>
              <w:widowControl/>
              <w:ind w:firstLine="480" w:firstLineChars="200"/>
              <w:contextualSpacing/>
              <w:rPr>
                <w:rFonts w:hint="eastAsia" w:ascii="宋体" w:hAnsi="宋体" w:cs="宋体"/>
                <w:kern w:val="0"/>
                <w:sz w:val="24"/>
              </w:rPr>
            </w:pPr>
          </w:p>
        </w:tc>
        <w:tc>
          <w:tcPr>
            <w:tcW w:w="778" w:type="pct"/>
            <w:tcBorders>
              <w:top w:val="single" w:color="auto" w:sz="4" w:space="0"/>
              <w:left w:val="single" w:color="auto" w:sz="4" w:space="0"/>
              <w:bottom w:val="single" w:color="auto" w:sz="4" w:space="0"/>
              <w:right w:val="single" w:color="auto" w:sz="4" w:space="0"/>
            </w:tcBorders>
            <w:noWrap/>
            <w:vAlign w:val="center"/>
          </w:tcPr>
          <w:p>
            <w:pPr>
              <w:widowControl/>
              <w:ind w:firstLine="480" w:firstLineChars="200"/>
              <w:contextualSpacing/>
              <w:rPr>
                <w:rFonts w:hint="eastAsia" w:ascii="宋体" w:hAnsi="宋体" w:cs="宋体"/>
                <w:kern w:val="0"/>
                <w:sz w:val="24"/>
              </w:rPr>
            </w:pPr>
          </w:p>
        </w:tc>
        <w:tc>
          <w:tcPr>
            <w:tcW w:w="519" w:type="pct"/>
            <w:tcBorders>
              <w:top w:val="single" w:color="auto" w:sz="4" w:space="0"/>
              <w:left w:val="single" w:color="auto" w:sz="4" w:space="0"/>
              <w:bottom w:val="single" w:color="auto" w:sz="4" w:space="0"/>
              <w:right w:val="single" w:color="auto" w:sz="4" w:space="0"/>
            </w:tcBorders>
            <w:noWrap w:val="0"/>
            <w:vAlign w:val="top"/>
          </w:tcPr>
          <w:p>
            <w:pPr>
              <w:widowControl/>
              <w:ind w:firstLine="480" w:firstLineChars="200"/>
              <w:contextualSpacing/>
              <w:rPr>
                <w:rFonts w:hint="eastAsia" w:ascii="宋体" w:hAnsi="宋体" w:cs="宋体"/>
                <w:kern w:val="0"/>
                <w:sz w:val="24"/>
              </w:rPr>
            </w:pPr>
          </w:p>
        </w:tc>
        <w:tc>
          <w:tcPr>
            <w:tcW w:w="805" w:type="pct"/>
            <w:tcBorders>
              <w:top w:val="single" w:color="auto" w:sz="4" w:space="0"/>
              <w:left w:val="single" w:color="auto" w:sz="4" w:space="0"/>
              <w:bottom w:val="single" w:color="auto" w:sz="4" w:space="0"/>
              <w:right w:val="single" w:color="auto" w:sz="4" w:space="0"/>
            </w:tcBorders>
            <w:noWrap w:val="0"/>
            <w:vAlign w:val="top"/>
          </w:tcPr>
          <w:p>
            <w:pPr>
              <w:widowControl/>
              <w:ind w:firstLine="480" w:firstLineChars="200"/>
              <w:contextualSpacing/>
              <w:rPr>
                <w:rFonts w:hint="eastAsia" w:ascii="宋体" w:hAnsi="宋体" w:cs="宋体"/>
                <w:kern w:val="0"/>
                <w:sz w:val="24"/>
              </w:rPr>
            </w:pPr>
          </w:p>
        </w:tc>
        <w:tc>
          <w:tcPr>
            <w:tcW w:w="1009" w:type="pct"/>
            <w:tcBorders>
              <w:top w:val="single" w:color="auto" w:sz="4" w:space="0"/>
              <w:left w:val="single" w:color="auto" w:sz="4" w:space="0"/>
              <w:bottom w:val="single" w:color="auto" w:sz="4" w:space="0"/>
              <w:right w:val="single" w:color="auto" w:sz="4" w:space="0"/>
            </w:tcBorders>
            <w:noWrap w:val="0"/>
            <w:vAlign w:val="top"/>
          </w:tcPr>
          <w:p>
            <w:pPr>
              <w:widowControl/>
              <w:ind w:firstLine="480" w:firstLineChars="200"/>
              <w:contextualSpacing/>
              <w:rPr>
                <w:rFonts w:hint="eastAsia" w:ascii="宋体" w:hAnsi="宋体" w:cs="宋体"/>
                <w:kern w:val="0"/>
                <w:sz w:val="24"/>
              </w:rPr>
            </w:pPr>
          </w:p>
        </w:tc>
        <w:tc>
          <w:tcPr>
            <w:tcW w:w="629" w:type="pct"/>
            <w:tcBorders>
              <w:top w:val="single" w:color="auto" w:sz="4" w:space="0"/>
              <w:left w:val="single" w:color="auto" w:sz="4" w:space="0"/>
              <w:bottom w:val="single" w:color="auto" w:sz="4" w:space="0"/>
              <w:right w:val="single" w:color="auto" w:sz="4" w:space="0"/>
            </w:tcBorders>
            <w:noWrap/>
            <w:vAlign w:val="center"/>
          </w:tcPr>
          <w:p>
            <w:pPr>
              <w:widowControl/>
              <w:ind w:firstLine="480" w:firstLineChars="200"/>
              <w:contextualSpacing/>
              <w:rPr>
                <w:rFonts w:hint="eastAsia" w:ascii="宋体" w:hAnsi="宋体" w:cs="宋体"/>
                <w:kern w:val="0"/>
                <w:sz w:val="24"/>
              </w:rPr>
            </w:pPr>
          </w:p>
        </w:tc>
      </w:tr>
      <w:tr>
        <w:tblPrEx>
          <w:tblCellMar>
            <w:top w:w="0" w:type="dxa"/>
            <w:left w:w="108" w:type="dxa"/>
            <w:bottom w:w="0" w:type="dxa"/>
            <w:right w:w="108" w:type="dxa"/>
          </w:tblCellMar>
        </w:tblPrEx>
        <w:trPr>
          <w:trHeight w:val="375" w:hRule="atLeast"/>
          <w:jc w:val="center"/>
        </w:trPr>
        <w:tc>
          <w:tcPr>
            <w:tcW w:w="342" w:type="pct"/>
            <w:vMerge w:val="continue"/>
            <w:tcBorders>
              <w:left w:val="single" w:color="auto" w:sz="4" w:space="0"/>
              <w:bottom w:val="single" w:color="auto" w:sz="4" w:space="0"/>
              <w:right w:val="single" w:color="auto" w:sz="4" w:space="0"/>
            </w:tcBorders>
            <w:noWrap/>
            <w:vAlign w:val="center"/>
          </w:tcPr>
          <w:p>
            <w:pPr>
              <w:widowControl/>
              <w:ind w:firstLine="480" w:firstLineChars="200"/>
              <w:contextualSpacing/>
              <w:rPr>
                <w:rFonts w:hint="eastAsia" w:ascii="宋体" w:hAnsi="宋体" w:cs="宋体"/>
                <w:kern w:val="0"/>
                <w:sz w:val="24"/>
              </w:rPr>
            </w:pPr>
          </w:p>
        </w:tc>
        <w:tc>
          <w:tcPr>
            <w:tcW w:w="918" w:type="pct"/>
            <w:tcBorders>
              <w:top w:val="nil"/>
              <w:left w:val="nil"/>
              <w:bottom w:val="single" w:color="auto" w:sz="4" w:space="0"/>
              <w:right w:val="single" w:color="auto" w:sz="4" w:space="0"/>
            </w:tcBorders>
            <w:noWrap/>
            <w:vAlign w:val="center"/>
          </w:tcPr>
          <w:p>
            <w:pPr>
              <w:widowControl/>
              <w:ind w:firstLine="480" w:firstLineChars="200"/>
              <w:contextualSpacing/>
              <w:rPr>
                <w:rFonts w:hint="eastAsia" w:ascii="宋体" w:hAnsi="宋体" w:cs="宋体"/>
                <w:kern w:val="0"/>
                <w:sz w:val="24"/>
              </w:rPr>
            </w:pPr>
          </w:p>
        </w:tc>
        <w:tc>
          <w:tcPr>
            <w:tcW w:w="778" w:type="pct"/>
            <w:tcBorders>
              <w:top w:val="single" w:color="auto" w:sz="4" w:space="0"/>
              <w:left w:val="single" w:color="auto" w:sz="4" w:space="0"/>
              <w:bottom w:val="single" w:color="auto" w:sz="4" w:space="0"/>
              <w:right w:val="single" w:color="auto" w:sz="4" w:space="0"/>
            </w:tcBorders>
            <w:noWrap/>
            <w:vAlign w:val="center"/>
          </w:tcPr>
          <w:p>
            <w:pPr>
              <w:widowControl/>
              <w:ind w:firstLine="480" w:firstLineChars="200"/>
              <w:contextualSpacing/>
              <w:rPr>
                <w:rFonts w:hint="eastAsia" w:ascii="宋体" w:hAnsi="宋体" w:cs="宋体"/>
                <w:kern w:val="0"/>
                <w:sz w:val="24"/>
              </w:rPr>
            </w:pPr>
          </w:p>
        </w:tc>
        <w:tc>
          <w:tcPr>
            <w:tcW w:w="519" w:type="pct"/>
            <w:tcBorders>
              <w:top w:val="single" w:color="auto" w:sz="4" w:space="0"/>
              <w:left w:val="single" w:color="auto" w:sz="4" w:space="0"/>
              <w:bottom w:val="single" w:color="auto" w:sz="4" w:space="0"/>
              <w:right w:val="single" w:color="auto" w:sz="4" w:space="0"/>
            </w:tcBorders>
            <w:noWrap w:val="0"/>
            <w:vAlign w:val="top"/>
          </w:tcPr>
          <w:p>
            <w:pPr>
              <w:widowControl/>
              <w:ind w:firstLine="480" w:firstLineChars="200"/>
              <w:contextualSpacing/>
              <w:rPr>
                <w:rFonts w:hint="eastAsia" w:ascii="宋体" w:hAnsi="宋体" w:cs="宋体"/>
                <w:kern w:val="0"/>
                <w:sz w:val="24"/>
              </w:rPr>
            </w:pPr>
          </w:p>
        </w:tc>
        <w:tc>
          <w:tcPr>
            <w:tcW w:w="805" w:type="pct"/>
            <w:tcBorders>
              <w:top w:val="single" w:color="auto" w:sz="4" w:space="0"/>
              <w:left w:val="single" w:color="auto" w:sz="4" w:space="0"/>
              <w:bottom w:val="single" w:color="auto" w:sz="4" w:space="0"/>
              <w:right w:val="single" w:color="auto" w:sz="4" w:space="0"/>
            </w:tcBorders>
            <w:noWrap w:val="0"/>
            <w:vAlign w:val="top"/>
          </w:tcPr>
          <w:p>
            <w:pPr>
              <w:widowControl/>
              <w:ind w:firstLine="480" w:firstLineChars="200"/>
              <w:contextualSpacing/>
              <w:rPr>
                <w:rFonts w:hint="eastAsia" w:ascii="宋体" w:hAnsi="宋体" w:cs="宋体"/>
                <w:kern w:val="0"/>
                <w:sz w:val="24"/>
              </w:rPr>
            </w:pPr>
          </w:p>
        </w:tc>
        <w:tc>
          <w:tcPr>
            <w:tcW w:w="1009" w:type="pct"/>
            <w:tcBorders>
              <w:top w:val="single" w:color="auto" w:sz="4" w:space="0"/>
              <w:left w:val="single" w:color="auto" w:sz="4" w:space="0"/>
              <w:bottom w:val="single" w:color="auto" w:sz="4" w:space="0"/>
              <w:right w:val="single" w:color="auto" w:sz="4" w:space="0"/>
            </w:tcBorders>
            <w:noWrap w:val="0"/>
            <w:vAlign w:val="top"/>
          </w:tcPr>
          <w:p>
            <w:pPr>
              <w:widowControl/>
              <w:ind w:firstLine="480" w:firstLineChars="200"/>
              <w:contextualSpacing/>
              <w:rPr>
                <w:rFonts w:hint="eastAsia" w:ascii="宋体" w:hAnsi="宋体" w:cs="宋体"/>
                <w:kern w:val="0"/>
                <w:sz w:val="24"/>
              </w:rPr>
            </w:pPr>
          </w:p>
        </w:tc>
        <w:tc>
          <w:tcPr>
            <w:tcW w:w="629" w:type="pct"/>
            <w:tcBorders>
              <w:top w:val="single" w:color="auto" w:sz="4" w:space="0"/>
              <w:left w:val="single" w:color="auto" w:sz="4" w:space="0"/>
              <w:bottom w:val="single" w:color="auto" w:sz="4" w:space="0"/>
              <w:right w:val="single" w:color="auto" w:sz="4" w:space="0"/>
            </w:tcBorders>
            <w:noWrap/>
            <w:vAlign w:val="center"/>
          </w:tcPr>
          <w:p>
            <w:pPr>
              <w:widowControl/>
              <w:ind w:firstLine="480" w:firstLineChars="200"/>
              <w:contextualSpacing/>
              <w:rPr>
                <w:rFonts w:hint="eastAsia" w:ascii="宋体" w:hAnsi="宋体" w:cs="宋体"/>
                <w:kern w:val="0"/>
                <w:sz w:val="24"/>
              </w:rPr>
            </w:pPr>
          </w:p>
        </w:tc>
      </w:tr>
      <w:tr>
        <w:tblPrEx>
          <w:tblCellMar>
            <w:top w:w="0" w:type="dxa"/>
            <w:left w:w="108" w:type="dxa"/>
            <w:bottom w:w="0" w:type="dxa"/>
            <w:right w:w="108" w:type="dxa"/>
          </w:tblCellMar>
        </w:tblPrEx>
        <w:trPr>
          <w:trHeight w:val="375" w:hRule="atLeast"/>
          <w:jc w:val="center"/>
        </w:trPr>
        <w:tc>
          <w:tcPr>
            <w:tcW w:w="1260" w:type="pct"/>
            <w:gridSpan w:val="2"/>
            <w:tcBorders>
              <w:top w:val="single" w:color="auto" w:sz="4" w:space="0"/>
              <w:left w:val="single" w:color="auto" w:sz="4" w:space="0"/>
              <w:bottom w:val="single" w:color="auto" w:sz="4" w:space="0"/>
              <w:right w:val="single" w:color="auto" w:sz="4" w:space="0"/>
            </w:tcBorders>
            <w:noWrap/>
            <w:vAlign w:val="center"/>
          </w:tcPr>
          <w:p>
            <w:pPr>
              <w:widowControl/>
              <w:ind w:firstLine="480" w:firstLineChars="200"/>
              <w:contextualSpacing/>
              <w:rPr>
                <w:rFonts w:hint="eastAsia" w:ascii="宋体" w:hAnsi="宋体" w:cs="宋体"/>
                <w:i/>
                <w:kern w:val="0"/>
                <w:sz w:val="24"/>
              </w:rPr>
            </w:pPr>
            <w:r>
              <w:rPr>
                <w:rFonts w:hint="eastAsia" w:ascii="宋体" w:hAnsi="宋体" w:cs="宋体"/>
                <w:i/>
                <w:kern w:val="0"/>
                <w:sz w:val="24"/>
              </w:rPr>
              <w:t>合计（元）</w:t>
            </w:r>
          </w:p>
        </w:tc>
        <w:tc>
          <w:tcPr>
            <w:tcW w:w="778" w:type="pct"/>
            <w:tcBorders>
              <w:top w:val="single" w:color="auto" w:sz="4" w:space="0"/>
              <w:left w:val="single" w:color="auto" w:sz="4" w:space="0"/>
              <w:bottom w:val="single" w:color="auto" w:sz="4" w:space="0"/>
              <w:right w:val="single" w:color="auto" w:sz="4" w:space="0"/>
            </w:tcBorders>
            <w:noWrap/>
            <w:vAlign w:val="center"/>
          </w:tcPr>
          <w:p>
            <w:pPr>
              <w:widowControl/>
              <w:ind w:firstLine="480" w:firstLineChars="200"/>
              <w:contextualSpacing/>
              <w:rPr>
                <w:rFonts w:hint="eastAsia" w:ascii="宋体" w:hAnsi="宋体" w:cs="宋体"/>
                <w:kern w:val="0"/>
                <w:sz w:val="24"/>
                <w:u w:val="single"/>
              </w:rPr>
            </w:pPr>
          </w:p>
        </w:tc>
        <w:tc>
          <w:tcPr>
            <w:tcW w:w="519" w:type="pct"/>
            <w:tcBorders>
              <w:top w:val="single" w:color="auto" w:sz="4" w:space="0"/>
              <w:left w:val="single" w:color="auto" w:sz="4" w:space="0"/>
              <w:bottom w:val="single" w:color="auto" w:sz="4" w:space="0"/>
              <w:right w:val="single" w:color="auto" w:sz="4" w:space="0"/>
            </w:tcBorders>
            <w:noWrap w:val="0"/>
            <w:vAlign w:val="top"/>
          </w:tcPr>
          <w:p>
            <w:pPr>
              <w:widowControl/>
              <w:ind w:firstLine="480" w:firstLineChars="200"/>
              <w:contextualSpacing/>
              <w:rPr>
                <w:rFonts w:hint="eastAsia" w:ascii="宋体" w:hAnsi="宋体" w:cs="宋体"/>
                <w:kern w:val="0"/>
                <w:sz w:val="24"/>
              </w:rPr>
            </w:pPr>
            <w:r>
              <w:rPr>
                <w:rFonts w:hint="eastAsia" w:ascii="宋体" w:hAnsi="宋体" w:cs="宋体"/>
                <w:kern w:val="0"/>
                <w:sz w:val="24"/>
              </w:rPr>
              <w:t>/</w:t>
            </w:r>
          </w:p>
        </w:tc>
        <w:tc>
          <w:tcPr>
            <w:tcW w:w="805" w:type="pct"/>
            <w:tcBorders>
              <w:top w:val="single" w:color="auto" w:sz="4" w:space="0"/>
              <w:left w:val="single" w:color="auto" w:sz="4" w:space="0"/>
              <w:bottom w:val="single" w:color="auto" w:sz="4" w:space="0"/>
              <w:right w:val="single" w:color="auto" w:sz="4" w:space="0"/>
            </w:tcBorders>
            <w:noWrap w:val="0"/>
            <w:vAlign w:val="top"/>
          </w:tcPr>
          <w:p>
            <w:pPr>
              <w:widowControl/>
              <w:ind w:firstLine="480" w:firstLineChars="200"/>
              <w:contextualSpacing/>
              <w:rPr>
                <w:rFonts w:hint="eastAsia" w:ascii="宋体" w:hAnsi="宋体" w:cs="宋体"/>
                <w:kern w:val="0"/>
                <w:sz w:val="24"/>
              </w:rPr>
            </w:pPr>
          </w:p>
        </w:tc>
        <w:tc>
          <w:tcPr>
            <w:tcW w:w="1009" w:type="pct"/>
            <w:tcBorders>
              <w:top w:val="single" w:color="auto" w:sz="4" w:space="0"/>
              <w:left w:val="single" w:color="auto" w:sz="4" w:space="0"/>
              <w:bottom w:val="single" w:color="auto" w:sz="4" w:space="0"/>
              <w:right w:val="single" w:color="auto" w:sz="4" w:space="0"/>
            </w:tcBorders>
            <w:noWrap w:val="0"/>
            <w:vAlign w:val="top"/>
          </w:tcPr>
          <w:p>
            <w:pPr>
              <w:widowControl/>
              <w:ind w:firstLine="480" w:firstLineChars="200"/>
              <w:contextualSpacing/>
              <w:rPr>
                <w:rFonts w:hint="eastAsia" w:ascii="宋体" w:hAnsi="宋体" w:cs="宋体"/>
                <w:kern w:val="0"/>
                <w:sz w:val="24"/>
              </w:rPr>
            </w:pPr>
            <w:r>
              <w:rPr>
                <w:rFonts w:hint="eastAsia" w:ascii="宋体" w:hAnsi="宋体" w:cs="宋体"/>
                <w:kern w:val="0"/>
                <w:sz w:val="24"/>
              </w:rPr>
              <w:t>/</w:t>
            </w:r>
          </w:p>
        </w:tc>
        <w:tc>
          <w:tcPr>
            <w:tcW w:w="629" w:type="pct"/>
            <w:tcBorders>
              <w:top w:val="single" w:color="auto" w:sz="4" w:space="0"/>
              <w:left w:val="single" w:color="auto" w:sz="4" w:space="0"/>
              <w:bottom w:val="single" w:color="auto" w:sz="4" w:space="0"/>
              <w:right w:val="single" w:color="auto" w:sz="4" w:space="0"/>
            </w:tcBorders>
            <w:noWrap/>
            <w:vAlign w:val="center"/>
          </w:tcPr>
          <w:p>
            <w:pPr>
              <w:widowControl/>
              <w:ind w:firstLine="480" w:firstLineChars="200"/>
              <w:contextualSpacing/>
              <w:rPr>
                <w:rFonts w:hint="eastAsia" w:ascii="宋体" w:hAnsi="宋体" w:cs="宋体"/>
                <w:kern w:val="0"/>
                <w:sz w:val="24"/>
              </w:rPr>
            </w:pPr>
          </w:p>
        </w:tc>
      </w:tr>
      <w:tr>
        <w:tblPrEx>
          <w:tblCellMar>
            <w:top w:w="0" w:type="dxa"/>
            <w:left w:w="108" w:type="dxa"/>
            <w:bottom w:w="0" w:type="dxa"/>
            <w:right w:w="108" w:type="dxa"/>
          </w:tblCellMar>
        </w:tblPrEx>
        <w:trPr>
          <w:trHeight w:val="375" w:hRule="atLeast"/>
          <w:jc w:val="center"/>
        </w:trPr>
        <w:tc>
          <w:tcPr>
            <w:tcW w:w="1260" w:type="pct"/>
            <w:gridSpan w:val="2"/>
            <w:tcBorders>
              <w:top w:val="single" w:color="auto" w:sz="4" w:space="0"/>
              <w:left w:val="single" w:color="auto" w:sz="4" w:space="0"/>
              <w:bottom w:val="single" w:color="auto" w:sz="4" w:space="0"/>
              <w:right w:val="single" w:color="auto" w:sz="4" w:space="0"/>
            </w:tcBorders>
            <w:noWrap w:val="0"/>
            <w:vAlign w:val="top"/>
          </w:tcPr>
          <w:p>
            <w:pPr>
              <w:widowControl/>
              <w:ind w:firstLine="480" w:firstLineChars="200"/>
              <w:contextualSpacing/>
              <w:rPr>
                <w:rFonts w:hint="eastAsia" w:ascii="宋体" w:hAnsi="宋体" w:cs="宋体"/>
                <w:i/>
                <w:kern w:val="0"/>
                <w:sz w:val="24"/>
              </w:rPr>
            </w:pPr>
            <w:r>
              <w:rPr>
                <w:rFonts w:hint="eastAsia" w:ascii="宋体" w:hAnsi="宋体" w:cs="宋体"/>
                <w:i/>
                <w:kern w:val="0"/>
                <w:sz w:val="24"/>
              </w:rPr>
              <w:t>其他事项说明：</w:t>
            </w:r>
          </w:p>
        </w:tc>
        <w:tc>
          <w:tcPr>
            <w:tcW w:w="3740" w:type="pct"/>
            <w:gridSpan w:val="5"/>
            <w:tcBorders>
              <w:top w:val="single" w:color="auto" w:sz="4" w:space="0"/>
              <w:left w:val="single" w:color="auto" w:sz="4" w:space="0"/>
              <w:bottom w:val="single" w:color="auto" w:sz="4" w:space="0"/>
              <w:right w:val="single" w:color="auto" w:sz="4" w:space="0"/>
            </w:tcBorders>
            <w:noWrap w:val="0"/>
            <w:vAlign w:val="top"/>
          </w:tcPr>
          <w:p>
            <w:pPr>
              <w:widowControl/>
              <w:ind w:firstLine="480" w:firstLineChars="200"/>
              <w:contextualSpacing/>
              <w:rPr>
                <w:rFonts w:hint="eastAsia" w:ascii="宋体" w:hAnsi="宋体" w:cs="宋体"/>
                <w:kern w:val="0"/>
                <w:sz w:val="24"/>
              </w:rPr>
            </w:pPr>
          </w:p>
        </w:tc>
      </w:tr>
    </w:tbl>
    <w:p>
      <w:pPr>
        <w:keepNext w:val="0"/>
        <w:keepLines w:val="0"/>
        <w:pageBreakBefore w:val="0"/>
        <w:kinsoku/>
        <w:wordWrap/>
        <w:overflowPunct/>
        <w:topLinePunct w:val="0"/>
        <w:autoSpaceDN/>
        <w:bidi w:val="0"/>
        <w:adjustRightInd/>
        <w:snapToGrid/>
        <w:spacing w:line="360" w:lineRule="auto"/>
        <w:ind w:firstLine="640" w:firstLineChars="200"/>
        <w:contextualSpacing/>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注：1.表格中税率仅指增值税税率，不含其它税种；</w:t>
      </w:r>
    </w:p>
    <w:p>
      <w:pPr>
        <w:keepNext w:val="0"/>
        <w:keepLines w:val="0"/>
        <w:pageBreakBefore w:val="0"/>
        <w:kinsoku/>
        <w:wordWrap/>
        <w:overflowPunct/>
        <w:topLinePunct w:val="0"/>
        <w:autoSpaceDN/>
        <w:bidi w:val="0"/>
        <w:adjustRightInd/>
        <w:snapToGrid/>
        <w:spacing w:line="360" w:lineRule="auto"/>
        <w:ind w:firstLine="640" w:firstLineChars="200"/>
        <w:contextualSpacing/>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    2.请加盖公章和授权代表签字（或章）。</w:t>
      </w:r>
    </w:p>
    <w:p>
      <w:pPr>
        <w:keepNext w:val="0"/>
        <w:keepLines w:val="0"/>
        <w:pageBreakBefore w:val="0"/>
        <w:kinsoku/>
        <w:wordWrap/>
        <w:overflowPunct/>
        <w:topLinePunct w:val="0"/>
        <w:autoSpaceDN/>
        <w:bidi w:val="0"/>
        <w:adjustRightInd/>
        <w:snapToGrid/>
        <w:spacing w:line="360" w:lineRule="auto"/>
        <w:ind w:firstLine="640" w:firstLineChars="200"/>
        <w:contextualSpacing/>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八</w:t>
      </w:r>
      <w:r>
        <w:rPr>
          <w:rFonts w:hint="eastAsia" w:ascii="仿宋_GB2312" w:hAnsi="仿宋_GB2312" w:eastAsia="仿宋_GB2312" w:cs="仿宋_GB2312"/>
          <w:sz w:val="32"/>
          <w:szCs w:val="32"/>
        </w:rPr>
        <w:t>、其他服务：无。</w:t>
      </w:r>
    </w:p>
    <w:p>
      <w:pPr>
        <w:pStyle w:val="5"/>
        <w:keepNext w:val="0"/>
        <w:keepLines w:val="0"/>
        <w:pageBreakBefore w:val="0"/>
        <w:kinsoku/>
        <w:wordWrap/>
        <w:overflowPunct/>
        <w:topLinePunct w:val="0"/>
        <w:autoSpaceDN/>
        <w:bidi w:val="0"/>
        <w:adjustRightInd/>
        <w:snapToGrid/>
        <w:spacing w:line="360" w:lineRule="auto"/>
        <w:ind w:firstLine="640" w:firstLineChars="200"/>
        <w:contextualSpacing/>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九</w:t>
      </w:r>
      <w:r>
        <w:rPr>
          <w:rFonts w:hint="eastAsia" w:ascii="仿宋_GB2312" w:hAnsi="仿宋_GB2312" w:eastAsia="仿宋_GB2312" w:cs="仿宋_GB2312"/>
          <w:sz w:val="32"/>
          <w:szCs w:val="32"/>
        </w:rPr>
        <w:t xml:space="preserve">、报价一览表格式： </w:t>
      </w:r>
    </w:p>
    <w:p>
      <w:pPr>
        <w:pStyle w:val="2"/>
        <w:keepNext w:val="0"/>
        <w:keepLines w:val="0"/>
        <w:pageBreakBefore w:val="0"/>
        <w:shd w:val="clear" w:color="auto" w:fill="FFFFFF"/>
        <w:kinsoku/>
        <w:wordWrap/>
        <w:overflowPunct/>
        <w:topLinePunct w:val="0"/>
        <w:autoSpaceDE w:val="0"/>
        <w:autoSpaceDN/>
        <w:bidi w:val="0"/>
        <w:adjustRightInd/>
        <w:snapToGrid/>
        <w:spacing w:before="0" w:beforeAutospacing="0" w:after="0" w:afterAutospacing="0" w:line="360" w:lineRule="auto"/>
        <w:ind w:firstLine="640" w:firstLineChars="200"/>
        <w:contextualSpacing/>
        <w:jc w:val="both"/>
        <w:textAlignment w:val="auto"/>
        <w:rPr>
          <w:rFonts w:hint="eastAsia" w:ascii="仿宋_GB2312" w:hAnsi="仿宋_GB2312" w:eastAsia="仿宋_GB2312" w:cs="仿宋_GB2312"/>
          <w:bCs/>
          <w:color w:val="1E1E1E"/>
          <w:sz w:val="32"/>
          <w:szCs w:val="32"/>
          <w:shd w:val="clear" w:color="auto" w:fill="FFFFFF"/>
        </w:rPr>
      </w:pPr>
      <w:r>
        <w:rPr>
          <w:rFonts w:hint="eastAsia" w:ascii="仿宋_GB2312" w:hAnsi="仿宋_GB2312" w:eastAsia="仿宋_GB2312" w:cs="仿宋_GB2312"/>
          <w:sz w:val="32"/>
          <w:szCs w:val="32"/>
        </w:rPr>
        <w:t>1、项目需求响应函和针对本项目的技术和服务响应方案；</w:t>
      </w:r>
    </w:p>
    <w:p>
      <w:pPr>
        <w:pStyle w:val="5"/>
        <w:keepNext w:val="0"/>
        <w:keepLines w:val="0"/>
        <w:pageBreakBefore w:val="0"/>
        <w:kinsoku/>
        <w:wordWrap/>
        <w:overflowPunct/>
        <w:topLinePunct w:val="0"/>
        <w:autoSpaceDN/>
        <w:bidi w:val="0"/>
        <w:adjustRightInd/>
        <w:snapToGrid/>
        <w:spacing w:line="360" w:lineRule="auto"/>
        <w:ind w:firstLine="640" w:firstLineChars="200"/>
        <w:contextualSpacing/>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2、太原分行押运服务项目报价一览表，包括报价明细清单，一式两份；</w:t>
      </w:r>
    </w:p>
    <w:p>
      <w:pPr>
        <w:pStyle w:val="5"/>
        <w:keepNext w:val="0"/>
        <w:keepLines w:val="0"/>
        <w:pageBreakBefore w:val="0"/>
        <w:kinsoku/>
        <w:wordWrap/>
        <w:overflowPunct/>
        <w:topLinePunct w:val="0"/>
        <w:autoSpaceDN/>
        <w:bidi w:val="0"/>
        <w:adjustRightInd/>
        <w:snapToGrid/>
        <w:spacing w:line="360" w:lineRule="auto"/>
        <w:ind w:firstLine="640" w:firstLineChars="200"/>
        <w:contextualSpacing/>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3、报价单位基本情况及相关证明材料复印件（营业执照、代理人授权委托书、相关资质证明等，所有复印件必须加盖公章，后附授权委托书模板）； </w:t>
      </w:r>
    </w:p>
    <w:p>
      <w:pPr>
        <w:pStyle w:val="5"/>
        <w:keepNext w:val="0"/>
        <w:keepLines w:val="0"/>
        <w:pageBreakBefore w:val="0"/>
        <w:kinsoku/>
        <w:wordWrap/>
        <w:overflowPunct/>
        <w:topLinePunct w:val="0"/>
        <w:autoSpaceDN/>
        <w:bidi w:val="0"/>
        <w:adjustRightInd/>
        <w:snapToGrid/>
        <w:spacing w:line="360" w:lineRule="auto"/>
        <w:ind w:firstLine="640" w:firstLineChars="200"/>
        <w:contextualSpacing/>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4、其他必须提供的材料</w:t>
      </w:r>
      <w:r>
        <w:rPr>
          <w:rFonts w:hint="eastAsia" w:ascii="仿宋_GB2312" w:hAnsi="仿宋_GB2312" w:eastAsia="仿宋_GB2312" w:cs="仿宋_GB2312"/>
          <w:color w:val="000000"/>
          <w:sz w:val="32"/>
          <w:szCs w:val="32"/>
        </w:rPr>
        <w:t>。</w:t>
      </w:r>
    </w:p>
    <w:p>
      <w:pPr>
        <w:keepNext w:val="0"/>
        <w:keepLines w:val="0"/>
        <w:pageBreakBefore w:val="0"/>
        <w:kinsoku/>
        <w:wordWrap/>
        <w:overflowPunct/>
        <w:topLinePunct w:val="0"/>
        <w:autoSpaceDN/>
        <w:bidi w:val="0"/>
        <w:adjustRightInd/>
        <w:snapToGrid/>
        <w:spacing w:line="360" w:lineRule="auto"/>
        <w:ind w:firstLine="640" w:firstLineChars="200"/>
        <w:contextualSpacing/>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十、谈判及报价文件递交时间、地点：太原市小店区晋阳街163号浙商银行</w:t>
      </w: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rPr>
        <w:t>楼</w:t>
      </w:r>
      <w:r>
        <w:rPr>
          <w:rFonts w:hint="eastAsia" w:ascii="仿宋_GB2312" w:hAnsi="仿宋_GB2312" w:eastAsia="仿宋_GB2312" w:cs="仿宋_GB2312"/>
          <w:sz w:val="32"/>
          <w:szCs w:val="32"/>
          <w:lang w:val="en-US" w:eastAsia="zh-CN"/>
        </w:rPr>
        <w:t>开评标</w:t>
      </w:r>
      <w:r>
        <w:rPr>
          <w:rFonts w:hint="eastAsia" w:ascii="仿宋_GB2312" w:hAnsi="仿宋_GB2312" w:eastAsia="仿宋_GB2312" w:cs="仿宋_GB2312"/>
          <w:sz w:val="32"/>
          <w:szCs w:val="32"/>
        </w:rPr>
        <w:t>室</w:t>
      </w:r>
    </w:p>
    <w:p>
      <w:pPr>
        <w:keepNext w:val="0"/>
        <w:keepLines w:val="0"/>
        <w:pageBreakBefore w:val="0"/>
        <w:kinsoku/>
        <w:wordWrap/>
        <w:overflowPunct/>
        <w:topLinePunct w:val="0"/>
        <w:autoSpaceDN/>
        <w:bidi w:val="0"/>
        <w:adjustRightInd/>
        <w:snapToGrid/>
        <w:spacing w:line="360" w:lineRule="auto"/>
        <w:ind w:firstLine="640" w:firstLineChars="200"/>
        <w:contextualSpacing/>
        <w:textAlignment w:val="auto"/>
        <w:rPr>
          <w:rFonts w:hint="eastAsia" w:ascii="仿宋_GB2312" w:hAnsi="仿宋_GB2312" w:eastAsia="仿宋_GB2312" w:cs="仿宋_GB2312"/>
          <w:color w:val="FF0000"/>
          <w:sz w:val="32"/>
          <w:szCs w:val="32"/>
          <w:highlight w:val="none"/>
        </w:rPr>
      </w:pPr>
      <w:r>
        <w:rPr>
          <w:rFonts w:hint="eastAsia" w:ascii="仿宋_GB2312" w:hAnsi="仿宋_GB2312" w:eastAsia="仿宋_GB2312" w:cs="仿宋_GB2312"/>
          <w:sz w:val="32"/>
          <w:szCs w:val="32"/>
        </w:rPr>
        <w:t>时间：</w:t>
      </w:r>
      <w:r>
        <w:rPr>
          <w:rFonts w:hint="eastAsia" w:ascii="仿宋_GB2312" w:hAnsi="仿宋_GB2312" w:eastAsia="仿宋_GB2312" w:cs="仿宋_GB2312"/>
          <w:sz w:val="32"/>
          <w:szCs w:val="32"/>
          <w:highlight w:val="none"/>
        </w:rPr>
        <w:t>202</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sz w:val="32"/>
          <w:szCs w:val="32"/>
          <w:highlight w:val="none"/>
          <w:lang w:val="en-US" w:eastAsia="zh-CN"/>
        </w:rPr>
        <w:t>27</w:t>
      </w:r>
      <w:r>
        <w:rPr>
          <w:rFonts w:hint="eastAsia" w:ascii="仿宋_GB2312" w:hAnsi="仿宋_GB2312" w:eastAsia="仿宋_GB2312" w:cs="仿宋_GB2312"/>
          <w:sz w:val="32"/>
          <w:szCs w:val="32"/>
          <w:highlight w:val="none"/>
        </w:rPr>
        <w:t>日15时0分</w:t>
      </w:r>
    </w:p>
    <w:p>
      <w:pPr>
        <w:keepNext w:val="0"/>
        <w:keepLines w:val="0"/>
        <w:pageBreakBefore w:val="0"/>
        <w:kinsoku/>
        <w:wordWrap/>
        <w:overflowPunct/>
        <w:topLinePunct w:val="0"/>
        <w:autoSpaceDN/>
        <w:bidi w:val="0"/>
        <w:adjustRightInd/>
        <w:snapToGrid/>
        <w:spacing w:line="360" w:lineRule="auto"/>
        <w:ind w:firstLine="640" w:firstLineChars="200"/>
        <w:contextualSpacing/>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十一</w:t>
      </w:r>
      <w:r>
        <w:rPr>
          <w:rFonts w:hint="eastAsia" w:ascii="仿宋_GB2312" w:hAnsi="仿宋_GB2312" w:eastAsia="仿宋_GB2312" w:cs="仿宋_GB2312"/>
          <w:sz w:val="32"/>
          <w:szCs w:val="32"/>
        </w:rPr>
        <w:t xml:space="preserve">、如有疑问，请通过集采专用邮箱yangjun_ty@czbank.com联系。                            </w:t>
      </w:r>
    </w:p>
    <w:p>
      <w:pPr>
        <w:pStyle w:val="6"/>
        <w:keepNext w:val="0"/>
        <w:keepLines w:val="0"/>
        <w:pageBreakBefore w:val="0"/>
        <w:kinsoku/>
        <w:wordWrap/>
        <w:overflowPunct/>
        <w:topLinePunct w:val="0"/>
        <w:autoSpaceDN/>
        <w:bidi w:val="0"/>
        <w:adjustRightInd/>
        <w:snapToGrid/>
        <w:spacing w:line="360" w:lineRule="auto"/>
        <w:ind w:firstLine="800" w:firstLineChars="250"/>
        <w:contextualSpacing/>
        <w:textAlignment w:val="auto"/>
        <w:rPr>
          <w:rFonts w:hint="eastAsia" w:ascii="仿宋_GB2312" w:hAnsi="仿宋_GB2312" w:eastAsia="仿宋_GB2312" w:cs="仿宋_GB2312"/>
          <w:sz w:val="32"/>
          <w:szCs w:val="32"/>
        </w:rPr>
      </w:pPr>
    </w:p>
    <w:p>
      <w:pPr>
        <w:pStyle w:val="6"/>
        <w:keepNext w:val="0"/>
        <w:keepLines w:val="0"/>
        <w:pageBreakBefore w:val="0"/>
        <w:kinsoku/>
        <w:wordWrap/>
        <w:overflowPunct/>
        <w:topLinePunct w:val="0"/>
        <w:autoSpaceDN/>
        <w:bidi w:val="0"/>
        <w:adjustRightInd/>
        <w:snapToGrid/>
        <w:spacing w:line="360" w:lineRule="auto"/>
        <w:ind w:firstLine="800" w:firstLineChars="250"/>
        <w:contextualSpacing/>
        <w:textAlignment w:val="auto"/>
        <w:rPr>
          <w:rFonts w:hint="eastAsia" w:ascii="仿宋_GB2312" w:hAnsi="仿宋_GB2312" w:eastAsia="仿宋_GB2312" w:cs="仿宋_GB2312"/>
          <w:sz w:val="32"/>
          <w:szCs w:val="32"/>
        </w:rPr>
      </w:pPr>
    </w:p>
    <w:p>
      <w:pPr>
        <w:keepNext w:val="0"/>
        <w:keepLines w:val="0"/>
        <w:pageBreakBefore w:val="0"/>
        <w:kinsoku/>
        <w:wordWrap/>
        <w:overflowPunct/>
        <w:topLinePunct w:val="0"/>
        <w:autoSpaceDN/>
        <w:bidi w:val="0"/>
        <w:adjustRightInd/>
        <w:snapToGrid/>
        <w:spacing w:line="360" w:lineRule="auto"/>
        <w:jc w:val="right"/>
        <w:textAlignment w:val="auto"/>
        <w:rPr>
          <w:rFonts w:hint="eastAsia" w:ascii="仿宋_GB2312" w:hAnsi="仿宋_GB2312" w:eastAsia="仿宋_GB2312" w:cs="仿宋_GB2312"/>
          <w:i w:val="0"/>
          <w:iCs w:val="0"/>
          <w:sz w:val="32"/>
          <w:szCs w:val="32"/>
          <w:lang w:val="en-US" w:eastAsia="zh-CN"/>
        </w:rPr>
      </w:pPr>
      <w:r>
        <w:rPr>
          <w:rFonts w:hint="eastAsia" w:ascii="仿宋_GB2312" w:hAnsi="仿宋_GB2312" w:eastAsia="仿宋_GB2312" w:cs="仿宋_GB2312"/>
          <w:i w:val="0"/>
          <w:iCs w:val="0"/>
          <w:sz w:val="32"/>
          <w:szCs w:val="32"/>
        </w:rPr>
        <w:t>采购人：浙商银行股份有限公司</w:t>
      </w:r>
      <w:r>
        <w:rPr>
          <w:rFonts w:hint="eastAsia" w:ascii="仿宋_GB2312" w:hAnsi="仿宋_GB2312" w:eastAsia="仿宋_GB2312" w:cs="仿宋_GB2312"/>
          <w:i w:val="0"/>
          <w:iCs w:val="0"/>
          <w:sz w:val="32"/>
          <w:szCs w:val="32"/>
          <w:lang w:val="en-US" w:eastAsia="zh-CN"/>
        </w:rPr>
        <w:t>太原分行</w:t>
      </w:r>
    </w:p>
    <w:p>
      <w:pPr>
        <w:keepNext w:val="0"/>
        <w:keepLines w:val="0"/>
        <w:pageBreakBefore w:val="0"/>
        <w:kinsoku/>
        <w:wordWrap/>
        <w:overflowPunct/>
        <w:topLinePunct w:val="0"/>
        <w:autoSpaceDN/>
        <w:bidi w:val="0"/>
        <w:adjustRightInd/>
        <w:snapToGrid/>
        <w:spacing w:line="360" w:lineRule="auto"/>
        <w:jc w:val="center"/>
        <w:textAlignment w:val="auto"/>
        <w:rPr>
          <w:rFonts w:hint="eastAsia" w:ascii="仿宋_GB2312" w:hAnsi="仿宋_GB2312" w:eastAsia="仿宋_GB2312" w:cs="仿宋_GB2312"/>
          <w:i w:val="0"/>
          <w:iCs w:val="0"/>
          <w:sz w:val="32"/>
          <w:szCs w:val="32"/>
        </w:rPr>
      </w:pPr>
      <w:r>
        <w:rPr>
          <w:rFonts w:hint="eastAsia" w:ascii="仿宋_GB2312" w:hAnsi="仿宋_GB2312" w:eastAsia="仿宋_GB2312" w:cs="仿宋_GB2312"/>
          <w:i w:val="0"/>
          <w:iCs w:val="0"/>
          <w:sz w:val="32"/>
          <w:szCs w:val="32"/>
        </w:rPr>
        <w:t xml:space="preserve">                       202</w:t>
      </w:r>
      <w:r>
        <w:rPr>
          <w:rFonts w:hint="eastAsia" w:ascii="仿宋_GB2312" w:hAnsi="仿宋_GB2312" w:eastAsia="仿宋_GB2312" w:cs="仿宋_GB2312"/>
          <w:i w:val="0"/>
          <w:iCs w:val="0"/>
          <w:sz w:val="32"/>
          <w:szCs w:val="32"/>
          <w:lang w:val="en-US" w:eastAsia="zh-CN"/>
        </w:rPr>
        <w:t>6</w:t>
      </w:r>
      <w:r>
        <w:rPr>
          <w:rFonts w:hint="eastAsia" w:ascii="仿宋_GB2312" w:hAnsi="仿宋_GB2312" w:eastAsia="仿宋_GB2312" w:cs="仿宋_GB2312"/>
          <w:i w:val="0"/>
          <w:iCs w:val="0"/>
          <w:sz w:val="32"/>
          <w:szCs w:val="32"/>
        </w:rPr>
        <w:t>年</w:t>
      </w:r>
      <w:r>
        <w:rPr>
          <w:rFonts w:hint="eastAsia" w:ascii="仿宋_GB2312" w:hAnsi="仿宋_GB2312" w:eastAsia="仿宋_GB2312" w:cs="仿宋_GB2312"/>
          <w:i w:val="0"/>
          <w:iCs w:val="0"/>
          <w:sz w:val="32"/>
          <w:szCs w:val="32"/>
          <w:lang w:val="en-US" w:eastAsia="zh-CN"/>
        </w:rPr>
        <w:t>5</w:t>
      </w:r>
      <w:r>
        <w:rPr>
          <w:rFonts w:hint="eastAsia" w:ascii="仿宋_GB2312" w:hAnsi="仿宋_GB2312" w:eastAsia="仿宋_GB2312" w:cs="仿宋_GB2312"/>
          <w:i w:val="0"/>
          <w:iCs w:val="0"/>
          <w:sz w:val="32"/>
          <w:szCs w:val="32"/>
        </w:rPr>
        <w:t>月</w:t>
      </w:r>
      <w:r>
        <w:rPr>
          <w:rFonts w:hint="eastAsia" w:ascii="仿宋_GB2312" w:hAnsi="仿宋_GB2312" w:eastAsia="仿宋_GB2312" w:cs="仿宋_GB2312"/>
          <w:i w:val="0"/>
          <w:iCs w:val="0"/>
          <w:sz w:val="32"/>
          <w:szCs w:val="32"/>
          <w:lang w:val="en-US" w:eastAsia="zh-CN"/>
        </w:rPr>
        <w:t>22</w:t>
      </w:r>
      <w:r>
        <w:rPr>
          <w:rFonts w:hint="eastAsia" w:ascii="仿宋_GB2312" w:hAnsi="仿宋_GB2312" w:eastAsia="仿宋_GB2312" w:cs="仿宋_GB2312"/>
          <w:i w:val="0"/>
          <w:iCs w:val="0"/>
          <w:sz w:val="32"/>
          <w:szCs w:val="32"/>
        </w:rPr>
        <w:t>日</w:t>
      </w:r>
    </w:p>
    <w:p>
      <w:pPr>
        <w:jc w:val="center"/>
        <w:rPr>
          <w:rFonts w:hint="eastAsia" w:ascii="仿宋_GB2312" w:hAnsi="宋体" w:eastAsia="仿宋_GB2312"/>
          <w:sz w:val="28"/>
          <w:szCs w:val="28"/>
        </w:rPr>
      </w:pPr>
    </w:p>
    <w:p>
      <w:pPr>
        <w:jc w:val="center"/>
        <w:rPr>
          <w:rFonts w:hint="eastAsia" w:ascii="黑体" w:hAnsi="黑体" w:eastAsia="黑体"/>
          <w:b/>
          <w:sz w:val="32"/>
          <w:szCs w:val="32"/>
        </w:rPr>
      </w:pPr>
      <w:bookmarkStart w:id="0" w:name="_GoBack"/>
      <w:bookmarkEnd w:id="0"/>
      <w:r>
        <w:rPr>
          <w:rFonts w:hint="eastAsia" w:ascii="黑体" w:hAnsi="黑体" w:eastAsia="黑体"/>
          <w:b/>
          <w:sz w:val="32"/>
          <w:szCs w:val="32"/>
        </w:rPr>
        <w:t>授权委托书</w:t>
      </w:r>
    </w:p>
    <w:p>
      <w:pPr>
        <w:ind w:firstLine="640" w:firstLineChars="200"/>
        <w:contextualSpacing/>
        <w:rPr>
          <w:rFonts w:hint="eastAsia" w:ascii="仿宋_GB2312" w:hAnsi="华文楷体" w:eastAsia="仿宋_GB2312"/>
          <w:sz w:val="32"/>
          <w:szCs w:val="32"/>
        </w:rPr>
      </w:pPr>
      <w:r>
        <w:rPr>
          <w:rFonts w:hint="eastAsia" w:ascii="仿宋_GB2312" w:hAnsi="华文楷体" w:eastAsia="仿宋_GB2312"/>
          <w:sz w:val="32"/>
          <w:szCs w:val="32"/>
        </w:rPr>
        <w:t>本授权书声明：</w:t>
      </w:r>
      <w:r>
        <w:rPr>
          <w:rFonts w:hint="eastAsia" w:ascii="仿宋_GB2312" w:hAnsi="华文楷体" w:eastAsia="仿宋_GB2312"/>
          <w:sz w:val="32"/>
          <w:szCs w:val="32"/>
          <w:u w:val="single"/>
        </w:rPr>
        <w:t xml:space="preserve"> </w:t>
      </w:r>
      <w:r>
        <w:rPr>
          <w:rFonts w:hint="eastAsia" w:ascii="仿宋_GB2312" w:hAnsi="华文楷体" w:eastAsia="仿宋_GB2312"/>
          <w:i/>
          <w:sz w:val="32"/>
          <w:szCs w:val="32"/>
          <w:u w:val="single"/>
        </w:rPr>
        <w:t>（供应商名称）</w:t>
      </w:r>
      <w:r>
        <w:rPr>
          <w:rFonts w:hint="eastAsia" w:ascii="仿宋_GB2312" w:hAnsi="华文楷体" w:eastAsia="仿宋_GB2312"/>
          <w:sz w:val="32"/>
          <w:szCs w:val="32"/>
          <w:u w:val="single"/>
        </w:rPr>
        <w:t xml:space="preserve"> </w:t>
      </w:r>
      <w:r>
        <w:rPr>
          <w:rFonts w:hint="eastAsia" w:ascii="仿宋_GB2312" w:hAnsi="华文楷体" w:eastAsia="仿宋_GB2312"/>
          <w:sz w:val="32"/>
          <w:szCs w:val="32"/>
        </w:rPr>
        <w:t>公司，由法定代表人</w:t>
      </w:r>
      <w:r>
        <w:rPr>
          <w:rFonts w:hint="eastAsia" w:ascii="仿宋_GB2312" w:hAnsi="华文楷体" w:eastAsia="仿宋_GB2312"/>
          <w:sz w:val="32"/>
          <w:szCs w:val="32"/>
          <w:u w:val="single"/>
        </w:rPr>
        <w:t xml:space="preserve"> </w:t>
      </w:r>
      <w:r>
        <w:rPr>
          <w:rFonts w:hint="eastAsia" w:ascii="仿宋_GB2312" w:hAnsi="华文楷体" w:eastAsia="仿宋_GB2312"/>
          <w:i/>
          <w:sz w:val="32"/>
          <w:szCs w:val="32"/>
          <w:u w:val="single"/>
        </w:rPr>
        <w:t>（法定代表人姓名）</w:t>
      </w:r>
      <w:r>
        <w:rPr>
          <w:rFonts w:hint="eastAsia" w:ascii="仿宋_GB2312" w:hAnsi="华文楷体" w:eastAsia="仿宋_GB2312"/>
          <w:sz w:val="32"/>
          <w:szCs w:val="32"/>
        </w:rPr>
        <w:t>代表本公司授权</w:t>
      </w:r>
      <w:r>
        <w:rPr>
          <w:rFonts w:hint="eastAsia" w:ascii="仿宋_GB2312" w:hAnsi="华文楷体" w:eastAsia="仿宋_GB2312"/>
          <w:i/>
          <w:sz w:val="32"/>
          <w:szCs w:val="32"/>
          <w:u w:val="single"/>
        </w:rPr>
        <w:t>（被授权人姓名）</w:t>
      </w:r>
      <w:r>
        <w:rPr>
          <w:rFonts w:hint="eastAsia" w:ascii="仿宋_GB2312" w:hAnsi="华文楷体" w:eastAsia="仿宋_GB2312"/>
          <w:sz w:val="32"/>
          <w:szCs w:val="32"/>
        </w:rPr>
        <w:t>为本公司的合法代理人，被授权人有权代表本公司参与浙商银行股份有限公司</w:t>
      </w:r>
      <w:r>
        <w:rPr>
          <w:rFonts w:hint="eastAsia" w:ascii="仿宋_GB2312" w:hAnsi="华文楷体" w:eastAsia="仿宋_GB2312"/>
          <w:sz w:val="32"/>
          <w:szCs w:val="32"/>
          <w:lang w:val="en-US" w:eastAsia="zh-CN"/>
        </w:rPr>
        <w:t>太原分行</w:t>
      </w:r>
      <w:r>
        <w:rPr>
          <w:rFonts w:hint="eastAsia" w:ascii="仿宋_GB2312" w:hAnsi="华文楷体" w:eastAsia="仿宋_GB2312"/>
          <w:i/>
          <w:sz w:val="32"/>
          <w:szCs w:val="32"/>
          <w:u w:val="single"/>
        </w:rPr>
        <w:t>　XXXXX</w:t>
      </w:r>
      <w:r>
        <w:rPr>
          <w:rFonts w:hint="eastAsia" w:ascii="仿宋_GB2312" w:hAnsi="华文楷体" w:eastAsia="仿宋_GB2312"/>
          <w:sz w:val="32"/>
          <w:szCs w:val="32"/>
        </w:rPr>
        <w:t>项目的谈判，以本公司名义处理一切与该项目有关的事务。</w:t>
      </w:r>
    </w:p>
    <w:p>
      <w:pPr>
        <w:ind w:firstLine="640" w:firstLineChars="200"/>
        <w:contextualSpacing/>
        <w:rPr>
          <w:rFonts w:hint="eastAsia" w:ascii="仿宋_GB2312" w:hAnsi="华文楷体" w:eastAsia="仿宋_GB2312"/>
          <w:sz w:val="32"/>
          <w:szCs w:val="32"/>
        </w:rPr>
      </w:pPr>
      <w:r>
        <w:rPr>
          <w:rFonts w:hint="eastAsia" w:ascii="仿宋_GB2312" w:hAnsi="华文楷体" w:eastAsia="仿宋_GB2312"/>
          <w:sz w:val="32"/>
          <w:szCs w:val="32"/>
        </w:rPr>
        <w:t>本授权书于　年　月　日签字或盖章生效，特此声明。</w:t>
      </w:r>
    </w:p>
    <w:p>
      <w:pPr>
        <w:tabs>
          <w:tab w:val="left" w:pos="360"/>
          <w:tab w:val="left" w:pos="5400"/>
        </w:tabs>
        <w:contextualSpacing/>
        <w:rPr>
          <w:rFonts w:hint="eastAsia" w:ascii="仿宋_GB2312" w:hAnsi="华文楷体" w:eastAsia="仿宋_GB2312" w:cs="楷体_GB2312"/>
          <w:i/>
          <w:sz w:val="32"/>
          <w:szCs w:val="32"/>
          <w:u w:val="single"/>
        </w:rPr>
      </w:pPr>
      <w:r>
        <w:rPr>
          <w:rFonts w:hint="eastAsia" w:ascii="仿宋_GB2312" w:hAnsi="华文楷体" w:eastAsia="仿宋_GB2312"/>
          <w:i/>
          <w:sz w:val="32"/>
          <w:szCs w:val="32"/>
        </w:rPr>
        <w:t>法定代表人签字或签章</w:t>
      </w:r>
      <w:r>
        <w:rPr>
          <w:rFonts w:hint="eastAsia" w:ascii="仿宋_GB2312" w:hAnsi="华文楷体" w:eastAsia="仿宋_GB2312" w:cs="楷体_GB2312"/>
          <w:i/>
          <w:sz w:val="32"/>
          <w:szCs w:val="32"/>
          <w:u w:val="single"/>
        </w:rPr>
        <w:tab/>
      </w:r>
    </w:p>
    <w:p>
      <w:pPr>
        <w:tabs>
          <w:tab w:val="left" w:pos="360"/>
          <w:tab w:val="left" w:pos="5400"/>
        </w:tabs>
        <w:contextualSpacing/>
        <w:rPr>
          <w:rFonts w:hint="eastAsia" w:ascii="仿宋_GB2312" w:hAnsi="华文楷体" w:eastAsia="仿宋_GB2312" w:cs="楷体_GB2312"/>
          <w:i/>
          <w:sz w:val="32"/>
          <w:szCs w:val="32"/>
        </w:rPr>
      </w:pPr>
      <w:r>
        <w:rPr>
          <w:rFonts w:hint="eastAsia" w:ascii="仿宋_GB2312" w:hAnsi="华文楷体" w:eastAsia="仿宋_GB2312" w:cs="楷体_GB2312"/>
          <w:i/>
          <w:sz w:val="32"/>
          <w:szCs w:val="32"/>
        </w:rPr>
        <w:t>法定代表人身份证号码：</w:t>
      </w:r>
    </w:p>
    <w:p>
      <w:pPr>
        <w:tabs>
          <w:tab w:val="left" w:pos="360"/>
          <w:tab w:val="left" w:pos="5400"/>
        </w:tabs>
        <w:contextualSpacing/>
        <w:rPr>
          <w:rFonts w:hint="eastAsia" w:ascii="仿宋_GB2312" w:hAnsi="华文楷体" w:eastAsia="仿宋_GB2312" w:cs="楷体_GB2312"/>
          <w:i/>
          <w:sz w:val="32"/>
          <w:szCs w:val="32"/>
        </w:rPr>
      </w:pPr>
      <w:r>
        <w:rPr>
          <w:rFonts w:hint="eastAsia" w:ascii="仿宋_GB2312" w:hAnsi="华文楷体" w:eastAsia="仿宋_GB2312" w:cs="楷体_GB2312"/>
          <w:i/>
          <w:sz w:val="32"/>
          <w:szCs w:val="32"/>
        </w:rPr>
        <w:t>被授权人签字</w:t>
      </w:r>
      <w:r>
        <w:rPr>
          <w:rFonts w:hint="eastAsia" w:ascii="仿宋_GB2312" w:hAnsi="华文楷体" w:eastAsia="仿宋_GB2312" w:cs="楷体_GB2312"/>
          <w:i/>
          <w:sz w:val="32"/>
          <w:szCs w:val="32"/>
          <w:u w:val="single"/>
        </w:rPr>
        <w:tab/>
      </w:r>
      <w:r>
        <w:rPr>
          <w:rFonts w:hint="eastAsia" w:ascii="仿宋_GB2312" w:hAnsi="华文楷体" w:eastAsia="仿宋_GB2312" w:cs="楷体_GB2312"/>
          <w:i/>
          <w:sz w:val="32"/>
          <w:szCs w:val="32"/>
        </w:rPr>
        <w:tab/>
      </w:r>
    </w:p>
    <w:p>
      <w:pPr>
        <w:tabs>
          <w:tab w:val="left" w:pos="360"/>
          <w:tab w:val="left" w:pos="5400"/>
        </w:tabs>
        <w:contextualSpacing/>
        <w:rPr>
          <w:rFonts w:hint="eastAsia" w:ascii="仿宋_GB2312" w:hAnsi="华文楷体" w:eastAsia="仿宋_GB2312" w:cs="楷体_GB2312"/>
          <w:i/>
          <w:sz w:val="32"/>
          <w:szCs w:val="32"/>
        </w:rPr>
      </w:pPr>
      <w:r>
        <w:rPr>
          <w:rFonts w:hint="eastAsia" w:ascii="仿宋_GB2312" w:hAnsi="华文楷体" w:eastAsia="仿宋_GB2312" w:cs="楷体_GB2312"/>
          <w:i/>
          <w:sz w:val="32"/>
          <w:szCs w:val="32"/>
        </w:rPr>
        <w:t>被授权人身份证号码：</w:t>
      </w:r>
    </w:p>
    <w:p>
      <w:pPr>
        <w:tabs>
          <w:tab w:val="left" w:pos="360"/>
          <w:tab w:val="left" w:pos="5400"/>
        </w:tabs>
        <w:contextualSpacing/>
        <w:rPr>
          <w:rFonts w:hint="eastAsia" w:ascii="仿宋_GB2312" w:hAnsi="华文楷体" w:eastAsia="仿宋_GB2312" w:cs="楷体_GB2312"/>
          <w:i/>
          <w:sz w:val="32"/>
          <w:szCs w:val="32"/>
          <w:u w:val="single"/>
        </w:rPr>
      </w:pPr>
      <w:r>
        <w:rPr>
          <w:rFonts w:hint="eastAsia" w:ascii="仿宋_GB2312" w:hAnsi="华文楷体" w:eastAsia="仿宋_GB2312" w:cs="楷体_GB2312"/>
          <w:i/>
          <w:sz w:val="32"/>
          <w:szCs w:val="32"/>
        </w:rPr>
        <w:t>单位名称</w:t>
      </w:r>
      <w:r>
        <w:rPr>
          <w:rFonts w:hint="eastAsia" w:ascii="仿宋_GB2312" w:hAnsi="华文楷体" w:eastAsia="仿宋_GB2312" w:cs="楷体_GB2312"/>
          <w:i/>
          <w:sz w:val="32"/>
          <w:szCs w:val="32"/>
          <w:u w:val="single"/>
        </w:rPr>
        <w:tab/>
      </w:r>
      <w:r>
        <w:rPr>
          <w:rFonts w:hint="eastAsia" w:ascii="仿宋_GB2312" w:hAnsi="华文楷体" w:eastAsia="仿宋_GB2312" w:cs="楷体_GB2312"/>
          <w:i/>
          <w:sz w:val="32"/>
          <w:szCs w:val="32"/>
          <w:u w:val="single"/>
        </w:rPr>
        <w:t>（签章）</w:t>
      </w:r>
    </w:p>
    <w:p>
      <w:pPr>
        <w:tabs>
          <w:tab w:val="left" w:pos="360"/>
          <w:tab w:val="left" w:pos="5400"/>
        </w:tabs>
        <w:contextualSpacing/>
        <w:rPr>
          <w:rFonts w:hint="eastAsia" w:ascii="仿宋_GB2312" w:hAnsi="华文楷体" w:eastAsia="仿宋_GB2312"/>
          <w:sz w:val="32"/>
          <w:szCs w:val="32"/>
          <w:u w:val="single"/>
        </w:rPr>
      </w:pPr>
      <w:r>
        <w:rPr>
          <w:rFonts w:hint="eastAsia" w:ascii="仿宋_GB2312" w:hAnsi="华文楷体" w:eastAsia="仿宋_GB2312" w:cs="楷体_GB2312"/>
          <w:i/>
          <w:sz w:val="32"/>
          <w:szCs w:val="32"/>
        </w:rPr>
        <w:t>地址</w:t>
      </w:r>
      <w:r>
        <w:rPr>
          <w:rFonts w:hint="eastAsia" w:ascii="仿宋_GB2312" w:hAnsi="华文楷体" w:eastAsia="仿宋_GB2312" w:cs="楷体_GB2312"/>
          <w:sz w:val="32"/>
          <w:szCs w:val="32"/>
          <w:u w:val="single"/>
        </w:rPr>
        <w:tab/>
      </w:r>
    </w:p>
    <w:tbl>
      <w:tblPr>
        <w:tblStyle w:val="3"/>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7"/>
        <w:gridCol w:w="4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9" w:hRule="atLeast"/>
        </w:trPr>
        <w:tc>
          <w:tcPr>
            <w:tcW w:w="4927" w:type="dxa"/>
            <w:tcBorders>
              <w:top w:val="single" w:color="auto" w:sz="4" w:space="0"/>
              <w:left w:val="single" w:color="auto" w:sz="4" w:space="0"/>
              <w:bottom w:val="single" w:color="auto" w:sz="4" w:space="0"/>
              <w:right w:val="single" w:color="auto" w:sz="4" w:space="0"/>
            </w:tcBorders>
            <w:noWrap w:val="0"/>
            <w:vAlign w:val="top"/>
          </w:tcPr>
          <w:p>
            <w:pPr>
              <w:contextualSpacing/>
              <w:rPr>
                <w:rFonts w:hint="eastAsia" w:ascii="宋体" w:hAnsi="宋体"/>
                <w:i/>
                <w:sz w:val="24"/>
              </w:rPr>
            </w:pPr>
          </w:p>
          <w:p>
            <w:pPr>
              <w:contextualSpacing/>
              <w:rPr>
                <w:rFonts w:hint="eastAsia" w:ascii="宋体" w:hAnsi="宋体"/>
                <w:i/>
                <w:sz w:val="24"/>
              </w:rPr>
            </w:pPr>
          </w:p>
          <w:p>
            <w:pPr>
              <w:contextualSpacing/>
              <w:rPr>
                <w:rFonts w:hint="eastAsia" w:ascii="宋体" w:hAnsi="宋体"/>
                <w:i/>
                <w:sz w:val="24"/>
              </w:rPr>
            </w:pPr>
            <w:r>
              <w:rPr>
                <w:rFonts w:hint="eastAsia" w:ascii="宋体" w:hAnsi="宋体"/>
                <w:i/>
                <w:sz w:val="24"/>
              </w:rPr>
              <w:t xml:space="preserve">        法定代表人身份证复印件（正面）</w:t>
            </w:r>
          </w:p>
          <w:p>
            <w:pPr>
              <w:contextualSpacing/>
              <w:rPr>
                <w:rFonts w:hint="eastAsia" w:ascii="宋体" w:hAnsi="宋体"/>
                <w:i/>
                <w:sz w:val="24"/>
              </w:rPr>
            </w:pPr>
            <w:r>
              <w:rPr>
                <w:rFonts w:hint="eastAsia" w:ascii="宋体" w:hAnsi="宋体"/>
                <w:i/>
                <w:sz w:val="24"/>
              </w:rPr>
              <w:t xml:space="preserve">              </w:t>
            </w:r>
          </w:p>
        </w:tc>
        <w:tc>
          <w:tcPr>
            <w:tcW w:w="4927" w:type="dxa"/>
            <w:tcBorders>
              <w:top w:val="single" w:color="auto" w:sz="4" w:space="0"/>
              <w:left w:val="single" w:color="auto" w:sz="4" w:space="0"/>
              <w:bottom w:val="single" w:color="auto" w:sz="4" w:space="0"/>
              <w:right w:val="single" w:color="auto" w:sz="4" w:space="0"/>
            </w:tcBorders>
            <w:noWrap w:val="0"/>
            <w:vAlign w:val="top"/>
          </w:tcPr>
          <w:p>
            <w:pPr>
              <w:contextualSpacing/>
              <w:rPr>
                <w:rFonts w:hint="eastAsia" w:ascii="宋体" w:hAnsi="宋体"/>
                <w:i/>
                <w:sz w:val="24"/>
              </w:rPr>
            </w:pPr>
            <w:r>
              <w:rPr>
                <w:rFonts w:hint="eastAsia" w:ascii="宋体" w:hAnsi="宋体"/>
                <w:i/>
                <w:sz w:val="24"/>
              </w:rPr>
              <w:t xml:space="preserve">    </w:t>
            </w:r>
          </w:p>
          <w:p>
            <w:pPr>
              <w:contextualSpacing/>
              <w:rPr>
                <w:rFonts w:hint="eastAsia" w:ascii="宋体" w:hAnsi="宋体"/>
                <w:i/>
                <w:sz w:val="24"/>
              </w:rPr>
            </w:pPr>
          </w:p>
          <w:p>
            <w:pPr>
              <w:contextualSpacing/>
              <w:rPr>
                <w:rFonts w:hint="eastAsia" w:ascii="宋体" w:hAnsi="宋体"/>
                <w:i/>
                <w:sz w:val="24"/>
              </w:rPr>
            </w:pPr>
            <w:r>
              <w:rPr>
                <w:rFonts w:hint="eastAsia" w:ascii="宋体" w:hAnsi="宋体"/>
                <w:i/>
                <w:sz w:val="24"/>
              </w:rPr>
              <w:t xml:space="preserve">         被授权人身份证复印件（正面）</w:t>
            </w:r>
          </w:p>
          <w:p>
            <w:pPr>
              <w:contextualSpacing/>
              <w:rPr>
                <w:rFonts w:hint="eastAsia" w:ascii="宋体" w:hAnsi="宋体"/>
                <w:i/>
                <w:sz w:val="24"/>
              </w:rPr>
            </w:pPr>
            <w:r>
              <w:rPr>
                <w:rFonts w:hint="eastAsia" w:ascii="宋体" w:hAnsi="宋体"/>
                <w:i/>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1" w:hRule="atLeast"/>
        </w:trPr>
        <w:tc>
          <w:tcPr>
            <w:tcW w:w="4927" w:type="dxa"/>
            <w:tcBorders>
              <w:top w:val="single" w:color="auto" w:sz="4" w:space="0"/>
              <w:left w:val="single" w:color="auto" w:sz="4" w:space="0"/>
              <w:bottom w:val="single" w:color="auto" w:sz="4" w:space="0"/>
              <w:right w:val="single" w:color="auto" w:sz="4" w:space="0"/>
            </w:tcBorders>
            <w:noWrap w:val="0"/>
            <w:vAlign w:val="top"/>
          </w:tcPr>
          <w:p>
            <w:pPr>
              <w:contextualSpacing/>
              <w:rPr>
                <w:rFonts w:hint="eastAsia" w:ascii="宋体" w:hAnsi="宋体"/>
                <w:i/>
                <w:sz w:val="24"/>
              </w:rPr>
            </w:pPr>
          </w:p>
          <w:p>
            <w:pPr>
              <w:contextualSpacing/>
              <w:rPr>
                <w:rFonts w:hint="eastAsia" w:ascii="宋体" w:hAnsi="宋体"/>
                <w:i/>
                <w:sz w:val="24"/>
              </w:rPr>
            </w:pPr>
          </w:p>
          <w:p>
            <w:pPr>
              <w:contextualSpacing/>
              <w:rPr>
                <w:rFonts w:hint="eastAsia" w:ascii="宋体" w:hAnsi="宋体"/>
                <w:i/>
                <w:sz w:val="24"/>
              </w:rPr>
            </w:pPr>
            <w:r>
              <w:rPr>
                <w:rFonts w:hint="eastAsia" w:ascii="宋体" w:hAnsi="宋体"/>
                <w:i/>
                <w:sz w:val="24"/>
              </w:rPr>
              <w:t xml:space="preserve">        法定代表人身份证复印件（反面）</w:t>
            </w:r>
          </w:p>
          <w:p>
            <w:pPr>
              <w:contextualSpacing/>
              <w:rPr>
                <w:rFonts w:hint="eastAsia" w:ascii="宋体" w:hAnsi="宋体"/>
                <w:i/>
                <w:sz w:val="24"/>
              </w:rPr>
            </w:pPr>
            <w:r>
              <w:rPr>
                <w:rFonts w:hint="eastAsia" w:ascii="宋体" w:hAnsi="宋体"/>
                <w:i/>
                <w:sz w:val="24"/>
              </w:rPr>
              <w:t xml:space="preserve">              </w:t>
            </w:r>
          </w:p>
        </w:tc>
        <w:tc>
          <w:tcPr>
            <w:tcW w:w="4927" w:type="dxa"/>
            <w:tcBorders>
              <w:top w:val="single" w:color="auto" w:sz="4" w:space="0"/>
              <w:left w:val="single" w:color="auto" w:sz="4" w:space="0"/>
              <w:bottom w:val="single" w:color="auto" w:sz="4" w:space="0"/>
              <w:right w:val="single" w:color="auto" w:sz="4" w:space="0"/>
            </w:tcBorders>
            <w:noWrap w:val="0"/>
            <w:vAlign w:val="top"/>
          </w:tcPr>
          <w:p>
            <w:pPr>
              <w:contextualSpacing/>
              <w:rPr>
                <w:rFonts w:hint="eastAsia" w:ascii="宋体" w:hAnsi="宋体"/>
                <w:i/>
                <w:sz w:val="24"/>
              </w:rPr>
            </w:pPr>
            <w:r>
              <w:rPr>
                <w:rFonts w:hint="eastAsia" w:ascii="宋体" w:hAnsi="宋体"/>
                <w:i/>
                <w:sz w:val="24"/>
              </w:rPr>
              <w:t xml:space="preserve">    </w:t>
            </w:r>
          </w:p>
          <w:p>
            <w:pPr>
              <w:contextualSpacing/>
              <w:rPr>
                <w:rFonts w:hint="eastAsia" w:ascii="宋体" w:hAnsi="宋体"/>
                <w:i/>
                <w:sz w:val="24"/>
              </w:rPr>
            </w:pPr>
          </w:p>
          <w:p>
            <w:pPr>
              <w:contextualSpacing/>
              <w:rPr>
                <w:rFonts w:hint="eastAsia" w:ascii="宋体" w:hAnsi="宋体"/>
                <w:i/>
                <w:sz w:val="24"/>
              </w:rPr>
            </w:pPr>
            <w:r>
              <w:rPr>
                <w:rFonts w:hint="eastAsia" w:ascii="宋体" w:hAnsi="宋体"/>
                <w:i/>
                <w:sz w:val="24"/>
              </w:rPr>
              <w:t xml:space="preserve">         被授权人身份证复印件（反面）</w:t>
            </w:r>
          </w:p>
          <w:p>
            <w:pPr>
              <w:contextualSpacing/>
              <w:rPr>
                <w:rFonts w:hint="eastAsia" w:ascii="宋体" w:hAnsi="宋体"/>
                <w:i/>
                <w:sz w:val="24"/>
              </w:rPr>
            </w:pPr>
            <w:r>
              <w:rPr>
                <w:rFonts w:hint="eastAsia" w:ascii="宋体" w:hAnsi="宋体"/>
                <w:i/>
                <w:sz w:val="24"/>
              </w:rPr>
              <w:t xml:space="preserve">              </w:t>
            </w:r>
          </w:p>
        </w:tc>
      </w:tr>
    </w:tbl>
    <w:p>
      <w:pPr>
        <w:contextualSpacing/>
        <w:rPr>
          <w:rFonts w:hint="eastAsia" w:ascii="仿宋_GB2312" w:hAnsi="华文楷体" w:eastAsia="仿宋_GB2312"/>
          <w:sz w:val="32"/>
          <w:szCs w:val="32"/>
        </w:rPr>
      </w:pPr>
      <w:r>
        <w:rPr>
          <w:rFonts w:hint="eastAsia" w:ascii="仿宋_GB2312" w:hAnsi="华文楷体" w:eastAsia="仿宋_GB2312"/>
          <w:sz w:val="32"/>
          <w:szCs w:val="32"/>
        </w:rPr>
        <w:t xml:space="preserve">注：1.须在两张复印件交接处加盖公章。 </w:t>
      </w:r>
    </w:p>
    <w:p>
      <w:pPr>
        <w:ind w:firstLine="640" w:firstLineChars="200"/>
        <w:contextualSpacing/>
      </w:pPr>
      <w:r>
        <w:rPr>
          <w:rFonts w:hint="eastAsia" w:ascii="仿宋_GB2312" w:hAnsi="华文楷体" w:eastAsia="仿宋_GB2312"/>
          <w:sz w:val="32"/>
          <w:szCs w:val="32"/>
        </w:rPr>
        <w:t>2.参加现场谈判的法定代表人或被授权人须携带有效身份证原件。</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zZGE3NDE0ZTE5MzE2YTYwYjMzMzE4NmU2OGFlMTkifQ=="/>
  </w:docVars>
  <w:rsids>
    <w:rsidRoot w:val="7293356B"/>
    <w:rsid w:val="06E67F6A"/>
    <w:rsid w:val="0B5C57F3"/>
    <w:rsid w:val="175906AC"/>
    <w:rsid w:val="1C490EA3"/>
    <w:rsid w:val="1FA50AB7"/>
    <w:rsid w:val="234A3DC4"/>
    <w:rsid w:val="236F6127"/>
    <w:rsid w:val="42152760"/>
    <w:rsid w:val="4DD47B53"/>
    <w:rsid w:val="4E550C78"/>
    <w:rsid w:val="50F21EAF"/>
    <w:rsid w:val="51C25480"/>
    <w:rsid w:val="5D9A5448"/>
    <w:rsid w:val="5F030391"/>
    <w:rsid w:val="6DD93FE6"/>
    <w:rsid w:val="70607D8A"/>
    <w:rsid w:val="7293356B"/>
    <w:rsid w:val="764660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customStyle="1" w:styleId="5">
    <w:name w:val="正文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
    <w:name w:val="正文_1"/>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1411</Words>
  <Characters>1469</Characters>
  <Lines>0</Lines>
  <Paragraphs>0</Paragraphs>
  <TotalTime>1</TotalTime>
  <ScaleCrop>false</ScaleCrop>
  <LinksUpToDate>false</LinksUpToDate>
  <CharactersWithSpaces>1657</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2023-04-20T01:09:00Z</dcterms:created>
  <dc:creator>Miss Ren</dc:creator>
  <cp:lastModifiedBy>杨军</cp:lastModifiedBy>
  <dcterms:modified xsi:type="dcterms:W3CDTF">2026-05-21T10:47:50Z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46E59349898942CC821C04B8D0812F9C_11</vt:lpwstr>
  </property>
</Properties>
</file>