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default" w:ascii="方正小标宋简体" w:hAnsi="黑体" w:eastAsia="方正小标宋简体"/>
          <w:b/>
          <w:sz w:val="44"/>
          <w:szCs w:val="44"/>
        </w:rPr>
      </w:pPr>
      <w:r>
        <w:rPr>
          <w:rFonts w:hint="eastAsia" w:ascii="方正小标宋简体" w:hAnsi="黑体" w:eastAsia="方正小标宋简体"/>
          <w:sz w:val="44"/>
          <w:szCs w:val="44"/>
          <w:lang w:val="en-US" w:eastAsia="zh-CN"/>
        </w:rPr>
        <w:t>浙商银行</w:t>
      </w:r>
      <w:r>
        <w:rPr>
          <w:rFonts w:hint="default" w:ascii="方正小标宋简体" w:hAnsi="黑体" w:eastAsia="方正小标宋简体"/>
          <w:sz w:val="44"/>
          <w:szCs w:val="44"/>
          <w:lang w:eastAsia="zh-CN"/>
        </w:rPr>
        <w:t>合肥分行武装押运服务采购</w:t>
      </w:r>
      <w:r>
        <w:rPr>
          <w:rFonts w:hint="eastAsia" w:ascii="方正小标宋简体" w:hAnsi="黑体" w:eastAsia="方正小标宋简体"/>
          <w:sz w:val="44"/>
          <w:szCs w:val="44"/>
        </w:rPr>
        <w:t>项目采购说明书</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u w:val="single"/>
        </w:rPr>
      </w:pPr>
      <w:r>
        <w:rPr>
          <w:rFonts w:hint="eastAsia" w:ascii="仿宋" w:hAnsi="仿宋" w:eastAsia="仿宋"/>
          <w:sz w:val="32"/>
          <w:szCs w:val="32"/>
        </w:rPr>
        <w:t>致：</w:t>
      </w:r>
      <w:r>
        <w:rPr>
          <w:rFonts w:hint="default" w:ascii="仿宋" w:hAnsi="仿宋" w:eastAsia="仿宋"/>
          <w:sz w:val="32"/>
          <w:szCs w:val="32"/>
        </w:rPr>
        <w:t>合肥保安集团有限公司</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仿宋" w:hAnsi="仿宋" w:eastAsia="仿宋"/>
          <w:sz w:val="32"/>
          <w:szCs w:val="32"/>
        </w:rPr>
        <w:t>根据国家法律法规及我行相关规章制度等有关规定，就</w:t>
      </w:r>
      <w:r>
        <w:rPr>
          <w:rFonts w:hint="eastAsia" w:ascii="仿宋" w:hAnsi="仿宋" w:eastAsia="仿宋"/>
          <w:sz w:val="32"/>
          <w:szCs w:val="32"/>
          <w:lang w:val="en-US" w:eastAsia="zh-CN"/>
        </w:rPr>
        <w:t>浙商银行合肥分行武装押运服务采购</w:t>
      </w:r>
      <w:r>
        <w:rPr>
          <w:rFonts w:hint="eastAsia" w:ascii="仿宋" w:hAnsi="仿宋" w:eastAsia="仿宋"/>
          <w:sz w:val="32"/>
          <w:szCs w:val="32"/>
        </w:rPr>
        <w:t>项目进行采购，现将有关事项说明如下：</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黑体" w:hAnsi="黑体" w:eastAsia="黑体"/>
          <w:sz w:val="32"/>
          <w:szCs w:val="32"/>
        </w:rPr>
        <w:t>一、项目编号：</w:t>
      </w:r>
      <w:r>
        <w:rPr>
          <w:rFonts w:hint="eastAsia" w:ascii="仿宋" w:hAnsi="仿宋" w:eastAsia="仿宋"/>
          <w:sz w:val="32"/>
          <w:szCs w:val="32"/>
          <w:lang w:val="en-US" w:eastAsia="zh-CN"/>
        </w:rPr>
        <w:t>HFJC2026YYDYb004</w:t>
      </w:r>
    </w:p>
    <w:p>
      <w:pPr>
        <w:pStyle w:val="10"/>
        <w:shd w:val="clear" w:color="auto" w:fill="FFFFFF"/>
        <w:autoSpaceDE w:val="0"/>
        <w:adjustRightInd w:val="0"/>
        <w:spacing w:before="0" w:beforeAutospacing="0"/>
        <w:ind w:firstLine="640" w:firstLineChars="200"/>
        <w:contextualSpacing/>
        <w:jc w:val="both"/>
        <w:rPr>
          <w:rFonts w:hint="default" w:ascii="仿宋" w:hAnsi="仿宋" w:eastAsia="黑体"/>
          <w:sz w:val="32"/>
          <w:szCs w:val="32"/>
          <w:lang w:val="en-US" w:eastAsia="zh-CN"/>
        </w:rPr>
      </w:pPr>
      <w:r>
        <w:rPr>
          <w:rFonts w:hint="eastAsia" w:ascii="黑体" w:hAnsi="黑体" w:eastAsia="黑体"/>
          <w:sz w:val="32"/>
          <w:szCs w:val="32"/>
        </w:rPr>
        <w:t>二、项目名称</w:t>
      </w:r>
      <w:r>
        <w:rPr>
          <w:rFonts w:hint="eastAsia" w:ascii="黑体" w:hAnsi="黑体" w:eastAsia="黑体"/>
          <w:sz w:val="32"/>
          <w:szCs w:val="32"/>
          <w:lang w:eastAsia="zh-CN"/>
        </w:rPr>
        <w:t>：</w:t>
      </w:r>
      <w:r>
        <w:rPr>
          <w:rFonts w:hint="eastAsia" w:ascii="仿宋" w:hAnsi="仿宋" w:eastAsia="仿宋" w:cs="仿宋"/>
          <w:sz w:val="32"/>
          <w:szCs w:val="32"/>
          <w:lang w:val="en-US" w:eastAsia="zh-CN"/>
        </w:rPr>
        <w:t>浙商银行合肥分行武装押运服务采购</w:t>
      </w:r>
    </w:p>
    <w:p>
      <w:pPr>
        <w:pStyle w:val="10"/>
        <w:shd w:val="clear" w:color="auto" w:fill="FFFFFF"/>
        <w:autoSpaceDE w:val="0"/>
        <w:adjustRightInd w:val="0"/>
        <w:spacing w:before="0" w:beforeAutospacing="0"/>
        <w:ind w:firstLine="640" w:firstLineChars="200"/>
        <w:contextualSpacing/>
        <w:jc w:val="both"/>
        <w:rPr>
          <w:rFonts w:hint="eastAsia" w:ascii="黑体" w:hAnsi="黑体" w:eastAsia="黑体"/>
          <w:sz w:val="32"/>
          <w:szCs w:val="32"/>
        </w:rPr>
      </w:pPr>
      <w:r>
        <w:rPr>
          <w:rFonts w:hint="eastAsia" w:ascii="黑体" w:hAnsi="黑体" w:eastAsia="黑体"/>
          <w:sz w:val="32"/>
          <w:szCs w:val="32"/>
        </w:rPr>
        <w:t>三、供应商资格要求</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cs="宋体"/>
          <w:sz w:val="32"/>
          <w:szCs w:val="32"/>
        </w:rPr>
      </w:pPr>
      <w:r>
        <w:rPr>
          <w:rFonts w:hint="eastAsia" w:ascii="仿宋" w:hAnsi="仿宋" w:eastAsia="仿宋" w:cs="宋体"/>
          <w:sz w:val="32"/>
          <w:szCs w:val="32"/>
          <w:lang w:val="en-US" w:eastAsia="zh-CN"/>
        </w:rPr>
        <w:t>1.</w:t>
      </w:r>
      <w:r>
        <w:rPr>
          <w:rFonts w:hint="eastAsia" w:ascii="仿宋" w:hAnsi="仿宋" w:eastAsia="仿宋" w:cs="宋体"/>
          <w:sz w:val="32"/>
          <w:szCs w:val="32"/>
        </w:rPr>
        <w:t>在中华人民共和国境内注册，具有独立法人资格。</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cs="宋体"/>
          <w:sz w:val="32"/>
          <w:szCs w:val="32"/>
        </w:rPr>
      </w:pPr>
      <w:r>
        <w:rPr>
          <w:rFonts w:hint="eastAsia" w:ascii="仿宋" w:hAnsi="仿宋" w:eastAsia="仿宋" w:cs="宋体"/>
          <w:sz w:val="32"/>
          <w:szCs w:val="32"/>
          <w:lang w:val="en-US" w:eastAsia="zh-CN"/>
        </w:rPr>
        <w:t>2.响应供应商</w:t>
      </w:r>
      <w:r>
        <w:rPr>
          <w:rFonts w:hint="eastAsia" w:ascii="仿宋" w:hAnsi="仿宋" w:eastAsia="仿宋" w:cs="宋体"/>
          <w:sz w:val="32"/>
          <w:szCs w:val="32"/>
        </w:rPr>
        <w:t>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名单。</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cs="宋体"/>
          <w:sz w:val="32"/>
          <w:szCs w:val="32"/>
        </w:rPr>
      </w:pPr>
      <w:r>
        <w:rPr>
          <w:rFonts w:hint="eastAsia" w:ascii="仿宋" w:hAnsi="仿宋" w:eastAsia="仿宋" w:cs="宋体"/>
          <w:sz w:val="32"/>
          <w:szCs w:val="32"/>
          <w:lang w:val="en-US" w:eastAsia="zh-CN"/>
        </w:rPr>
        <w:t>3.响应供应商</w:t>
      </w:r>
      <w:r>
        <w:rPr>
          <w:rFonts w:hint="eastAsia" w:ascii="仿宋" w:hAnsi="仿宋" w:eastAsia="仿宋" w:cs="宋体"/>
          <w:sz w:val="32"/>
          <w:szCs w:val="32"/>
        </w:rPr>
        <w:t>参加</w:t>
      </w:r>
      <w:r>
        <w:rPr>
          <w:rFonts w:hint="eastAsia" w:ascii="仿宋" w:hAnsi="仿宋" w:eastAsia="仿宋" w:cs="宋体"/>
          <w:sz w:val="32"/>
          <w:szCs w:val="32"/>
          <w:lang w:val="en-US" w:eastAsia="zh-CN"/>
        </w:rPr>
        <w:t>采购</w:t>
      </w:r>
      <w:r>
        <w:rPr>
          <w:rFonts w:hint="eastAsia" w:ascii="仿宋" w:hAnsi="仿宋" w:eastAsia="仿宋" w:cs="宋体"/>
          <w:sz w:val="32"/>
          <w:szCs w:val="32"/>
        </w:rPr>
        <w:t>活动前三年内（新成立不满三年的公司自成立之日起算）在经营活动中没有重大违法记录。</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cs="宋体"/>
          <w:sz w:val="32"/>
          <w:szCs w:val="32"/>
        </w:rPr>
      </w:pPr>
      <w:r>
        <w:rPr>
          <w:rFonts w:hint="eastAsia" w:ascii="仿宋" w:hAnsi="仿宋" w:eastAsia="仿宋" w:cs="宋体"/>
          <w:sz w:val="32"/>
          <w:szCs w:val="32"/>
          <w:lang w:val="en-US" w:eastAsia="zh-CN"/>
        </w:rPr>
        <w:t>4.</w:t>
      </w:r>
      <w:r>
        <w:rPr>
          <w:rFonts w:hint="eastAsia" w:ascii="仿宋" w:hAnsi="仿宋" w:eastAsia="仿宋" w:cs="宋体"/>
          <w:sz w:val="32"/>
          <w:szCs w:val="32"/>
        </w:rPr>
        <w:t>单位负责人为同一人或者存在直接控股、管理关系的不同</w:t>
      </w:r>
      <w:r>
        <w:rPr>
          <w:rFonts w:hint="eastAsia" w:ascii="仿宋" w:hAnsi="仿宋" w:eastAsia="仿宋" w:cs="宋体"/>
          <w:sz w:val="32"/>
          <w:szCs w:val="32"/>
          <w:lang w:val="en-US" w:eastAsia="zh-CN"/>
        </w:rPr>
        <w:t>响应供应商</w:t>
      </w:r>
      <w:r>
        <w:rPr>
          <w:rFonts w:hint="eastAsia" w:ascii="仿宋" w:hAnsi="仿宋" w:eastAsia="仿宋" w:cs="宋体"/>
          <w:sz w:val="32"/>
          <w:szCs w:val="32"/>
        </w:rPr>
        <w:t>，不得参加同一项目标段项下的</w:t>
      </w:r>
      <w:r>
        <w:rPr>
          <w:rFonts w:hint="eastAsia" w:ascii="仿宋" w:hAnsi="仿宋" w:eastAsia="仿宋" w:cs="宋体"/>
          <w:sz w:val="32"/>
          <w:szCs w:val="32"/>
          <w:lang w:val="en-US" w:eastAsia="zh-CN"/>
        </w:rPr>
        <w:t>采购</w:t>
      </w:r>
      <w:r>
        <w:rPr>
          <w:rFonts w:hint="eastAsia" w:ascii="仿宋" w:hAnsi="仿宋" w:eastAsia="仿宋" w:cs="宋体"/>
          <w:sz w:val="32"/>
          <w:szCs w:val="32"/>
        </w:rPr>
        <w:t>活动。</w:t>
      </w:r>
    </w:p>
    <w:p>
      <w:pPr>
        <w:pStyle w:val="10"/>
        <w:shd w:val="clear" w:color="auto" w:fill="FFFFFF"/>
        <w:autoSpaceDE w:val="0"/>
        <w:adjustRightInd w:val="0"/>
        <w:spacing w:before="0" w:beforeAutospacing="0"/>
        <w:ind w:firstLine="640" w:firstLineChars="200"/>
        <w:contextualSpacing/>
        <w:jc w:val="both"/>
        <w:rPr>
          <w:rFonts w:hint="eastAsia" w:ascii="仿宋" w:hAnsi="仿宋" w:eastAsia="仿宋" w:cs="宋体"/>
          <w:sz w:val="32"/>
          <w:szCs w:val="32"/>
          <w:lang w:val="en-US" w:eastAsia="zh-CN"/>
        </w:rPr>
      </w:pPr>
      <w:r>
        <w:rPr>
          <w:rFonts w:hint="eastAsia" w:ascii="仿宋" w:hAnsi="仿宋" w:eastAsia="仿宋" w:cs="宋体"/>
          <w:sz w:val="32"/>
          <w:szCs w:val="32"/>
          <w:lang w:val="en-US" w:eastAsia="zh-CN"/>
        </w:rPr>
        <w:t>5.需具备保安服务许可证（含武装押运经营范围）。</w:t>
      </w:r>
    </w:p>
    <w:p>
      <w:pPr>
        <w:pStyle w:val="10"/>
        <w:numPr>
          <w:ilvl w:val="0"/>
          <w:numId w:val="1"/>
        </w:numPr>
        <w:shd w:val="clear" w:color="auto" w:fill="FFFFFF"/>
        <w:autoSpaceDE w:val="0"/>
        <w:adjustRightInd w:val="0"/>
        <w:snapToGrid w:val="0"/>
        <w:ind w:firstLine="640" w:firstLineChars="200"/>
        <w:jc w:val="both"/>
        <w:rPr>
          <w:rFonts w:hint="eastAsia" w:ascii="黑体" w:hAnsi="黑体" w:eastAsia="黑体"/>
          <w:sz w:val="32"/>
          <w:szCs w:val="32"/>
        </w:rPr>
      </w:pPr>
      <w:r>
        <w:rPr>
          <w:rFonts w:hint="eastAsia" w:ascii="黑体" w:hAnsi="黑体" w:eastAsia="黑体"/>
          <w:sz w:val="32"/>
          <w:szCs w:val="32"/>
        </w:rPr>
        <w:t>采购需求</w:t>
      </w:r>
    </w:p>
    <w:p>
      <w:pPr>
        <w:adjustRightInd w:val="0"/>
        <w:snapToGrid w:val="0"/>
        <w:spacing w:line="360" w:lineRule="auto"/>
        <w:ind w:firstLine="643" w:firstLineChars="200"/>
        <w:rPr>
          <w:rFonts w:hint="eastAsia" w:ascii="仿宋_GB2312" w:hAnsi="仿宋" w:eastAsia="仿宋_GB2312" w:cs="Times New Roman"/>
          <w:b/>
          <w:bCs/>
          <w:kern w:val="2"/>
          <w:sz w:val="32"/>
          <w:szCs w:val="32"/>
          <w:lang w:val="en-US" w:eastAsia="zh-CN" w:bidi="ar-SA"/>
        </w:rPr>
      </w:pPr>
      <w:r>
        <w:rPr>
          <w:rFonts w:hint="eastAsia" w:ascii="仿宋_GB2312" w:hAnsi="仿宋" w:eastAsia="仿宋_GB2312" w:cs="Times New Roman"/>
          <w:b/>
          <w:bCs/>
          <w:kern w:val="2"/>
          <w:sz w:val="32"/>
          <w:szCs w:val="32"/>
          <w:lang w:val="en-US" w:eastAsia="zh-CN" w:bidi="ar-SA"/>
        </w:rPr>
        <w:t>（一）项目基本内容</w:t>
      </w:r>
    </w:p>
    <w:tbl>
      <w:tblPr>
        <w:tblStyle w:val="13"/>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02"/>
        <w:gridCol w:w="5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3302" w:type="dxa"/>
            <w:vAlign w:val="center"/>
          </w:tcPr>
          <w:p>
            <w:pPr>
              <w:contextualSpacing/>
              <w:jc w:val="center"/>
              <w:rPr>
                <w:rFonts w:ascii="宋体" w:hAnsi="宋体" w:eastAsia="宋体" w:cs="Times New Roman"/>
                <w:b/>
                <w:sz w:val="24"/>
                <w:szCs w:val="24"/>
              </w:rPr>
            </w:pPr>
            <w:r>
              <w:rPr>
                <w:rFonts w:hint="eastAsia" w:ascii="宋体" w:hAnsi="宋体" w:eastAsia="宋体" w:cs="Times New Roman"/>
                <w:b/>
                <w:sz w:val="24"/>
                <w:szCs w:val="24"/>
              </w:rPr>
              <w:t>项目内容</w:t>
            </w:r>
          </w:p>
        </w:tc>
        <w:tc>
          <w:tcPr>
            <w:tcW w:w="5950" w:type="dxa"/>
            <w:vAlign w:val="center"/>
          </w:tcPr>
          <w:p>
            <w:pPr>
              <w:contextualSpacing/>
              <w:jc w:val="center"/>
              <w:rPr>
                <w:rFonts w:ascii="宋体" w:hAnsi="宋体" w:eastAsia="宋体" w:cs="Times New Roman"/>
                <w:b/>
                <w:sz w:val="24"/>
                <w:szCs w:val="24"/>
              </w:rPr>
            </w:pPr>
            <w:r>
              <w:rPr>
                <w:rFonts w:hint="eastAsia" w:ascii="宋体" w:hAnsi="宋体" w:eastAsia="宋体" w:cs="Times New Roman"/>
                <w:b/>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302" w:type="dxa"/>
            <w:vAlign w:val="center"/>
          </w:tcPr>
          <w:p>
            <w:pPr>
              <w:contextualSpacing/>
              <w:jc w:val="center"/>
              <w:outlineLvl w:val="1"/>
              <w:rPr>
                <w:rFonts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浙商银行</w:t>
            </w:r>
            <w:r>
              <w:rPr>
                <w:rFonts w:hint="eastAsia" w:ascii="宋体" w:hAnsi="宋体" w:eastAsia="宋体" w:cs="Times New Roman"/>
                <w:kern w:val="0"/>
                <w:sz w:val="24"/>
                <w:szCs w:val="24"/>
                <w:highlight w:val="none"/>
                <w:lang w:val="en-US" w:eastAsia="zh-CN"/>
              </w:rPr>
              <w:t>合肥</w:t>
            </w:r>
            <w:r>
              <w:rPr>
                <w:rFonts w:hint="eastAsia" w:ascii="宋体" w:hAnsi="宋体" w:eastAsia="宋体" w:cs="Times New Roman"/>
                <w:kern w:val="0"/>
                <w:sz w:val="24"/>
                <w:szCs w:val="24"/>
                <w:highlight w:val="none"/>
              </w:rPr>
              <w:t>分行</w:t>
            </w:r>
            <w:r>
              <w:rPr>
                <w:rFonts w:hint="eastAsia" w:ascii="宋体" w:hAnsi="宋体" w:eastAsia="宋体" w:cs="Times New Roman"/>
                <w:kern w:val="0"/>
                <w:sz w:val="24"/>
                <w:szCs w:val="24"/>
                <w:highlight w:val="none"/>
                <w:lang w:val="en-US" w:eastAsia="zh-CN"/>
              </w:rPr>
              <w:t>武装押运</w:t>
            </w:r>
            <w:r>
              <w:rPr>
                <w:rFonts w:hint="eastAsia" w:ascii="宋体" w:hAnsi="宋体" w:eastAsia="宋体" w:cs="Times New Roman"/>
                <w:kern w:val="0"/>
                <w:sz w:val="24"/>
                <w:szCs w:val="24"/>
                <w:highlight w:val="none"/>
              </w:rPr>
              <w:t>服务采购</w:t>
            </w:r>
          </w:p>
        </w:tc>
        <w:tc>
          <w:tcPr>
            <w:tcW w:w="5950" w:type="dxa"/>
            <w:vAlign w:val="center"/>
          </w:tcPr>
          <w:p>
            <w:pPr>
              <w:tabs>
                <w:tab w:val="left" w:pos="1647"/>
              </w:tabs>
              <w:contextualSpacing/>
              <w:jc w:val="center"/>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rPr>
              <w:t>以</w:t>
            </w:r>
            <w:r>
              <w:rPr>
                <w:rFonts w:hint="eastAsia" w:ascii="宋体" w:hAnsi="宋体" w:eastAsia="宋体" w:cs="Times New Roman"/>
                <w:kern w:val="0"/>
                <w:sz w:val="24"/>
                <w:szCs w:val="24"/>
                <w:highlight w:val="none"/>
                <w:lang w:val="en-US" w:eastAsia="zh-CN"/>
              </w:rPr>
              <w:t>现有</w:t>
            </w:r>
            <w:r>
              <w:rPr>
                <w:rFonts w:hint="eastAsia" w:ascii="宋体" w:hAnsi="宋体" w:eastAsia="宋体" w:cs="Times New Roman"/>
                <w:kern w:val="0"/>
                <w:sz w:val="24"/>
                <w:szCs w:val="24"/>
                <w:highlight w:val="none"/>
              </w:rPr>
              <w:t>6家网点计算，</w:t>
            </w:r>
            <w:r>
              <w:rPr>
                <w:rFonts w:hint="eastAsia" w:ascii="宋体" w:hAnsi="宋体" w:eastAsia="宋体" w:cs="Times New Roman"/>
                <w:kern w:val="0"/>
                <w:sz w:val="24"/>
                <w:szCs w:val="24"/>
                <w:highlight w:val="none"/>
                <w:lang w:val="en-US" w:eastAsia="zh-CN"/>
              </w:rPr>
              <w:t>合同期内</w:t>
            </w:r>
            <w:r>
              <w:rPr>
                <w:rFonts w:hint="eastAsia" w:ascii="宋体" w:hAnsi="宋体" w:eastAsia="宋体" w:cs="Times New Roman"/>
                <w:kern w:val="0"/>
                <w:sz w:val="24"/>
                <w:szCs w:val="24"/>
                <w:highlight w:val="none"/>
              </w:rPr>
              <w:t>如新增</w:t>
            </w:r>
            <w:r>
              <w:rPr>
                <w:rFonts w:hint="eastAsia" w:ascii="宋体" w:hAnsi="宋体" w:eastAsia="宋体" w:cs="Times New Roman"/>
                <w:kern w:val="0"/>
                <w:sz w:val="24"/>
                <w:szCs w:val="24"/>
                <w:highlight w:val="none"/>
                <w:lang w:val="en-US" w:eastAsia="zh-CN"/>
              </w:rPr>
              <w:t>合肥地区</w:t>
            </w:r>
            <w:r>
              <w:rPr>
                <w:rFonts w:hint="eastAsia" w:ascii="宋体" w:hAnsi="宋体" w:eastAsia="宋体" w:cs="Times New Roman"/>
                <w:kern w:val="0"/>
                <w:sz w:val="24"/>
                <w:szCs w:val="24"/>
                <w:highlight w:val="none"/>
              </w:rPr>
              <w:t>网点，按固定单价执行，据实结算</w:t>
            </w:r>
            <w:r>
              <w:rPr>
                <w:rFonts w:hint="eastAsia" w:ascii="宋体" w:hAnsi="宋体" w:eastAsia="宋体" w:cs="Times New Roman"/>
                <w:kern w:val="0"/>
                <w:sz w:val="24"/>
                <w:szCs w:val="24"/>
                <w:highlight w:val="none"/>
                <w:lang w:val="en-US" w:eastAsia="zh-CN"/>
              </w:rPr>
              <w:t>。</w:t>
            </w:r>
          </w:p>
        </w:tc>
      </w:tr>
    </w:tbl>
    <w:p>
      <w:pPr>
        <w:pStyle w:val="5"/>
        <w:ind w:left="0" w:leftChars="0" w:firstLine="624" w:firstLineChars="200"/>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附辖内6个网点营业地址：</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7"/>
        <w:gridCol w:w="5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2967" w:type="dxa"/>
            <w:noWrap w:val="0"/>
            <w:vAlign w:val="center"/>
          </w:tcPr>
          <w:p>
            <w:pPr>
              <w:keepNext w:val="0"/>
              <w:keepLines w:val="0"/>
              <w:widowControl/>
              <w:suppressLineNumbers w:val="0"/>
              <w:spacing w:line="360" w:lineRule="auto"/>
              <w:jc w:val="center"/>
              <w:textAlignment w:val="center"/>
              <w:rPr>
                <w:rFonts w:hint="eastAsia"/>
                <w:vertAlign w:val="baseline"/>
                <w:lang w:eastAsia="zh-CN"/>
              </w:rPr>
            </w:pPr>
            <w:r>
              <w:rPr>
                <w:rFonts w:hint="eastAsia" w:ascii="宋体" w:hAnsi="宋体" w:eastAsia="宋体" w:cs="宋体"/>
                <w:i w:val="0"/>
                <w:iCs w:val="0"/>
                <w:color w:val="000000"/>
                <w:kern w:val="0"/>
                <w:sz w:val="24"/>
                <w:szCs w:val="24"/>
                <w:u w:val="none"/>
                <w:lang w:val="en-US" w:eastAsia="zh-CN" w:bidi="ar"/>
              </w:rPr>
              <w:t>网点名称</w:t>
            </w:r>
          </w:p>
        </w:tc>
        <w:tc>
          <w:tcPr>
            <w:tcW w:w="6252" w:type="dxa"/>
            <w:noWrap w:val="0"/>
            <w:vAlign w:val="center"/>
          </w:tcPr>
          <w:p>
            <w:pPr>
              <w:keepNext w:val="0"/>
              <w:keepLines w:val="0"/>
              <w:widowControl/>
              <w:suppressLineNumbers w:val="0"/>
              <w:spacing w:line="360" w:lineRule="auto"/>
              <w:jc w:val="center"/>
              <w:textAlignment w:val="center"/>
              <w:rPr>
                <w:rFonts w:hint="eastAsia"/>
                <w:vertAlign w:val="baseline"/>
                <w:lang w:eastAsia="zh-CN"/>
              </w:rPr>
            </w:pPr>
            <w:r>
              <w:rPr>
                <w:rFonts w:hint="eastAsia" w:ascii="宋体" w:hAnsi="宋体" w:eastAsia="宋体" w:cs="宋体"/>
                <w:i w:val="0"/>
                <w:iCs w:val="0"/>
                <w:color w:val="000000"/>
                <w:kern w:val="0"/>
                <w:sz w:val="24"/>
                <w:szCs w:val="24"/>
                <w:u w:val="none"/>
                <w:lang w:val="en-US" w:eastAsia="zh-CN" w:bidi="ar"/>
              </w:rPr>
              <w:t>网点地址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exact"/>
          <w:jc w:val="center"/>
        </w:trPr>
        <w:tc>
          <w:tcPr>
            <w:tcW w:w="2967" w:type="dxa"/>
            <w:noWrap w:val="0"/>
            <w:vAlign w:val="center"/>
          </w:tcPr>
          <w:p>
            <w:pPr>
              <w:tabs>
                <w:tab w:val="left" w:pos="1647"/>
              </w:tabs>
              <w:spacing w:line="360" w:lineRule="auto"/>
              <w:contextualSpacing/>
              <w:jc w:val="center"/>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合肥分行营业部</w:t>
            </w:r>
          </w:p>
        </w:tc>
        <w:tc>
          <w:tcPr>
            <w:tcW w:w="6252" w:type="dxa"/>
            <w:noWrap w:val="0"/>
            <w:vAlign w:val="center"/>
          </w:tcPr>
          <w:p>
            <w:pPr>
              <w:tabs>
                <w:tab w:val="left" w:pos="1647"/>
              </w:tabs>
              <w:spacing w:line="360" w:lineRule="auto"/>
              <w:contextualSpacing/>
              <w:jc w:val="center"/>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安徽省合肥市徽州大道与扬子江路交口金融港A16幢1楼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exact"/>
          <w:jc w:val="center"/>
        </w:trPr>
        <w:tc>
          <w:tcPr>
            <w:tcW w:w="2967" w:type="dxa"/>
            <w:noWrap w:val="0"/>
            <w:vAlign w:val="center"/>
          </w:tcPr>
          <w:p>
            <w:pPr>
              <w:tabs>
                <w:tab w:val="left" w:pos="1647"/>
              </w:tabs>
              <w:spacing w:line="360" w:lineRule="auto"/>
              <w:contextualSpacing/>
              <w:jc w:val="center"/>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合肥庐阳支行</w:t>
            </w:r>
          </w:p>
        </w:tc>
        <w:tc>
          <w:tcPr>
            <w:tcW w:w="6252" w:type="dxa"/>
            <w:noWrap w:val="0"/>
            <w:vAlign w:val="center"/>
          </w:tcPr>
          <w:p>
            <w:pPr>
              <w:tabs>
                <w:tab w:val="left" w:pos="1647"/>
              </w:tabs>
              <w:spacing w:line="360" w:lineRule="auto"/>
              <w:contextualSpacing/>
              <w:jc w:val="center"/>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安徽省合肥市庐阳区濉溪路335号蓝钻商务中心B-101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exact"/>
          <w:jc w:val="center"/>
        </w:trPr>
        <w:tc>
          <w:tcPr>
            <w:tcW w:w="2967" w:type="dxa"/>
            <w:noWrap w:val="0"/>
            <w:vAlign w:val="center"/>
          </w:tcPr>
          <w:p>
            <w:pPr>
              <w:tabs>
                <w:tab w:val="left" w:pos="1647"/>
              </w:tabs>
              <w:spacing w:line="360" w:lineRule="auto"/>
              <w:contextualSpacing/>
              <w:jc w:val="center"/>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合肥蜀山支行</w:t>
            </w:r>
          </w:p>
        </w:tc>
        <w:tc>
          <w:tcPr>
            <w:tcW w:w="6252" w:type="dxa"/>
            <w:noWrap w:val="0"/>
            <w:vAlign w:val="center"/>
          </w:tcPr>
          <w:p>
            <w:pPr>
              <w:tabs>
                <w:tab w:val="left" w:pos="1647"/>
              </w:tabs>
              <w:spacing w:line="360" w:lineRule="auto"/>
              <w:contextualSpacing/>
              <w:jc w:val="center"/>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安徽省合肥市蜀山区望江西路88号欣南嘉园商业独栋楼101室、201室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67" w:type="dxa"/>
            <w:noWrap w:val="0"/>
            <w:vAlign w:val="center"/>
          </w:tcPr>
          <w:p>
            <w:pPr>
              <w:tabs>
                <w:tab w:val="left" w:pos="1647"/>
              </w:tabs>
              <w:spacing w:line="360" w:lineRule="auto"/>
              <w:contextualSpacing/>
              <w:jc w:val="center"/>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合肥肥东支行</w:t>
            </w:r>
          </w:p>
        </w:tc>
        <w:tc>
          <w:tcPr>
            <w:tcW w:w="6252" w:type="dxa"/>
            <w:noWrap w:val="0"/>
            <w:vAlign w:val="center"/>
          </w:tcPr>
          <w:p>
            <w:pPr>
              <w:tabs>
                <w:tab w:val="left" w:pos="1647"/>
              </w:tabs>
              <w:spacing w:line="360" w:lineRule="auto"/>
              <w:contextualSpacing/>
              <w:jc w:val="center"/>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安徽省合肥市肥东县店埠镇长江东路南、临河西路西斌峰观邸S1#商业独栋楼一层二层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967" w:type="dxa"/>
            <w:noWrap w:val="0"/>
            <w:vAlign w:val="center"/>
          </w:tcPr>
          <w:p>
            <w:pPr>
              <w:tabs>
                <w:tab w:val="left" w:pos="1647"/>
              </w:tabs>
              <w:spacing w:line="360" w:lineRule="auto"/>
              <w:contextualSpacing/>
              <w:jc w:val="center"/>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合肥瑶海支行</w:t>
            </w:r>
          </w:p>
        </w:tc>
        <w:tc>
          <w:tcPr>
            <w:tcW w:w="6252" w:type="dxa"/>
            <w:noWrap w:val="0"/>
            <w:vAlign w:val="center"/>
          </w:tcPr>
          <w:p>
            <w:pPr>
              <w:tabs>
                <w:tab w:val="left" w:pos="1647"/>
              </w:tabs>
              <w:spacing w:line="360" w:lineRule="auto"/>
              <w:contextualSpacing/>
              <w:jc w:val="center"/>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安徽省合肥市瑶海区裕溪路969号圣大商业广场A1区一层商123、商124、商125、商126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67" w:type="dxa"/>
            <w:noWrap w:val="0"/>
            <w:vAlign w:val="center"/>
          </w:tcPr>
          <w:p>
            <w:pPr>
              <w:tabs>
                <w:tab w:val="left" w:pos="1647"/>
              </w:tabs>
              <w:spacing w:line="360" w:lineRule="auto"/>
              <w:contextualSpacing/>
              <w:jc w:val="center"/>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合肥高新支行</w:t>
            </w:r>
          </w:p>
        </w:tc>
        <w:tc>
          <w:tcPr>
            <w:tcW w:w="6252" w:type="dxa"/>
            <w:noWrap w:val="0"/>
            <w:vAlign w:val="center"/>
          </w:tcPr>
          <w:p>
            <w:pPr>
              <w:tabs>
                <w:tab w:val="left" w:pos="1647"/>
              </w:tabs>
              <w:spacing w:line="360" w:lineRule="auto"/>
              <w:contextualSpacing/>
              <w:jc w:val="center"/>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安徽省合肥市高新区创新大道2800号合肥创新产业园二期E区1幢A座1层和B座4层401室</w:t>
            </w:r>
          </w:p>
        </w:tc>
      </w:tr>
    </w:tbl>
    <w:p>
      <w:pPr>
        <w:pStyle w:val="11"/>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仿宋_GB2312" w:hAnsi="仿宋" w:eastAsia="仿宋_GB2312" w:cs="Times New Roman"/>
          <w:b/>
          <w:bCs/>
          <w:kern w:val="2"/>
          <w:sz w:val="32"/>
          <w:szCs w:val="32"/>
        </w:rPr>
      </w:pPr>
    </w:p>
    <w:p>
      <w:pPr>
        <w:pStyle w:val="11"/>
        <w:keepNext w:val="0"/>
        <w:keepLines w:val="0"/>
        <w:pageBreakBefore w:val="0"/>
        <w:widowControl w:val="0"/>
        <w:kinsoku/>
        <w:wordWrap/>
        <w:overflowPunct/>
        <w:topLinePunct w:val="0"/>
        <w:autoSpaceDE/>
        <w:autoSpaceDN/>
        <w:bidi w:val="0"/>
        <w:adjustRightInd w:val="0"/>
        <w:snapToGrid w:val="0"/>
        <w:spacing w:line="240" w:lineRule="auto"/>
        <w:ind w:firstLine="643" w:firstLineChars="200"/>
        <w:textAlignment w:val="auto"/>
        <w:rPr>
          <w:rFonts w:ascii="仿宋_GB2312" w:hAnsi="仿宋" w:eastAsia="仿宋_GB2312" w:cs="Times New Roman"/>
          <w:b/>
          <w:bCs/>
          <w:kern w:val="2"/>
          <w:sz w:val="32"/>
          <w:szCs w:val="32"/>
        </w:rPr>
      </w:pPr>
      <w:r>
        <w:rPr>
          <w:rFonts w:hint="eastAsia" w:ascii="仿宋_GB2312" w:hAnsi="仿宋" w:eastAsia="仿宋_GB2312" w:cs="Times New Roman"/>
          <w:b/>
          <w:bCs/>
          <w:kern w:val="2"/>
          <w:sz w:val="32"/>
          <w:szCs w:val="32"/>
          <w:lang w:val="en-US" w:eastAsia="zh-CN" w:bidi="ar-SA"/>
        </w:rPr>
        <w:t>（二）商务技术要求</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仿宋_GB2312" w:hAnsi="楷体" w:eastAsia="仿宋_GB2312" w:cs="Times New Roman"/>
          <w:sz w:val="32"/>
          <w:szCs w:val="32"/>
          <w:lang w:val="en-US" w:eastAsia="zh-CN"/>
        </w:rPr>
      </w:pPr>
      <w:r>
        <w:rPr>
          <w:rFonts w:hint="eastAsia" w:ascii="仿宋_GB2312" w:hAnsi="仿宋" w:eastAsia="仿宋_GB2312" w:cs="Times New Roman"/>
          <w:b/>
          <w:bCs/>
          <w:kern w:val="2"/>
          <w:sz w:val="32"/>
          <w:szCs w:val="32"/>
          <w:lang w:val="en-US" w:eastAsia="zh-CN"/>
        </w:rPr>
        <w:t>1.</w:t>
      </w:r>
      <w:r>
        <w:rPr>
          <w:rFonts w:hint="eastAsia" w:ascii="仿宋_GB2312" w:hAnsi="仿宋" w:eastAsia="仿宋_GB2312" w:cs="Times New Roman"/>
          <w:b/>
          <w:bCs/>
          <w:kern w:val="2"/>
          <w:sz w:val="32"/>
          <w:szCs w:val="32"/>
        </w:rPr>
        <w:t>技术要求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楷体" w:eastAsia="仿宋_GB2312" w:cs="Times New Roman"/>
          <w:sz w:val="32"/>
          <w:szCs w:val="32"/>
        </w:rPr>
      </w:pPr>
      <w:r>
        <w:rPr>
          <w:rFonts w:hint="eastAsia" w:ascii="仿宋_GB2312" w:hAnsi="楷体" w:eastAsia="仿宋_GB2312" w:cs="Times New Roman"/>
          <w:sz w:val="32"/>
          <w:szCs w:val="32"/>
        </w:rPr>
        <w:t>（1）供应商需配备一</w:t>
      </w:r>
      <w:r>
        <w:rPr>
          <w:rFonts w:hint="eastAsia" w:ascii="仿宋_GB2312" w:hAnsi="楷体" w:eastAsia="仿宋_GB2312" w:cs="Times New Roman"/>
          <w:sz w:val="32"/>
          <w:szCs w:val="32"/>
          <w:lang w:val="en-US" w:eastAsia="zh-CN"/>
        </w:rPr>
        <w:t>台国家规定的制式防弹运钞车</w:t>
      </w:r>
      <w:r>
        <w:rPr>
          <w:rFonts w:hint="eastAsia" w:ascii="仿宋_GB2312" w:hAnsi="楷体" w:eastAsia="仿宋_GB2312" w:cs="Times New Roman"/>
          <w:sz w:val="32"/>
          <w:szCs w:val="32"/>
        </w:rPr>
        <w:t>，必须保证每辆车上有</w:t>
      </w:r>
      <w:r>
        <w:rPr>
          <w:rFonts w:hint="eastAsia" w:ascii="仿宋_GB2312" w:hAnsi="楷体" w:eastAsia="仿宋_GB2312" w:cs="Times New Roman"/>
          <w:sz w:val="32"/>
          <w:szCs w:val="32"/>
          <w:lang w:val="en-US" w:eastAsia="zh-CN"/>
        </w:rPr>
        <w:t>1</w:t>
      </w:r>
      <w:r>
        <w:rPr>
          <w:rFonts w:hint="eastAsia" w:ascii="仿宋_GB2312" w:hAnsi="楷体" w:eastAsia="仿宋_GB2312" w:cs="Times New Roman"/>
          <w:sz w:val="32"/>
          <w:szCs w:val="32"/>
        </w:rPr>
        <w:t>名专职</w:t>
      </w:r>
      <w:r>
        <w:rPr>
          <w:rFonts w:hint="eastAsia" w:ascii="仿宋_GB2312" w:hAnsi="楷体" w:eastAsia="仿宋_GB2312" w:cs="Times New Roman"/>
          <w:sz w:val="32"/>
          <w:szCs w:val="32"/>
          <w:lang w:val="en-US" w:eastAsia="zh-CN"/>
        </w:rPr>
        <w:t>驾驶员</w:t>
      </w:r>
      <w:r>
        <w:rPr>
          <w:rFonts w:hint="eastAsia" w:ascii="仿宋_GB2312" w:hAnsi="楷体" w:eastAsia="仿宋_GB2312" w:cs="Times New Roman"/>
          <w:sz w:val="32"/>
          <w:szCs w:val="32"/>
        </w:rPr>
        <w:t>、</w:t>
      </w:r>
      <w:r>
        <w:rPr>
          <w:rFonts w:hint="eastAsia" w:ascii="仿宋_GB2312" w:hAnsi="楷体" w:eastAsia="仿宋_GB2312" w:cs="Times New Roman"/>
          <w:sz w:val="32"/>
          <w:szCs w:val="32"/>
          <w:lang w:val="en-US" w:eastAsia="zh-CN"/>
        </w:rPr>
        <w:t>2</w:t>
      </w:r>
      <w:r>
        <w:rPr>
          <w:rFonts w:hint="eastAsia" w:ascii="仿宋_GB2312" w:hAnsi="楷体" w:eastAsia="仿宋_GB2312" w:cs="Times New Roman"/>
          <w:sz w:val="32"/>
          <w:szCs w:val="32"/>
        </w:rPr>
        <w:t>名专职武装押运员、</w:t>
      </w:r>
      <w:r>
        <w:rPr>
          <w:rFonts w:hint="eastAsia" w:ascii="仿宋_GB2312" w:hAnsi="楷体" w:eastAsia="仿宋_GB2312" w:cs="Times New Roman"/>
          <w:sz w:val="32"/>
          <w:szCs w:val="32"/>
          <w:lang w:val="en-US" w:eastAsia="zh-CN"/>
        </w:rPr>
        <w:t>2</w:t>
      </w:r>
      <w:r>
        <w:rPr>
          <w:rFonts w:hint="eastAsia" w:ascii="仿宋_GB2312" w:hAnsi="楷体" w:eastAsia="仿宋_GB2312" w:cs="Times New Roman"/>
          <w:sz w:val="32"/>
          <w:szCs w:val="32"/>
        </w:rPr>
        <w:t>名专职解款员</w:t>
      </w:r>
      <w:r>
        <w:rPr>
          <w:rFonts w:hint="eastAsia" w:ascii="仿宋_GB2312" w:hAnsi="楷体" w:eastAsia="仿宋_GB2312" w:cs="Times New Roman"/>
          <w:sz w:val="32"/>
          <w:szCs w:val="32"/>
          <w:lang w:val="en-US" w:eastAsia="zh-CN"/>
        </w:rPr>
        <w:t>。供应商需</w:t>
      </w:r>
      <w:r>
        <w:rPr>
          <w:rFonts w:hint="eastAsia" w:ascii="仿宋_GB2312" w:hAnsi="楷体" w:eastAsia="仿宋_GB2312" w:cs="Times New Roman"/>
          <w:sz w:val="32"/>
          <w:szCs w:val="32"/>
        </w:rPr>
        <w:t>按要求的时间，负责营业网点</w:t>
      </w:r>
      <w:r>
        <w:rPr>
          <w:rFonts w:hint="eastAsia" w:ascii="仿宋_GB2312" w:hAnsi="楷体" w:eastAsia="仿宋_GB2312" w:cs="Times New Roman"/>
          <w:sz w:val="32"/>
          <w:szCs w:val="32"/>
          <w:lang w:val="en-US" w:eastAsia="zh-CN"/>
        </w:rPr>
        <w:t>款箱的</w:t>
      </w:r>
      <w:r>
        <w:rPr>
          <w:rFonts w:hint="eastAsia" w:ascii="仿宋_GB2312" w:hAnsi="楷体" w:eastAsia="仿宋_GB2312" w:cs="Times New Roman"/>
          <w:sz w:val="32"/>
          <w:szCs w:val="32"/>
        </w:rPr>
        <w:t>早晚接送及网点间</w:t>
      </w:r>
      <w:r>
        <w:rPr>
          <w:rFonts w:hint="eastAsia" w:ascii="仿宋_GB2312" w:hAnsi="楷体" w:eastAsia="仿宋_GB2312" w:cs="Times New Roman"/>
          <w:sz w:val="32"/>
          <w:szCs w:val="32"/>
          <w:lang w:val="en-US" w:eastAsia="zh-CN"/>
        </w:rPr>
        <w:t>款箱</w:t>
      </w:r>
      <w:r>
        <w:rPr>
          <w:rFonts w:hint="eastAsia" w:ascii="仿宋_GB2312" w:hAnsi="楷体" w:eastAsia="仿宋_GB2312" w:cs="Times New Roman"/>
          <w:sz w:val="32"/>
          <w:szCs w:val="32"/>
        </w:rPr>
        <w:t>的中途调缴，并将款箱送至</w:t>
      </w:r>
      <w:r>
        <w:rPr>
          <w:rFonts w:hint="eastAsia" w:ascii="仿宋_GB2312" w:hAnsi="楷体" w:eastAsia="仿宋_GB2312" w:cs="Times New Roman"/>
          <w:sz w:val="32"/>
          <w:szCs w:val="32"/>
          <w:lang w:val="en-US" w:eastAsia="zh-CN"/>
        </w:rPr>
        <w:t>合肥分行</w:t>
      </w:r>
      <w:r>
        <w:rPr>
          <w:rFonts w:hint="eastAsia" w:ascii="仿宋_GB2312" w:hAnsi="楷体" w:eastAsia="仿宋_GB2312" w:cs="Times New Roman"/>
          <w:sz w:val="32"/>
          <w:szCs w:val="32"/>
        </w:rPr>
        <w:t>指定地点。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楷体" w:eastAsia="仿宋_GB2312" w:cs="Times New Roman"/>
          <w:sz w:val="32"/>
          <w:szCs w:val="32"/>
        </w:rPr>
      </w:pPr>
      <w:r>
        <w:rPr>
          <w:rFonts w:hint="eastAsia" w:ascii="仿宋_GB2312" w:hAnsi="楷体" w:eastAsia="仿宋_GB2312" w:cs="Times New Roman"/>
          <w:sz w:val="32"/>
          <w:szCs w:val="32"/>
        </w:rPr>
        <w:t>（2）供应商提供的专用运钞车的性能和安全标准，</w:t>
      </w:r>
      <w:r>
        <w:rPr>
          <w:rFonts w:hint="eastAsia" w:ascii="仿宋_GB2312" w:hAnsi="楷体" w:eastAsia="仿宋_GB2312" w:cs="Times New Roman"/>
          <w:sz w:val="32"/>
          <w:szCs w:val="32"/>
          <w:lang w:val="en-US" w:eastAsia="zh-CN"/>
        </w:rPr>
        <w:t>需</w:t>
      </w:r>
      <w:r>
        <w:rPr>
          <w:rFonts w:hint="eastAsia" w:ascii="仿宋_GB2312" w:hAnsi="楷体" w:eastAsia="仿宋_GB2312" w:cs="Times New Roman"/>
          <w:sz w:val="32"/>
          <w:szCs w:val="32"/>
        </w:rPr>
        <w:t>符合中国银行业监督管理委员会、公安部等有关文件规定；要保证其派出的专职押运员和驾驶员政治素质好，工作责任心强，作风正派，身心健康，具有抵御外来侵害的能力，并按规定为</w:t>
      </w:r>
      <w:r>
        <w:rPr>
          <w:rFonts w:hint="eastAsia" w:ascii="仿宋_GB2312" w:hAnsi="楷体" w:eastAsia="仿宋_GB2312" w:cs="Times New Roman"/>
          <w:sz w:val="32"/>
          <w:szCs w:val="32"/>
          <w:lang w:val="en-US" w:eastAsia="zh-CN"/>
        </w:rPr>
        <w:t>押运</w:t>
      </w:r>
      <w:r>
        <w:rPr>
          <w:rFonts w:hint="eastAsia" w:ascii="仿宋_GB2312" w:hAnsi="楷体" w:eastAsia="仿宋_GB2312" w:cs="Times New Roman"/>
          <w:sz w:val="32"/>
          <w:szCs w:val="32"/>
        </w:rPr>
        <w:t>人员配备枪支弹药等装备和统一着装，持</w:t>
      </w:r>
      <w:r>
        <w:rPr>
          <w:rFonts w:hint="eastAsia" w:ascii="仿宋_GB2312" w:hAnsi="楷体" w:eastAsia="仿宋_GB2312" w:cs="Times New Roman"/>
          <w:sz w:val="32"/>
          <w:szCs w:val="32"/>
          <w:lang w:val="en-US" w:eastAsia="zh-CN"/>
        </w:rPr>
        <w:t>工作证</w:t>
      </w:r>
      <w:r>
        <w:rPr>
          <w:rFonts w:hint="eastAsia" w:ascii="仿宋_GB2312" w:hAnsi="楷体" w:eastAsia="仿宋_GB2312" w:cs="Times New Roman"/>
          <w:sz w:val="32"/>
          <w:szCs w:val="32"/>
        </w:rPr>
        <w:t>（有照片、编号）上岗。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FangSong_GB2312" w:hAnsi="FangSong_GB2312" w:eastAsia="FangSong_GB2312"/>
          <w:b w:val="0"/>
          <w:i w:val="0"/>
          <w:color w:val="0000FF"/>
          <w:sz w:val="32"/>
        </w:rPr>
      </w:pPr>
      <w:r>
        <w:rPr>
          <w:rFonts w:ascii="FangSong_GB2312" w:hAnsi="FangSong_GB2312" w:eastAsia="FangSong_GB2312"/>
          <w:b w:val="0"/>
          <w:i w:val="0"/>
          <w:color w:val="000000"/>
          <w:sz w:val="32"/>
        </w:rPr>
        <w:t>（</w:t>
      </w:r>
      <w:r>
        <w:rPr>
          <w:rFonts w:hint="eastAsia" w:ascii="FangSong_GB2312" w:hAnsi="FangSong_GB2312" w:eastAsia="FangSong_GB2312"/>
          <w:b w:val="0"/>
          <w:i w:val="0"/>
          <w:color w:val="000000"/>
          <w:sz w:val="32"/>
          <w:lang w:val="en-US" w:eastAsia="zh-CN"/>
        </w:rPr>
        <w:t>3</w:t>
      </w:r>
      <w:r>
        <w:rPr>
          <w:rFonts w:ascii="FangSong_GB2312" w:hAnsi="FangSong_GB2312" w:eastAsia="FangSong_GB2312"/>
          <w:b w:val="0"/>
          <w:i w:val="0"/>
          <w:color w:val="000000"/>
          <w:sz w:val="32"/>
        </w:rPr>
        <w:t>）供应商的专用运钞车要</w:t>
      </w:r>
      <w:r>
        <w:rPr>
          <w:rFonts w:hint="eastAsia" w:ascii="FangSong_GB2312" w:hAnsi="FangSong_GB2312" w:eastAsia="FangSong_GB2312"/>
          <w:b w:val="0"/>
          <w:i w:val="0"/>
          <w:color w:val="000000"/>
          <w:sz w:val="32"/>
          <w:lang w:val="en-US" w:eastAsia="zh-CN"/>
        </w:rPr>
        <w:t>停在合肥分行视频监控下的指定停车位</w:t>
      </w:r>
      <w:r>
        <w:rPr>
          <w:rFonts w:ascii="FangSong_GB2312" w:hAnsi="FangSong_GB2312" w:eastAsia="FangSong_GB2312"/>
          <w:b w:val="0"/>
          <w:i w:val="0"/>
          <w:color w:val="000000"/>
          <w:sz w:val="32"/>
        </w:rPr>
        <w:t>。</w:t>
      </w:r>
      <w:r>
        <w:rPr>
          <w:rFonts w:ascii="FangSong_GB2312" w:hAnsi="FangSong_GB2312" w:eastAsia="FangSong_GB2312"/>
          <w:b w:val="0"/>
          <w:i w:val="0"/>
          <w:color w:val="000000"/>
          <w:sz w:val="32"/>
          <w:highlight w:val="none"/>
        </w:rPr>
        <w:t>调整</w:t>
      </w:r>
      <w:r>
        <w:rPr>
          <w:rFonts w:hint="eastAsia" w:ascii="FangSong_GB2312" w:hAnsi="FangSong_GB2312" w:eastAsia="FangSong_GB2312"/>
          <w:b w:val="0"/>
          <w:i w:val="0"/>
          <w:color w:val="000000"/>
          <w:sz w:val="32"/>
          <w:highlight w:val="none"/>
          <w:lang w:val="en-US" w:eastAsia="zh-CN"/>
        </w:rPr>
        <w:t>人员、变更车辆应</w:t>
      </w:r>
      <w:r>
        <w:rPr>
          <w:rFonts w:ascii="FangSong_GB2312" w:hAnsi="FangSong_GB2312" w:eastAsia="FangSong_GB2312"/>
          <w:b w:val="0"/>
          <w:i w:val="0"/>
          <w:color w:val="000000"/>
          <w:sz w:val="32"/>
          <w:highlight w:val="none"/>
        </w:rPr>
        <w:t>及时</w:t>
      </w:r>
      <w:r>
        <w:rPr>
          <w:rFonts w:hint="eastAsia" w:ascii="FangSong_GB2312" w:hAnsi="FangSong_GB2312" w:eastAsia="FangSong_GB2312"/>
          <w:b w:val="0"/>
          <w:i w:val="0"/>
          <w:color w:val="000000"/>
          <w:sz w:val="32"/>
          <w:highlight w:val="none"/>
          <w:lang w:val="en-US" w:eastAsia="zh-CN"/>
        </w:rPr>
        <w:t>书面告知合肥</w:t>
      </w:r>
      <w:r>
        <w:rPr>
          <w:rFonts w:ascii="FangSong_GB2312" w:hAnsi="FangSong_GB2312" w:eastAsia="FangSong_GB2312"/>
          <w:b w:val="0"/>
          <w:i w:val="0"/>
          <w:color w:val="000000"/>
          <w:sz w:val="32"/>
          <w:highlight w:val="none"/>
        </w:rPr>
        <w:t>分行。</w:t>
      </w:r>
      <w:r>
        <w:rPr>
          <w:rFonts w:ascii="FangSong_GB2312" w:hAnsi="FangSong_GB2312" w:eastAsia="FangSong_GB2312"/>
          <w:b w:val="0"/>
          <w:i w:val="0"/>
          <w:color w:val="000000"/>
          <w:sz w:val="32"/>
        </w:rPr>
        <w:t>送款箱时，在</w:t>
      </w:r>
      <w:r>
        <w:rPr>
          <w:rFonts w:ascii="FangSong_GB2312" w:hAnsi="FangSong_GB2312" w:eastAsia="FangSong_GB2312"/>
          <w:b w:val="0"/>
          <w:i w:val="0"/>
          <w:color w:val="auto"/>
          <w:sz w:val="32"/>
        </w:rPr>
        <w:t>专职押运员护送下，由供应商专职解款员将款箱提至</w:t>
      </w:r>
      <w:r>
        <w:rPr>
          <w:rFonts w:hint="eastAsia" w:ascii="FangSong_GB2312" w:hAnsi="FangSong_GB2312" w:eastAsia="FangSong_GB2312"/>
          <w:b w:val="0"/>
          <w:i w:val="0"/>
          <w:color w:val="auto"/>
          <w:sz w:val="32"/>
          <w:lang w:val="en-US" w:eastAsia="zh-CN"/>
        </w:rPr>
        <w:t>合肥</w:t>
      </w:r>
      <w:r>
        <w:rPr>
          <w:rFonts w:ascii="FangSong_GB2312" w:hAnsi="FangSong_GB2312" w:eastAsia="FangSong_GB2312"/>
          <w:b w:val="0"/>
          <w:i w:val="0"/>
          <w:color w:val="auto"/>
          <w:sz w:val="32"/>
        </w:rPr>
        <w:t>分行营业</w:t>
      </w:r>
      <w:r>
        <w:rPr>
          <w:rFonts w:hint="eastAsia" w:ascii="FangSong_GB2312" w:hAnsi="FangSong_GB2312" w:eastAsia="FangSong_GB2312"/>
          <w:b w:val="0"/>
          <w:i w:val="0"/>
          <w:color w:val="auto"/>
          <w:sz w:val="32"/>
          <w:lang w:val="en-US" w:eastAsia="zh-CN"/>
        </w:rPr>
        <w:t>网点，</w:t>
      </w:r>
      <w:r>
        <w:rPr>
          <w:rFonts w:ascii="FangSong_GB2312" w:hAnsi="FangSong_GB2312" w:eastAsia="FangSong_GB2312"/>
          <w:b w:val="0"/>
          <w:i w:val="0"/>
          <w:color w:val="auto"/>
          <w:sz w:val="32"/>
        </w:rPr>
        <w:t>主动出示</w:t>
      </w:r>
      <w:r>
        <w:rPr>
          <w:rFonts w:ascii="TimesNewRomanPSMT" w:hAnsi="TimesNewRomanPSMT" w:eastAsia="TimesNewRomanPSMT"/>
          <w:b w:val="0"/>
          <w:i w:val="0"/>
          <w:color w:val="auto"/>
          <w:sz w:val="32"/>
        </w:rPr>
        <w:t>“</w:t>
      </w:r>
      <w:r>
        <w:rPr>
          <w:rFonts w:ascii="FangSong_GB2312" w:hAnsi="FangSong_GB2312" w:eastAsia="FangSong_GB2312"/>
          <w:b w:val="0"/>
          <w:i w:val="0"/>
          <w:color w:val="auto"/>
          <w:sz w:val="32"/>
        </w:rPr>
        <w:t>工作牌</w:t>
      </w:r>
      <w:r>
        <w:rPr>
          <w:rFonts w:ascii="TimesNewRomanPSMT" w:hAnsi="TimesNewRomanPSMT" w:eastAsia="TimesNewRomanPSMT"/>
          <w:b w:val="0"/>
          <w:i w:val="0"/>
          <w:color w:val="auto"/>
          <w:sz w:val="32"/>
        </w:rPr>
        <w:t>”</w:t>
      </w:r>
      <w:r>
        <w:rPr>
          <w:rFonts w:hint="eastAsia" w:ascii="FangSong_GB2312" w:hAnsi="FangSong_GB2312" w:eastAsia="FangSong_GB2312"/>
          <w:b w:val="0"/>
          <w:i w:val="0"/>
          <w:color w:val="auto"/>
          <w:sz w:val="32"/>
          <w:lang w:val="en-US" w:eastAsia="zh-CN"/>
        </w:rPr>
        <w:t>与</w:t>
      </w:r>
      <w:r>
        <w:rPr>
          <w:rFonts w:ascii="TimesNewRomanPSMT" w:hAnsi="TimesNewRomanPSMT" w:eastAsia="TimesNewRomanPSMT"/>
          <w:b w:val="0"/>
          <w:i w:val="0"/>
          <w:color w:val="auto"/>
          <w:sz w:val="32"/>
        </w:rPr>
        <w:t>2</w:t>
      </w:r>
      <w:r>
        <w:rPr>
          <w:rFonts w:ascii="FangSong_GB2312" w:hAnsi="FangSong_GB2312" w:eastAsia="FangSong_GB2312"/>
          <w:b w:val="0"/>
          <w:i w:val="0"/>
          <w:color w:val="auto"/>
          <w:sz w:val="32"/>
        </w:rPr>
        <w:t>名</w:t>
      </w:r>
      <w:r>
        <w:rPr>
          <w:rFonts w:hint="eastAsia" w:ascii="FangSong_GB2312" w:hAnsi="FangSong_GB2312" w:eastAsia="FangSong_GB2312"/>
          <w:b w:val="0"/>
          <w:i w:val="0"/>
          <w:color w:val="auto"/>
          <w:sz w:val="32"/>
          <w:lang w:val="en-US" w:eastAsia="zh-CN"/>
        </w:rPr>
        <w:t>网点</w:t>
      </w:r>
      <w:r>
        <w:rPr>
          <w:rFonts w:ascii="FangSong_GB2312" w:hAnsi="FangSong_GB2312" w:eastAsia="FangSong_GB2312"/>
          <w:b w:val="0"/>
          <w:i w:val="0"/>
          <w:color w:val="auto"/>
          <w:sz w:val="32"/>
        </w:rPr>
        <w:t>当班人员办理款箱交接</w:t>
      </w:r>
      <w:r>
        <w:rPr>
          <w:rFonts w:hint="eastAsia" w:ascii="FangSong_GB2312" w:hAnsi="FangSong_GB2312" w:eastAsia="FangSong_GB2312"/>
          <w:b w:val="0"/>
          <w:i w:val="0"/>
          <w:color w:val="auto"/>
          <w:sz w:val="32"/>
          <w:lang w:eastAsia="zh-CN"/>
        </w:rPr>
        <w:t>。</w:t>
      </w:r>
      <w:r>
        <w:rPr>
          <w:rFonts w:ascii="FangSong_GB2312" w:hAnsi="FangSong_GB2312" w:eastAsia="FangSong_GB2312"/>
          <w:b w:val="0"/>
          <w:i w:val="0"/>
          <w:color w:val="auto"/>
          <w:sz w:val="32"/>
        </w:rPr>
        <w:t>解款员</w:t>
      </w:r>
      <w:r>
        <w:rPr>
          <w:rFonts w:hint="eastAsia" w:ascii="FangSong_GB2312" w:hAnsi="FangSong_GB2312" w:eastAsia="FangSong_GB2312"/>
          <w:b w:val="0"/>
          <w:i w:val="0"/>
          <w:color w:val="auto"/>
          <w:sz w:val="32"/>
          <w:lang w:val="en-US" w:eastAsia="zh-CN"/>
        </w:rPr>
        <w:t>与2名网点当班人员完成</w:t>
      </w:r>
      <w:r>
        <w:rPr>
          <w:rFonts w:ascii="FangSong_GB2312" w:hAnsi="FangSong_GB2312" w:eastAsia="FangSong_GB2312"/>
          <w:b w:val="0"/>
          <w:i w:val="0"/>
          <w:color w:val="auto"/>
          <w:sz w:val="32"/>
        </w:rPr>
        <w:t>双向交叉登记《款箱交接登记簿》，在确认</w:t>
      </w:r>
      <w:r>
        <w:rPr>
          <w:rFonts w:hint="eastAsia" w:ascii="FangSong_GB2312" w:hAnsi="FangSong_GB2312" w:eastAsia="FangSong_GB2312"/>
          <w:b w:val="0"/>
          <w:i w:val="0"/>
          <w:color w:val="auto"/>
          <w:sz w:val="32"/>
          <w:lang w:val="en-US" w:eastAsia="zh-CN"/>
        </w:rPr>
        <w:t>现金区</w:t>
      </w:r>
      <w:r>
        <w:rPr>
          <w:rFonts w:ascii="FangSong_GB2312" w:hAnsi="FangSong_GB2312" w:eastAsia="FangSong_GB2312"/>
          <w:b w:val="0"/>
          <w:i w:val="0"/>
          <w:color w:val="auto"/>
          <w:sz w:val="32"/>
        </w:rPr>
        <w:t>通勤</w:t>
      </w:r>
      <w:r>
        <w:rPr>
          <w:rFonts w:hint="eastAsia" w:ascii="FangSong_GB2312" w:hAnsi="FangSong_GB2312" w:eastAsia="FangSong_GB2312"/>
          <w:b w:val="0"/>
          <w:i w:val="0"/>
          <w:color w:val="auto"/>
          <w:sz w:val="32"/>
          <w:lang w:val="en-US" w:eastAsia="zh-CN"/>
        </w:rPr>
        <w:t>联动</w:t>
      </w:r>
      <w:r>
        <w:rPr>
          <w:rFonts w:ascii="FangSong_GB2312" w:hAnsi="FangSong_GB2312" w:eastAsia="FangSong_GB2312"/>
          <w:b w:val="0"/>
          <w:i w:val="0"/>
          <w:color w:val="auto"/>
          <w:sz w:val="32"/>
        </w:rPr>
        <w:t>门</w:t>
      </w:r>
      <w:r>
        <w:rPr>
          <w:rFonts w:hint="eastAsia" w:ascii="FangSong_GB2312" w:hAnsi="FangSong_GB2312" w:eastAsia="FangSong_GB2312"/>
          <w:b w:val="0"/>
          <w:i w:val="0"/>
          <w:color w:val="auto"/>
          <w:sz w:val="32"/>
          <w:lang w:eastAsia="zh-CN"/>
        </w:rPr>
        <w:t>（</w:t>
      </w:r>
      <w:r>
        <w:rPr>
          <w:rFonts w:hint="eastAsia" w:ascii="FangSong_GB2312" w:hAnsi="FangSong_GB2312" w:eastAsia="FangSong_GB2312"/>
          <w:b w:val="0"/>
          <w:i w:val="0"/>
          <w:color w:val="auto"/>
          <w:sz w:val="32"/>
          <w:lang w:val="en-US" w:eastAsia="zh-CN"/>
        </w:rPr>
        <w:t>二道门</w:t>
      </w:r>
      <w:r>
        <w:rPr>
          <w:rFonts w:hint="eastAsia" w:ascii="FangSong_GB2312" w:hAnsi="FangSong_GB2312" w:eastAsia="FangSong_GB2312"/>
          <w:b w:val="0"/>
          <w:i w:val="0"/>
          <w:color w:val="auto"/>
          <w:sz w:val="32"/>
          <w:lang w:eastAsia="zh-CN"/>
        </w:rPr>
        <w:t>）</w:t>
      </w:r>
      <w:r>
        <w:rPr>
          <w:rFonts w:ascii="FangSong_GB2312" w:hAnsi="FangSong_GB2312" w:eastAsia="FangSong_GB2312"/>
          <w:b w:val="0"/>
          <w:i w:val="0"/>
          <w:color w:val="auto"/>
          <w:sz w:val="32"/>
        </w:rPr>
        <w:t>关闭后，押运人员方</w:t>
      </w:r>
      <w:r>
        <w:rPr>
          <w:rFonts w:ascii="FangSong_GB2312" w:hAnsi="FangSong_GB2312" w:eastAsia="FangSong_GB2312"/>
          <w:b w:val="0"/>
          <w:i w:val="0"/>
          <w:color w:val="000000"/>
          <w:sz w:val="32"/>
        </w:rPr>
        <w:t>能离开。接款箱时，在专职押运员护送下，</w:t>
      </w:r>
      <w:r>
        <w:rPr>
          <w:rFonts w:ascii="FangSong_GB2312" w:hAnsi="FangSong_GB2312" w:eastAsia="FangSong_GB2312"/>
          <w:b w:val="0"/>
          <w:i w:val="0"/>
          <w:color w:val="auto"/>
          <w:sz w:val="32"/>
        </w:rPr>
        <w:t>专职解款员到网点主动出示</w:t>
      </w:r>
      <w:r>
        <w:rPr>
          <w:rFonts w:ascii="TimesNewRomanPSMT" w:hAnsi="TimesNewRomanPSMT" w:eastAsia="TimesNewRomanPSMT"/>
          <w:b w:val="0"/>
          <w:i w:val="0"/>
          <w:color w:val="auto"/>
          <w:sz w:val="32"/>
        </w:rPr>
        <w:t>“</w:t>
      </w:r>
      <w:r>
        <w:rPr>
          <w:rFonts w:ascii="FangSong_GB2312" w:hAnsi="FangSong_GB2312" w:eastAsia="FangSong_GB2312"/>
          <w:b w:val="0"/>
          <w:i w:val="0"/>
          <w:color w:val="auto"/>
          <w:sz w:val="32"/>
        </w:rPr>
        <w:t>工作牌</w:t>
      </w:r>
      <w:r>
        <w:rPr>
          <w:rFonts w:ascii="TimesNewRomanPSMT" w:hAnsi="TimesNewRomanPSMT" w:eastAsia="TimesNewRomanPSMT"/>
          <w:b w:val="0"/>
          <w:i w:val="0"/>
          <w:color w:val="auto"/>
          <w:sz w:val="32"/>
        </w:rPr>
        <w:t>”</w:t>
      </w:r>
      <w:r>
        <w:rPr>
          <w:rFonts w:ascii="FangSong_GB2312" w:hAnsi="FangSong_GB2312" w:eastAsia="FangSong_GB2312"/>
          <w:b w:val="0"/>
          <w:i w:val="0"/>
          <w:color w:val="auto"/>
          <w:sz w:val="32"/>
        </w:rPr>
        <w:t>，经</w:t>
      </w:r>
      <w:r>
        <w:rPr>
          <w:rFonts w:hint="eastAsia" w:ascii="FangSong_GB2312" w:hAnsi="FangSong_GB2312" w:eastAsia="FangSong_GB2312"/>
          <w:b w:val="0"/>
          <w:i w:val="0"/>
          <w:color w:val="auto"/>
          <w:sz w:val="32"/>
          <w:lang w:val="en-US" w:eastAsia="zh-CN"/>
        </w:rPr>
        <w:t>2名营业网点</w:t>
      </w:r>
      <w:r>
        <w:rPr>
          <w:rFonts w:ascii="FangSong_GB2312" w:hAnsi="FangSong_GB2312" w:eastAsia="FangSong_GB2312"/>
          <w:b w:val="0"/>
          <w:i w:val="0"/>
          <w:color w:val="auto"/>
          <w:sz w:val="32"/>
        </w:rPr>
        <w:t>当班人员审验无误后，方可进入营业</w:t>
      </w:r>
      <w:r>
        <w:rPr>
          <w:rFonts w:hint="eastAsia" w:ascii="FangSong_GB2312" w:hAnsi="FangSong_GB2312" w:eastAsia="FangSong_GB2312"/>
          <w:b w:val="0"/>
          <w:i w:val="0"/>
          <w:color w:val="auto"/>
          <w:sz w:val="32"/>
          <w:lang w:val="en-US" w:eastAsia="zh-CN"/>
        </w:rPr>
        <w:t>网点现金区</w:t>
      </w:r>
      <w:r>
        <w:rPr>
          <w:rFonts w:ascii="FangSong_GB2312" w:hAnsi="FangSong_GB2312" w:eastAsia="FangSong_GB2312"/>
          <w:b w:val="0"/>
          <w:i w:val="0"/>
          <w:color w:val="auto"/>
          <w:sz w:val="32"/>
        </w:rPr>
        <w:t>，解款员在确认款箱落双锁加封条后，与</w:t>
      </w:r>
      <w:r>
        <w:rPr>
          <w:rFonts w:hint="eastAsia" w:ascii="FangSong_GB2312" w:hAnsi="FangSong_GB2312" w:eastAsia="FangSong_GB2312"/>
          <w:b w:val="0"/>
          <w:i w:val="0"/>
          <w:color w:val="auto"/>
          <w:sz w:val="32"/>
          <w:lang w:val="en-US" w:eastAsia="zh-CN"/>
        </w:rPr>
        <w:t>营业网点</w:t>
      </w:r>
      <w:r>
        <w:rPr>
          <w:rFonts w:ascii="TimesNewRomanPSMT" w:hAnsi="TimesNewRomanPSMT" w:eastAsia="TimesNewRomanPSMT"/>
          <w:b w:val="0"/>
          <w:i w:val="0"/>
          <w:color w:val="auto"/>
          <w:sz w:val="32"/>
        </w:rPr>
        <w:t>2</w:t>
      </w:r>
      <w:r>
        <w:rPr>
          <w:rFonts w:ascii="FangSong_GB2312" w:hAnsi="FangSong_GB2312" w:eastAsia="FangSong_GB2312"/>
          <w:b w:val="0"/>
          <w:i w:val="0"/>
          <w:color w:val="auto"/>
          <w:sz w:val="32"/>
        </w:rPr>
        <w:t>名当班人员办理款箱交接，解款员</w:t>
      </w:r>
      <w:r>
        <w:rPr>
          <w:rFonts w:hint="eastAsia" w:ascii="FangSong_GB2312" w:hAnsi="FangSong_GB2312" w:eastAsia="FangSong_GB2312"/>
          <w:b w:val="0"/>
          <w:i w:val="0"/>
          <w:color w:val="auto"/>
          <w:sz w:val="32"/>
          <w:lang w:val="en-US" w:eastAsia="zh-CN"/>
        </w:rPr>
        <w:t>与2名网点当班人员完成</w:t>
      </w:r>
      <w:r>
        <w:rPr>
          <w:rFonts w:ascii="FangSong_GB2312" w:hAnsi="FangSong_GB2312" w:eastAsia="FangSong_GB2312"/>
          <w:b w:val="0"/>
          <w:i w:val="0"/>
          <w:color w:val="auto"/>
          <w:sz w:val="32"/>
        </w:rPr>
        <w:t>双向交叉登记《款箱交接登记簿》后，由解款员将款箱抬上运钞车，并以完成《款箱交接登记簿》签字后作为安全风险转移的具体时点。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FangSong_GB2312" w:hAnsi="FangSong_GB2312" w:eastAsia="FangSong_GB2312"/>
          <w:b w:val="0"/>
          <w:i w:val="0"/>
          <w:color w:val="000000"/>
          <w:sz w:val="32"/>
          <w:lang w:eastAsia="zh-CN"/>
        </w:rPr>
      </w:pPr>
      <w:r>
        <w:rPr>
          <w:rFonts w:ascii="FangSong_GB2312" w:hAnsi="FangSong_GB2312" w:eastAsia="FangSong_GB2312"/>
          <w:b w:val="0"/>
          <w:i w:val="0"/>
          <w:color w:val="000000"/>
          <w:sz w:val="32"/>
        </w:rPr>
        <w:t>（</w:t>
      </w:r>
      <w:r>
        <w:rPr>
          <w:rFonts w:hint="eastAsia" w:ascii="FangSong_GB2312" w:hAnsi="FangSong_GB2312" w:eastAsia="FangSong_GB2312"/>
          <w:b w:val="0"/>
          <w:i w:val="0"/>
          <w:color w:val="000000"/>
          <w:sz w:val="32"/>
          <w:lang w:val="en-US" w:eastAsia="zh-CN"/>
        </w:rPr>
        <w:t>4</w:t>
      </w:r>
      <w:r>
        <w:rPr>
          <w:rFonts w:ascii="FangSong_GB2312" w:hAnsi="FangSong_GB2312" w:eastAsia="FangSong_GB2312"/>
          <w:b w:val="0"/>
          <w:i w:val="0"/>
          <w:color w:val="000000"/>
          <w:sz w:val="32"/>
        </w:rPr>
        <w:t>）供应商</w:t>
      </w:r>
      <w:r>
        <w:rPr>
          <w:rFonts w:hint="eastAsia" w:ascii="FangSong_GB2312" w:hAnsi="FangSong_GB2312" w:eastAsia="FangSong_GB2312"/>
          <w:b w:val="0"/>
          <w:i w:val="0"/>
          <w:color w:val="000000"/>
          <w:sz w:val="32"/>
          <w:lang w:val="en-US" w:eastAsia="zh-CN"/>
        </w:rPr>
        <w:t>需</w:t>
      </w:r>
      <w:r>
        <w:rPr>
          <w:rFonts w:ascii="FangSong_GB2312" w:hAnsi="FangSong_GB2312" w:eastAsia="FangSong_GB2312"/>
          <w:b w:val="0"/>
          <w:i w:val="0"/>
          <w:color w:val="000000"/>
          <w:sz w:val="32"/>
        </w:rPr>
        <w:t>保证人员、车辆每天（含节假日）按甲方规定到位，不得以任何理由拒绝或拖延甲方的押运任务。由于道路阻塞、交通事故以及灾害性天气等原因，可能造成</w:t>
      </w:r>
      <w:r>
        <w:rPr>
          <w:rFonts w:hint="eastAsia" w:ascii="FangSong_GB2312" w:hAnsi="FangSong_GB2312" w:eastAsia="FangSong_GB2312"/>
          <w:b w:val="0"/>
          <w:i w:val="0"/>
          <w:color w:val="000000"/>
          <w:sz w:val="32"/>
          <w:lang w:val="en-US" w:eastAsia="zh-CN"/>
        </w:rPr>
        <w:t>合肥</w:t>
      </w:r>
      <w:r>
        <w:rPr>
          <w:rFonts w:ascii="FangSong_GB2312" w:hAnsi="FangSong_GB2312" w:eastAsia="FangSong_GB2312"/>
          <w:b w:val="0"/>
          <w:i w:val="0"/>
          <w:color w:val="000000"/>
          <w:sz w:val="32"/>
        </w:rPr>
        <w:t>分行款物接送延误时应及时通知</w:t>
      </w:r>
      <w:r>
        <w:rPr>
          <w:rFonts w:hint="eastAsia" w:ascii="FangSong_GB2312" w:hAnsi="FangSong_GB2312" w:eastAsia="FangSong_GB2312"/>
          <w:b w:val="0"/>
          <w:i w:val="0"/>
          <w:color w:val="000000"/>
          <w:sz w:val="32"/>
          <w:lang w:val="en-US" w:eastAsia="zh-CN"/>
        </w:rPr>
        <w:t>合肥</w:t>
      </w:r>
      <w:r>
        <w:rPr>
          <w:rFonts w:ascii="FangSong_GB2312" w:hAnsi="FangSong_GB2312" w:eastAsia="FangSong_GB2312"/>
          <w:b w:val="0"/>
          <w:i w:val="0"/>
          <w:color w:val="000000"/>
          <w:sz w:val="32"/>
        </w:rPr>
        <w:t>分行，并采取有效措施尽快完成押运任务。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FangSong_GB2312" w:hAnsi="FangSong_GB2312" w:eastAsia="FangSong_GB2312"/>
          <w:b w:val="0"/>
          <w:i w:val="0"/>
          <w:color w:val="000000"/>
          <w:sz w:val="32"/>
        </w:rPr>
      </w:pPr>
      <w:r>
        <w:rPr>
          <w:rFonts w:ascii="FangSong_GB2312" w:hAnsi="FangSong_GB2312" w:eastAsia="FangSong_GB2312"/>
          <w:b w:val="0"/>
          <w:i w:val="0"/>
          <w:color w:val="000000"/>
          <w:sz w:val="32"/>
        </w:rPr>
        <w:t>（</w:t>
      </w:r>
      <w:r>
        <w:rPr>
          <w:rFonts w:hint="eastAsia" w:ascii="FangSong_GB2312" w:hAnsi="FangSong_GB2312" w:eastAsia="FangSong_GB2312"/>
          <w:b w:val="0"/>
          <w:i w:val="0"/>
          <w:color w:val="000000"/>
          <w:sz w:val="32"/>
          <w:lang w:val="en-US" w:eastAsia="zh-CN"/>
        </w:rPr>
        <w:t>5</w:t>
      </w:r>
      <w:r>
        <w:rPr>
          <w:rFonts w:ascii="FangSong_GB2312" w:hAnsi="FangSong_GB2312" w:eastAsia="FangSong_GB2312"/>
          <w:b w:val="0"/>
          <w:i w:val="0"/>
          <w:color w:val="000000"/>
          <w:sz w:val="32"/>
        </w:rPr>
        <w:t>）供应商应做好每天的每辆专用运钞车出发时间和到达</w:t>
      </w:r>
      <w:r>
        <w:rPr>
          <w:rFonts w:hint="eastAsia" w:ascii="FangSong_GB2312" w:hAnsi="FangSong_GB2312" w:eastAsia="FangSong_GB2312"/>
          <w:b w:val="0"/>
          <w:i w:val="0"/>
          <w:color w:val="000000"/>
          <w:sz w:val="32"/>
          <w:lang w:val="en-US" w:eastAsia="zh-CN"/>
        </w:rPr>
        <w:t>合肥</w:t>
      </w:r>
      <w:r>
        <w:rPr>
          <w:rFonts w:ascii="FangSong_GB2312" w:hAnsi="FangSong_GB2312" w:eastAsia="FangSong_GB2312"/>
          <w:b w:val="0"/>
          <w:i w:val="0"/>
          <w:color w:val="000000"/>
          <w:sz w:val="32"/>
        </w:rPr>
        <w:t>分行营业网点的时间记录，并按会计档案年限管理规定，妥善保管相关的各种资料。供应商指派服务的运钞车及车组人员，工作时间内应随时作好服务准备。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FangSong_GB2312" w:hAnsi="FangSong_GB2312" w:eastAsia="FangSong_GB2312"/>
          <w:b w:val="0"/>
          <w:i w:val="0"/>
          <w:color w:val="000000"/>
          <w:sz w:val="32"/>
        </w:rPr>
      </w:pPr>
      <w:r>
        <w:rPr>
          <w:rFonts w:ascii="FangSong_GB2312" w:hAnsi="FangSong_GB2312" w:eastAsia="FangSong_GB2312"/>
          <w:b w:val="0"/>
          <w:i w:val="0"/>
          <w:color w:val="000000"/>
          <w:sz w:val="32"/>
        </w:rPr>
        <w:t>（</w:t>
      </w:r>
      <w:r>
        <w:rPr>
          <w:rFonts w:hint="eastAsia" w:ascii="FangSong_GB2312" w:hAnsi="FangSong_GB2312" w:eastAsia="FangSong_GB2312"/>
          <w:b w:val="0"/>
          <w:i w:val="0"/>
          <w:color w:val="000000"/>
          <w:sz w:val="32"/>
          <w:lang w:val="en-US" w:eastAsia="zh-CN"/>
        </w:rPr>
        <w:t>6</w:t>
      </w:r>
      <w:r>
        <w:rPr>
          <w:rFonts w:ascii="FangSong_GB2312" w:hAnsi="FangSong_GB2312" w:eastAsia="FangSong_GB2312"/>
          <w:b w:val="0"/>
          <w:i w:val="0"/>
          <w:color w:val="000000"/>
          <w:sz w:val="32"/>
        </w:rPr>
        <w:t>）为减少风险，确保发生案件事故后赔偿的适时性，供应商的专用运钞车要按规定购买好财产保险。供应商所有的专用运钞车及安防设备的维修保养及其一切费用开支，由供应商自行负责承担；供应商派出人员的工资、奖金、服装、医疗、保险、伤亡抚恤等一切费用均由供应商自行承担。</w:t>
      </w:r>
    </w:p>
    <w:p>
      <w:pPr>
        <w:spacing w:line="560" w:lineRule="exact"/>
        <w:ind w:firstLine="643" w:firstLineChars="200"/>
        <w:rPr>
          <w:rFonts w:ascii="仿宋_GB2312" w:hAnsi="仿宋_GB2312" w:eastAsia="仿宋_GB2312" w:cs="仿宋_GB2312"/>
          <w:b/>
          <w:bCs/>
          <w:sz w:val="32"/>
          <w:szCs w:val="32"/>
        </w:rPr>
      </w:pPr>
      <w:r>
        <w:rPr>
          <w:rFonts w:hint="eastAsia" w:ascii="仿宋_GB2312" w:hAnsi="仿宋" w:eastAsia="仿宋_GB2312" w:cs="Times New Roman"/>
          <w:b/>
          <w:bCs/>
          <w:sz w:val="32"/>
          <w:szCs w:val="32"/>
          <w:lang w:val="en-US" w:eastAsia="zh-CN"/>
        </w:rPr>
        <w:t>2.</w:t>
      </w:r>
      <w:r>
        <w:rPr>
          <w:rFonts w:hint="eastAsia" w:ascii="仿宋_GB2312" w:hAnsi="仿宋" w:eastAsia="仿宋_GB2312" w:cs="Times New Roman"/>
          <w:b/>
          <w:bCs/>
          <w:sz w:val="32"/>
          <w:szCs w:val="32"/>
        </w:rPr>
        <w:t>资信商务要求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FangSong_GB2312" w:hAnsi="FangSong_GB2312" w:eastAsia="FangSong_GB2312"/>
          <w:b w:val="0"/>
          <w:i w:val="0"/>
          <w:color w:val="000000"/>
          <w:sz w:val="32"/>
        </w:rPr>
      </w:pPr>
      <w:r>
        <w:rPr>
          <w:rFonts w:hint="eastAsia" w:ascii="FangSong_GB2312" w:hAnsi="FangSong_GB2312" w:eastAsia="FangSong_GB2312"/>
          <w:b w:val="0"/>
          <w:i w:val="0"/>
          <w:color w:val="000000"/>
          <w:sz w:val="32"/>
        </w:rPr>
        <w:t>1.付费形式：</w:t>
      </w:r>
      <w:r>
        <w:rPr>
          <w:rFonts w:hint="eastAsia" w:ascii="FangSong_GB2312" w:hAnsi="FangSong_GB2312" w:eastAsia="FangSong_GB2312"/>
          <w:b w:val="0"/>
          <w:i w:val="0"/>
          <w:color w:val="000000"/>
          <w:sz w:val="32"/>
          <w:lang w:eastAsia="zh-CN"/>
        </w:rPr>
        <w:t>押运</w:t>
      </w:r>
      <w:r>
        <w:rPr>
          <w:rFonts w:hint="eastAsia" w:ascii="FangSong_GB2312" w:hAnsi="FangSong_GB2312" w:eastAsia="FangSong_GB2312"/>
          <w:b w:val="0"/>
          <w:i w:val="0"/>
          <w:color w:val="000000"/>
          <w:sz w:val="32"/>
        </w:rPr>
        <w:t>费用按实际网点数量以固定价格支付。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FangSong_GB2312" w:hAnsi="FangSong_GB2312" w:eastAsia="FangSong_GB2312"/>
          <w:b w:val="0"/>
          <w:i w:val="0"/>
          <w:color w:val="000000"/>
          <w:sz w:val="32"/>
        </w:rPr>
      </w:pPr>
      <w:r>
        <w:rPr>
          <w:rFonts w:hint="eastAsia" w:ascii="FangSong_GB2312" w:hAnsi="FangSong_GB2312" w:eastAsia="FangSong_GB2312"/>
          <w:b w:val="0"/>
          <w:i w:val="0"/>
          <w:color w:val="000000"/>
          <w:sz w:val="32"/>
        </w:rPr>
        <w:t>2.服务费的支付方式和支付时间：</w:t>
      </w:r>
      <w:r>
        <w:rPr>
          <w:rFonts w:hint="eastAsia" w:ascii="FangSong_GB2312" w:hAnsi="FangSong_GB2312" w:eastAsia="FangSong_GB2312"/>
          <w:b w:val="0"/>
          <w:i w:val="0"/>
          <w:color w:val="000000"/>
          <w:sz w:val="32"/>
          <w:lang w:val="en-US" w:eastAsia="zh-CN"/>
        </w:rPr>
        <w:t>每半年</w:t>
      </w:r>
      <w:r>
        <w:rPr>
          <w:rFonts w:hint="eastAsia" w:ascii="FangSong_GB2312" w:hAnsi="FangSong_GB2312" w:eastAsia="FangSong_GB2312"/>
          <w:b w:val="0"/>
          <w:i w:val="0"/>
          <w:color w:val="000000"/>
          <w:sz w:val="32"/>
        </w:rPr>
        <w:t>支付</w:t>
      </w:r>
      <w:r>
        <w:rPr>
          <w:rFonts w:hint="eastAsia" w:ascii="FangSong_GB2312" w:hAnsi="FangSong_GB2312" w:eastAsia="FangSong_GB2312"/>
          <w:b w:val="0"/>
          <w:i w:val="0"/>
          <w:color w:val="000000"/>
          <w:sz w:val="32"/>
          <w:lang w:val="en-US" w:eastAsia="zh-CN"/>
        </w:rPr>
        <w:t>一次</w:t>
      </w:r>
      <w:r>
        <w:rPr>
          <w:rFonts w:hint="eastAsia" w:ascii="FangSong_GB2312" w:hAnsi="FangSong_GB2312" w:eastAsia="FangSong_GB2312"/>
          <w:b w:val="0"/>
          <w:i w:val="0"/>
          <w:color w:val="000000"/>
          <w:sz w:val="32"/>
        </w:rPr>
        <w:t>。在采购人支付服务费之前，供应商应提供符合采购人要求的增值税专用发票并经采购人审核无误，否则，采购人有权拒绝支付相应款项并不承担任何违规责任。</w:t>
      </w:r>
    </w:p>
    <w:p>
      <w:pPr>
        <w:widowControl/>
        <w:snapToGrid w:val="0"/>
        <w:spacing w:line="360" w:lineRule="auto"/>
        <w:ind w:firstLine="643" w:firstLineChars="200"/>
        <w:rPr>
          <w:rFonts w:ascii="仿宋_GB2312" w:hAnsi="仿宋" w:eastAsia="仿宋_GB2312" w:cs="Times New Roman"/>
          <w:b/>
          <w:bCs/>
          <w:sz w:val="32"/>
          <w:szCs w:val="32"/>
        </w:rPr>
      </w:pPr>
      <w:r>
        <w:rPr>
          <w:rFonts w:hint="eastAsia" w:ascii="仿宋_GB2312" w:hAnsi="仿宋" w:eastAsia="仿宋_GB2312" w:cs="Times New Roman"/>
          <w:b/>
          <w:bCs/>
          <w:sz w:val="32"/>
          <w:szCs w:val="32"/>
          <w:lang w:val="en-US" w:eastAsia="zh-CN"/>
        </w:rPr>
        <w:t>3.</w:t>
      </w:r>
      <w:r>
        <w:rPr>
          <w:rFonts w:hint="eastAsia" w:ascii="仿宋_GB2312" w:hAnsi="仿宋" w:eastAsia="仿宋_GB2312" w:cs="Times New Roman"/>
          <w:b/>
          <w:bCs/>
          <w:sz w:val="32"/>
          <w:szCs w:val="32"/>
        </w:rPr>
        <w:t>合同订立要求</w:t>
      </w:r>
    </w:p>
    <w:p>
      <w:pPr>
        <w:widowControl/>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rPr>
        <w:t xml:space="preserve">是否框架协议： </w:t>
      </w:r>
      <w:r>
        <w:rPr>
          <w:rFonts w:hint="eastAsia" w:ascii="仿宋_GB2312" w:hAnsi="仿宋" w:eastAsia="仿宋_GB2312" w:cs="Times New Roman"/>
          <w:sz w:val="32"/>
          <w:szCs w:val="32"/>
        </w:rPr>
        <w:sym w:font="Wingdings 2" w:char="0052"/>
      </w:r>
      <w:r>
        <w:rPr>
          <w:rFonts w:hint="eastAsia" w:ascii="仿宋_GB2312" w:hAnsi="仿宋" w:eastAsia="仿宋_GB2312" w:cs="Times New Roman"/>
          <w:sz w:val="32"/>
          <w:szCs w:val="32"/>
        </w:rPr>
        <w:t xml:space="preserve">是    </w:t>
      </w:r>
      <w:r>
        <w:rPr>
          <w:rFonts w:hint="eastAsia" w:ascii="仿宋_GB2312" w:hAnsi="仿宋" w:eastAsia="仿宋_GB2312" w:cs="Times New Roman"/>
          <w:sz w:val="32"/>
          <w:szCs w:val="32"/>
        </w:rPr>
        <w:sym w:font="Wingdings 2" w:char="00A3"/>
      </w:r>
      <w:r>
        <w:rPr>
          <w:rFonts w:hint="eastAsia" w:ascii="仿宋_GB2312" w:hAnsi="仿宋" w:eastAsia="仿宋_GB2312" w:cs="Times New Roman"/>
          <w:sz w:val="32"/>
          <w:szCs w:val="32"/>
        </w:rPr>
        <w:t>否</w:t>
      </w:r>
    </w:p>
    <w:p>
      <w:pPr>
        <w:widowControl/>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rPr>
        <w:t>合同定价模式：</w:t>
      </w:r>
    </w:p>
    <w:p>
      <w:pPr>
        <w:widowControl/>
        <w:snapToGrid w:val="0"/>
        <w:spacing w:line="360" w:lineRule="auto"/>
        <w:ind w:firstLine="640" w:firstLineChars="200"/>
        <w:rPr>
          <w:rFonts w:ascii="仿宋_GB2312" w:hAnsi="仿宋" w:eastAsia="仿宋_GB2312" w:cs="仿宋_GB2312"/>
          <w:color w:val="000000"/>
          <w:kern w:val="0"/>
          <w:sz w:val="32"/>
          <w:szCs w:val="32"/>
        </w:rPr>
      </w:pPr>
      <w:r>
        <w:rPr>
          <w:rFonts w:hint="eastAsia" w:ascii="仿宋_GB2312" w:hAnsi="仿宋" w:eastAsia="仿宋_GB2312" w:cs="Times New Roman"/>
          <w:sz w:val="32"/>
          <w:szCs w:val="32"/>
        </w:rPr>
        <w:sym w:font="Wingdings 2" w:char="00A3"/>
      </w:r>
      <w:r>
        <w:rPr>
          <w:rFonts w:hint="eastAsia" w:ascii="仿宋_GB2312" w:hAnsi="仿宋" w:eastAsia="仿宋_GB2312" w:cs="仿宋_GB2312"/>
          <w:color w:val="000000"/>
          <w:kern w:val="0"/>
          <w:sz w:val="32"/>
          <w:szCs w:val="32"/>
        </w:rPr>
        <w:t xml:space="preserve">固定总价   </w:t>
      </w:r>
      <w:r>
        <w:rPr>
          <w:rFonts w:hint="eastAsia" w:ascii="仿宋_GB2312" w:hAnsi="仿宋" w:eastAsia="仿宋_GB2312" w:cs="Times New Roman"/>
          <w:sz w:val="32"/>
          <w:szCs w:val="32"/>
        </w:rPr>
        <w:t>□</w:t>
      </w:r>
      <w:r>
        <w:rPr>
          <w:rFonts w:hint="eastAsia" w:ascii="仿宋_GB2312" w:hAnsi="仿宋" w:eastAsia="仿宋_GB2312" w:cs="仿宋_GB2312"/>
          <w:color w:val="000000"/>
          <w:kern w:val="0"/>
          <w:sz w:val="32"/>
          <w:szCs w:val="32"/>
        </w:rPr>
        <w:t>成本补偿（应明确并细化核算方式）</w:t>
      </w:r>
    </w:p>
    <w:p>
      <w:pPr>
        <w:widowControl/>
        <w:snapToGrid w:val="0"/>
        <w:spacing w:line="360" w:lineRule="auto"/>
        <w:ind w:firstLine="640" w:firstLineChars="200"/>
        <w:rPr>
          <w:rFonts w:ascii="仿宋_GB2312" w:hAnsi="仿宋" w:eastAsia="仿宋_GB2312" w:cs="仿宋_GB2312"/>
          <w:color w:val="000000"/>
          <w:kern w:val="0"/>
          <w:sz w:val="32"/>
          <w:szCs w:val="32"/>
        </w:rPr>
      </w:pPr>
      <w:r>
        <w:rPr>
          <w:rFonts w:hint="eastAsia" w:ascii="仿宋_GB2312" w:hAnsi="仿宋" w:eastAsia="仿宋_GB2312" w:cs="Times New Roman"/>
          <w:sz w:val="32"/>
          <w:szCs w:val="32"/>
        </w:rPr>
        <w:sym w:font="Wingdings 2" w:char="0052"/>
      </w:r>
      <w:r>
        <w:rPr>
          <w:rFonts w:hint="eastAsia" w:ascii="仿宋_GB2312" w:hAnsi="仿宋" w:eastAsia="仿宋_GB2312" w:cs="仿宋_GB2312"/>
          <w:color w:val="000000"/>
          <w:kern w:val="0"/>
          <w:sz w:val="32"/>
          <w:szCs w:val="32"/>
        </w:rPr>
        <w:t xml:space="preserve">固定单价   </w:t>
      </w:r>
      <w:r>
        <w:rPr>
          <w:rFonts w:hint="eastAsia" w:ascii="仿宋_GB2312" w:hAnsi="仿宋" w:eastAsia="仿宋_GB2312" w:cs="Times New Roman"/>
          <w:sz w:val="32"/>
          <w:szCs w:val="32"/>
        </w:rPr>
        <w:t>□</w:t>
      </w:r>
      <w:r>
        <w:rPr>
          <w:rFonts w:hint="eastAsia" w:ascii="仿宋_GB2312" w:hAnsi="仿宋" w:eastAsia="仿宋_GB2312" w:cs="仿宋_GB2312"/>
          <w:color w:val="000000"/>
          <w:kern w:val="0"/>
          <w:sz w:val="32"/>
          <w:szCs w:val="32"/>
        </w:rPr>
        <w:t>绩效激励（应明确并细化核算方式）</w:t>
      </w:r>
    </w:p>
    <w:p>
      <w:pPr>
        <w:widowControl/>
        <w:snapToGrid w:val="0"/>
        <w:spacing w:line="360" w:lineRule="auto"/>
        <w:ind w:firstLine="640" w:firstLineChars="200"/>
        <w:rPr>
          <w:rFonts w:ascii="黑体" w:hAnsi="黑体" w:eastAsia="黑体" w:cs="Times New Roman"/>
          <w:sz w:val="32"/>
          <w:szCs w:val="32"/>
        </w:rPr>
      </w:pPr>
      <w:r>
        <w:rPr>
          <w:rFonts w:hint="eastAsia" w:ascii="仿宋_GB2312" w:hAnsi="仿宋" w:eastAsia="仿宋_GB2312" w:cs="仿宋_GB2312"/>
          <w:color w:val="000000"/>
          <w:kern w:val="0"/>
          <w:sz w:val="32"/>
          <w:szCs w:val="32"/>
        </w:rPr>
        <w:t>合同</w:t>
      </w:r>
      <w:r>
        <w:rPr>
          <w:rFonts w:ascii="仿宋_GB2312" w:hAnsi="仿宋" w:eastAsia="仿宋_GB2312" w:cs="仿宋_GB2312"/>
          <w:color w:val="000000"/>
          <w:kern w:val="0"/>
          <w:sz w:val="32"/>
          <w:szCs w:val="32"/>
        </w:rPr>
        <w:t>期限：</w:t>
      </w:r>
      <w:r>
        <w:rPr>
          <w:rFonts w:hint="eastAsia" w:ascii="仿宋_GB2312" w:hAnsi="仿宋" w:eastAsia="仿宋_GB2312" w:cs="仿宋_GB2312"/>
          <w:color w:val="000000"/>
          <w:kern w:val="0"/>
          <w:sz w:val="32"/>
          <w:szCs w:val="32"/>
        </w:rPr>
        <w:t>202</w:t>
      </w:r>
      <w:r>
        <w:rPr>
          <w:rFonts w:hint="eastAsia" w:ascii="仿宋_GB2312" w:hAnsi="仿宋" w:eastAsia="仿宋_GB2312" w:cs="仿宋_GB2312"/>
          <w:color w:val="000000"/>
          <w:kern w:val="0"/>
          <w:sz w:val="32"/>
          <w:szCs w:val="32"/>
          <w:lang w:val="en-US" w:eastAsia="zh-CN"/>
        </w:rPr>
        <w:t>6</w:t>
      </w:r>
      <w:r>
        <w:rPr>
          <w:rFonts w:hint="eastAsia" w:ascii="仿宋_GB2312" w:hAnsi="仿宋" w:eastAsia="仿宋_GB2312" w:cs="仿宋_GB2312"/>
          <w:color w:val="000000"/>
          <w:kern w:val="0"/>
          <w:sz w:val="32"/>
          <w:szCs w:val="32"/>
        </w:rPr>
        <w:t>年</w:t>
      </w:r>
      <w:r>
        <w:rPr>
          <w:rFonts w:hint="eastAsia" w:ascii="仿宋_GB2312" w:hAnsi="仿宋" w:eastAsia="仿宋_GB2312" w:cs="仿宋_GB2312"/>
          <w:color w:val="000000"/>
          <w:kern w:val="0"/>
          <w:sz w:val="32"/>
          <w:szCs w:val="32"/>
          <w:lang w:val="en-US" w:eastAsia="zh-CN"/>
        </w:rPr>
        <w:t>6</w:t>
      </w:r>
      <w:r>
        <w:rPr>
          <w:rFonts w:hint="eastAsia" w:ascii="仿宋_GB2312" w:hAnsi="仿宋" w:eastAsia="仿宋_GB2312" w:cs="仿宋_GB2312"/>
          <w:color w:val="000000"/>
          <w:kern w:val="0"/>
          <w:sz w:val="32"/>
          <w:szCs w:val="32"/>
        </w:rPr>
        <w:t>月</w:t>
      </w:r>
      <w:r>
        <w:rPr>
          <w:rFonts w:hint="eastAsia" w:ascii="仿宋_GB2312" w:hAnsi="仿宋" w:eastAsia="仿宋_GB2312" w:cs="仿宋_GB2312"/>
          <w:color w:val="000000"/>
          <w:kern w:val="0"/>
          <w:sz w:val="32"/>
          <w:szCs w:val="32"/>
          <w:lang w:val="en-US" w:eastAsia="zh-CN"/>
        </w:rPr>
        <w:t>15</w:t>
      </w:r>
      <w:r>
        <w:rPr>
          <w:rFonts w:hint="eastAsia" w:ascii="仿宋_GB2312" w:hAnsi="仿宋" w:eastAsia="仿宋_GB2312" w:cs="仿宋_GB2312"/>
          <w:color w:val="000000"/>
          <w:kern w:val="0"/>
          <w:sz w:val="32"/>
          <w:szCs w:val="32"/>
        </w:rPr>
        <w:t>日-202</w:t>
      </w:r>
      <w:r>
        <w:rPr>
          <w:rFonts w:hint="eastAsia" w:ascii="仿宋_GB2312" w:hAnsi="仿宋" w:eastAsia="仿宋_GB2312" w:cs="仿宋_GB2312"/>
          <w:color w:val="000000"/>
          <w:kern w:val="0"/>
          <w:sz w:val="32"/>
          <w:szCs w:val="32"/>
          <w:lang w:val="en-US" w:eastAsia="zh-CN"/>
        </w:rPr>
        <w:t>8</w:t>
      </w:r>
      <w:r>
        <w:rPr>
          <w:rFonts w:hint="eastAsia" w:ascii="仿宋_GB2312" w:hAnsi="仿宋" w:eastAsia="仿宋_GB2312" w:cs="仿宋_GB2312"/>
          <w:color w:val="000000"/>
          <w:kern w:val="0"/>
          <w:sz w:val="32"/>
          <w:szCs w:val="32"/>
        </w:rPr>
        <w:t>年</w:t>
      </w:r>
      <w:r>
        <w:rPr>
          <w:rFonts w:hint="eastAsia" w:ascii="仿宋_GB2312" w:hAnsi="仿宋" w:eastAsia="仿宋_GB2312" w:cs="仿宋_GB2312"/>
          <w:color w:val="000000"/>
          <w:kern w:val="0"/>
          <w:sz w:val="32"/>
          <w:szCs w:val="32"/>
          <w:lang w:val="en-US" w:eastAsia="zh-CN"/>
        </w:rPr>
        <w:t>6</w:t>
      </w:r>
      <w:r>
        <w:rPr>
          <w:rFonts w:hint="eastAsia" w:ascii="仿宋_GB2312" w:hAnsi="仿宋" w:eastAsia="仿宋_GB2312" w:cs="仿宋_GB2312"/>
          <w:color w:val="000000"/>
          <w:kern w:val="0"/>
          <w:sz w:val="32"/>
          <w:szCs w:val="32"/>
        </w:rPr>
        <w:t>月</w:t>
      </w:r>
      <w:r>
        <w:rPr>
          <w:rFonts w:hint="eastAsia" w:ascii="仿宋_GB2312" w:hAnsi="仿宋" w:eastAsia="仿宋_GB2312" w:cs="仿宋_GB2312"/>
          <w:color w:val="000000"/>
          <w:kern w:val="0"/>
          <w:sz w:val="32"/>
          <w:szCs w:val="32"/>
          <w:lang w:val="en-US" w:eastAsia="zh-CN"/>
        </w:rPr>
        <w:t>14</w:t>
      </w:r>
      <w:r>
        <w:rPr>
          <w:rFonts w:hint="eastAsia" w:ascii="仿宋_GB2312" w:hAnsi="仿宋" w:eastAsia="仿宋_GB2312" w:cs="仿宋_GB2312"/>
          <w:color w:val="000000"/>
          <w:kern w:val="0"/>
          <w:sz w:val="32"/>
          <w:szCs w:val="32"/>
        </w:rPr>
        <w:t>日（以实际服务开启时间为准，期限2年）</w:t>
      </w:r>
    </w:p>
    <w:p>
      <w:pPr>
        <w:adjustRightInd w:val="0"/>
        <w:snapToGrid w:val="0"/>
        <w:ind w:firstLine="640" w:firstLineChars="200"/>
        <w:rPr>
          <w:rFonts w:hint="eastAsia" w:ascii="黑体" w:hAnsi="黑体" w:eastAsia="黑体"/>
          <w:sz w:val="32"/>
          <w:szCs w:val="32"/>
          <w:lang w:val="en-US" w:eastAsia="zh-CN"/>
        </w:rPr>
      </w:pPr>
    </w:p>
    <w:p>
      <w:pPr>
        <w:adjustRightInd w:val="0"/>
        <w:snapToGrid w:val="0"/>
        <w:ind w:firstLine="640" w:firstLineChars="200"/>
        <w:rPr>
          <w:rFonts w:hint="eastAsia" w:ascii="黑体" w:hAnsi="黑体" w:eastAsia="黑体"/>
          <w:sz w:val="32"/>
          <w:szCs w:val="32"/>
        </w:rPr>
      </w:pPr>
      <w:r>
        <w:rPr>
          <w:rFonts w:hint="eastAsia" w:ascii="黑体" w:hAnsi="黑体" w:eastAsia="黑体"/>
          <w:sz w:val="32"/>
          <w:szCs w:val="32"/>
          <w:lang w:val="en-US" w:eastAsia="zh-CN"/>
        </w:rPr>
        <w:t>五</w:t>
      </w:r>
      <w:r>
        <w:rPr>
          <w:rFonts w:hint="eastAsia" w:ascii="黑体" w:hAnsi="黑体" w:eastAsia="黑体"/>
          <w:sz w:val="32"/>
          <w:szCs w:val="32"/>
        </w:rPr>
        <w:t>、报价一览表</w:t>
      </w:r>
    </w:p>
    <w:p>
      <w:pPr>
        <w:contextualSpacing/>
        <w:jc w:val="center"/>
        <w:outlineLvl w:val="0"/>
        <w:rPr>
          <w:rFonts w:hint="eastAsia" w:ascii="仿宋" w:hAnsi="仿宋" w:eastAsia="仿宋" w:cs="Times New Roman"/>
          <w:b/>
          <w:bCs/>
          <w:sz w:val="32"/>
          <w:szCs w:val="32"/>
          <w:lang w:val="en-US" w:eastAsia="zh-CN"/>
        </w:rPr>
      </w:pPr>
      <w:r>
        <w:rPr>
          <w:rFonts w:hint="eastAsia" w:ascii="仿宋" w:hAnsi="仿宋" w:eastAsia="仿宋" w:cs="Times New Roman"/>
          <w:b/>
          <w:bCs/>
          <w:sz w:val="32"/>
          <w:szCs w:val="32"/>
          <w:lang w:val="en-US" w:eastAsia="zh-CN"/>
        </w:rPr>
        <w:t>浙商银行合肥分行武装押运服务采购</w:t>
      </w:r>
    </w:p>
    <w:p>
      <w:pPr>
        <w:contextualSpacing/>
        <w:jc w:val="center"/>
        <w:rPr>
          <w:rFonts w:hint="eastAsia" w:ascii="仿宋" w:hAnsi="仿宋" w:eastAsia="仿宋"/>
          <w:b/>
          <w:bCs/>
          <w:sz w:val="32"/>
          <w:szCs w:val="32"/>
        </w:rPr>
      </w:pPr>
      <w:r>
        <w:rPr>
          <w:rFonts w:hint="eastAsia" w:ascii="仿宋" w:hAnsi="仿宋" w:eastAsia="仿宋"/>
          <w:b/>
          <w:bCs/>
          <w:sz w:val="32"/>
          <w:szCs w:val="32"/>
        </w:rPr>
        <w:t>报价一览表（初次报价）</w:t>
      </w:r>
    </w:p>
    <w:tbl>
      <w:tblPr>
        <w:tblStyle w:val="12"/>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3"/>
        <w:gridCol w:w="1743"/>
        <w:gridCol w:w="1525"/>
        <w:gridCol w:w="1121"/>
        <w:gridCol w:w="1397"/>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01"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项目名称</w:t>
            </w:r>
          </w:p>
        </w:tc>
        <w:tc>
          <w:tcPr>
            <w:tcW w:w="1024" w:type="pct"/>
            <w:noWrap w:val="0"/>
            <w:vAlign w:val="center"/>
          </w:tcPr>
          <w:p>
            <w:pPr>
              <w:autoSpaceDE w:val="0"/>
              <w:autoSpaceDN w:val="0"/>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总费用报价</w:t>
            </w:r>
            <w:r>
              <w:rPr>
                <w:rFonts w:hint="eastAsia" w:ascii="宋体" w:hAnsi="宋体" w:eastAsia="宋体" w:cs="宋体"/>
                <w:color w:val="000000"/>
                <w:kern w:val="0"/>
                <w:szCs w:val="21"/>
                <w:lang w:val="en-US" w:eastAsia="zh-CN"/>
              </w:rPr>
              <w:t>=6个网点押运服务总价</w:t>
            </w:r>
          </w:p>
          <w:p>
            <w:pPr>
              <w:autoSpaceDE w:val="0"/>
              <w:autoSpaceDN w:val="0"/>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eastAsia="宋体" w:cs="宋体"/>
                <w:color w:val="000000"/>
                <w:kern w:val="0"/>
                <w:szCs w:val="21"/>
                <w:lang w:val="en-US" w:eastAsia="zh-CN"/>
              </w:rPr>
              <w:t>2年</w:t>
            </w:r>
            <w:r>
              <w:rPr>
                <w:rFonts w:hint="eastAsia" w:ascii="宋体" w:hAnsi="宋体" w:eastAsia="宋体" w:cs="宋体"/>
                <w:color w:val="000000"/>
                <w:kern w:val="0"/>
                <w:szCs w:val="21"/>
              </w:rPr>
              <w:t>含税）</w:t>
            </w:r>
          </w:p>
        </w:tc>
        <w:tc>
          <w:tcPr>
            <w:tcW w:w="896" w:type="pct"/>
            <w:noWrap w:val="0"/>
            <w:vAlign w:val="center"/>
          </w:tcPr>
          <w:p>
            <w:pPr>
              <w:autoSpaceDE w:val="0"/>
              <w:autoSpaceDN w:val="0"/>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新增网点押运服务单价（含税）/年</w:t>
            </w:r>
          </w:p>
        </w:tc>
        <w:tc>
          <w:tcPr>
            <w:tcW w:w="659"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增值税税率（%）</w:t>
            </w:r>
          </w:p>
        </w:tc>
        <w:tc>
          <w:tcPr>
            <w:tcW w:w="821"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是否开具增值税专用发票</w:t>
            </w:r>
          </w:p>
        </w:tc>
        <w:tc>
          <w:tcPr>
            <w:tcW w:w="797"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01"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浙商银行</w:t>
            </w:r>
            <w:r>
              <w:rPr>
                <w:rFonts w:hint="eastAsia" w:ascii="宋体" w:hAnsi="宋体" w:eastAsia="宋体" w:cs="宋体"/>
                <w:color w:val="000000"/>
                <w:kern w:val="0"/>
                <w:szCs w:val="21"/>
                <w:lang w:val="en-US" w:eastAsia="zh-CN"/>
              </w:rPr>
              <w:t>合肥</w:t>
            </w:r>
            <w:r>
              <w:rPr>
                <w:rFonts w:hint="eastAsia" w:ascii="宋体" w:hAnsi="宋体" w:eastAsia="宋体" w:cs="宋体"/>
                <w:color w:val="000000"/>
                <w:kern w:val="0"/>
                <w:szCs w:val="21"/>
              </w:rPr>
              <w:t>分行</w:t>
            </w:r>
            <w:r>
              <w:rPr>
                <w:rFonts w:hint="eastAsia" w:ascii="宋体" w:hAnsi="宋体" w:eastAsia="宋体" w:cs="宋体"/>
                <w:color w:val="000000"/>
                <w:kern w:val="0"/>
                <w:szCs w:val="21"/>
                <w:lang w:val="en-US" w:eastAsia="zh-CN"/>
              </w:rPr>
              <w:t>武装押运</w:t>
            </w:r>
            <w:r>
              <w:rPr>
                <w:rFonts w:hint="eastAsia" w:ascii="宋体" w:hAnsi="宋体" w:eastAsia="宋体" w:cs="宋体"/>
                <w:color w:val="000000"/>
                <w:kern w:val="0"/>
                <w:szCs w:val="21"/>
              </w:rPr>
              <w:t>服务采购</w:t>
            </w:r>
          </w:p>
        </w:tc>
        <w:tc>
          <w:tcPr>
            <w:tcW w:w="1024"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p>
        </w:tc>
        <w:tc>
          <w:tcPr>
            <w:tcW w:w="896"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p>
        </w:tc>
        <w:tc>
          <w:tcPr>
            <w:tcW w:w="659"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p>
        </w:tc>
        <w:tc>
          <w:tcPr>
            <w:tcW w:w="821" w:type="pct"/>
            <w:noWrap w:val="0"/>
            <w:vAlign w:val="center"/>
          </w:tcPr>
          <w:p>
            <w:pPr>
              <w:autoSpaceDE w:val="0"/>
              <w:autoSpaceDN w:val="0"/>
              <w:adjustRightInd w:val="0"/>
              <w:snapToGrid w:val="0"/>
              <w:jc w:val="center"/>
              <w:rPr>
                <w:rFonts w:hint="eastAsia" w:ascii="宋体" w:hAnsi="宋体" w:eastAsia="宋体" w:cs="宋体"/>
                <w:color w:val="000000"/>
                <w:kern w:val="0"/>
                <w:szCs w:val="21"/>
              </w:rPr>
            </w:pPr>
          </w:p>
        </w:tc>
        <w:tc>
          <w:tcPr>
            <w:tcW w:w="797" w:type="pct"/>
            <w:noWrap w:val="0"/>
            <w:vAlign w:val="center"/>
          </w:tcPr>
          <w:p>
            <w:pPr>
              <w:autoSpaceDE w:val="0"/>
              <w:autoSpaceDN w:val="0"/>
              <w:adjustRightInd w:val="0"/>
              <w:snapToGrid w:val="0"/>
              <w:jc w:val="center"/>
              <w:rPr>
                <w:rFonts w:hint="default" w:ascii="宋体" w:hAnsi="宋体" w:eastAsia="宋体" w:cs="宋体"/>
                <w:color w:val="000000"/>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1" w:type="pct"/>
            <w:noWrap w:val="0"/>
            <w:vAlign w:val="center"/>
          </w:tcPr>
          <w:p>
            <w:pPr>
              <w:autoSpaceDE w:val="0"/>
              <w:autoSpaceDN w:val="0"/>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其他事项说明</w:t>
            </w:r>
          </w:p>
        </w:tc>
        <w:tc>
          <w:tcPr>
            <w:tcW w:w="4198" w:type="pct"/>
            <w:gridSpan w:val="5"/>
            <w:noWrap w:val="0"/>
            <w:vAlign w:val="center"/>
          </w:tcPr>
          <w:p>
            <w:pPr>
              <w:autoSpaceDE w:val="0"/>
              <w:autoSpaceDN w:val="0"/>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1.不接受可选择的报价。</w:t>
            </w:r>
          </w:p>
          <w:p>
            <w:pPr>
              <w:autoSpaceDE w:val="0"/>
              <w:autoSpaceDN w:val="0"/>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2.报价文件出现空白，视同为未响应；报价明细出现空白，视同为免费。</w:t>
            </w:r>
          </w:p>
          <w:p>
            <w:pPr>
              <w:autoSpaceDE w:val="0"/>
              <w:autoSpaceDN w:val="0"/>
              <w:adjustRightInd w:val="0"/>
              <w:snapToGrid w:val="0"/>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3.所有报价均应已包含国家规定的所有税费,税率必须保持一致。</w:t>
            </w:r>
          </w:p>
        </w:tc>
      </w:tr>
    </w:tbl>
    <w:p>
      <w:pPr>
        <w:ind w:firstLine="640" w:firstLineChars="200"/>
        <w:contextualSpacing/>
        <w:rPr>
          <w:rFonts w:hint="eastAsia" w:ascii="仿宋" w:hAnsi="仿宋" w:eastAsia="仿宋"/>
          <w:bCs/>
          <w:sz w:val="32"/>
          <w:szCs w:val="32"/>
        </w:rPr>
      </w:pPr>
    </w:p>
    <w:p>
      <w:pPr>
        <w:ind w:firstLine="640" w:firstLineChars="200"/>
        <w:contextualSpacing/>
        <w:rPr>
          <w:rFonts w:hint="eastAsia" w:ascii="仿宋" w:hAnsi="仿宋" w:eastAsia="仿宋"/>
          <w:bCs/>
          <w:sz w:val="32"/>
          <w:szCs w:val="32"/>
        </w:rPr>
      </w:pPr>
      <w:r>
        <w:rPr>
          <w:rFonts w:hint="eastAsia" w:ascii="仿宋" w:hAnsi="仿宋" w:eastAsia="仿宋"/>
          <w:bCs/>
          <w:sz w:val="32"/>
          <w:szCs w:val="32"/>
        </w:rPr>
        <w:t>注：1.表格中税率仅指增值税税率，不含其它税种；</w:t>
      </w:r>
    </w:p>
    <w:p>
      <w:pPr>
        <w:ind w:firstLine="640" w:firstLineChars="200"/>
        <w:contextualSpacing/>
        <w:rPr>
          <w:rFonts w:hint="eastAsia" w:ascii="仿宋" w:hAnsi="仿宋" w:eastAsia="仿宋"/>
          <w:bCs/>
          <w:sz w:val="32"/>
          <w:szCs w:val="32"/>
        </w:rPr>
      </w:pPr>
      <w:r>
        <w:rPr>
          <w:rFonts w:hint="eastAsia" w:ascii="仿宋" w:hAnsi="仿宋" w:eastAsia="仿宋"/>
          <w:bCs/>
          <w:sz w:val="32"/>
          <w:szCs w:val="32"/>
        </w:rPr>
        <w:t xml:space="preserve">    2.请加盖公章和授权代表签字（或章）。</w:t>
      </w: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spacing w:line="360" w:lineRule="auto"/>
        <w:jc w:val="center"/>
        <w:outlineLvl w:val="2"/>
        <w:rPr>
          <w:rFonts w:hint="eastAsia" w:ascii="仿宋" w:hAnsi="仿宋" w:eastAsia="仿宋"/>
          <w:b/>
          <w:bCs/>
          <w:sz w:val="32"/>
          <w:szCs w:val="32"/>
        </w:rPr>
      </w:pPr>
    </w:p>
    <w:p>
      <w:pPr>
        <w:pStyle w:val="24"/>
        <w:contextualSpacing/>
        <w:rPr>
          <w:rFonts w:hint="eastAsia" w:ascii="黑体" w:hAnsi="黑体" w:eastAsia="黑体"/>
          <w:sz w:val="32"/>
          <w:szCs w:val="32"/>
          <w:highlight w:val="none"/>
        </w:rPr>
      </w:pPr>
    </w:p>
    <w:p>
      <w:pPr>
        <w:pStyle w:val="24"/>
        <w:ind w:firstLine="640" w:firstLineChars="200"/>
        <w:contextualSpacing/>
        <w:rPr>
          <w:rFonts w:hint="eastAsia" w:ascii="仿宋" w:hAnsi="仿宋" w:eastAsia="仿宋"/>
          <w:sz w:val="32"/>
          <w:szCs w:val="32"/>
          <w:highlight w:val="none"/>
        </w:rPr>
      </w:pPr>
      <w:r>
        <w:rPr>
          <w:rFonts w:hint="eastAsia" w:ascii="黑体" w:hAnsi="黑体" w:eastAsia="黑体"/>
          <w:sz w:val="32"/>
          <w:szCs w:val="32"/>
          <w:highlight w:val="none"/>
        </w:rPr>
        <w:t>六、</w:t>
      </w:r>
      <w:r>
        <w:rPr>
          <w:rFonts w:hint="eastAsia" w:ascii="黑体" w:hAnsi="黑体" w:eastAsia="黑体"/>
          <w:sz w:val="32"/>
          <w:szCs w:val="32"/>
          <w:highlight w:val="none"/>
          <w:lang w:val="en-US" w:eastAsia="zh-CN"/>
        </w:rPr>
        <w:t>响应</w:t>
      </w:r>
      <w:r>
        <w:rPr>
          <w:rFonts w:hint="eastAsia" w:ascii="黑体" w:hAnsi="黑体" w:eastAsia="黑体"/>
          <w:sz w:val="32"/>
          <w:szCs w:val="32"/>
          <w:highlight w:val="none"/>
        </w:rPr>
        <w:t>文件格式</w:t>
      </w:r>
    </w:p>
    <w:p>
      <w:pPr>
        <w:pStyle w:val="10"/>
        <w:shd w:val="clear" w:color="auto" w:fill="auto"/>
        <w:autoSpaceDE w:val="0"/>
        <w:spacing w:before="0" w:beforeAutospacing="0" w:after="0" w:afterAutospacing="0"/>
        <w:ind w:firstLine="640" w:firstLineChars="200"/>
        <w:contextualSpacing/>
        <w:jc w:val="both"/>
        <w:rPr>
          <w:rFonts w:hint="eastAsia" w:ascii="仿宋_GB2312" w:hAnsi="仿宋" w:eastAsia="仿宋_GB2312"/>
          <w:bCs/>
          <w:color w:val="1E1E1E"/>
          <w:sz w:val="32"/>
          <w:szCs w:val="32"/>
          <w:highlight w:val="none"/>
          <w:shd w:val="clear" w:color="auto" w:fill="FFFFFF"/>
        </w:rPr>
      </w:pPr>
      <w:r>
        <w:rPr>
          <w:rFonts w:hint="eastAsia" w:ascii="仿宋_GB2312" w:hAnsi="仿宋" w:eastAsia="仿宋_GB2312"/>
          <w:sz w:val="32"/>
          <w:szCs w:val="32"/>
          <w:highlight w:val="none"/>
        </w:rPr>
        <w:t>1.项目需求响应函和针对本项目的技术和服务响应方案；</w:t>
      </w:r>
    </w:p>
    <w:p>
      <w:pPr>
        <w:pStyle w:val="24"/>
        <w:shd w:val="clear" w:color="auto" w:fill="auto"/>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2.</w:t>
      </w:r>
      <w:r>
        <w:rPr>
          <w:rFonts w:hint="eastAsia" w:ascii="仿宋_GB2312" w:hAnsi="仿宋" w:eastAsia="仿宋_GB2312"/>
          <w:sz w:val="32"/>
          <w:szCs w:val="32"/>
          <w:highlight w:val="none"/>
          <w:lang w:eastAsia="zh-CN"/>
        </w:rPr>
        <w:t>项目</w:t>
      </w:r>
      <w:r>
        <w:rPr>
          <w:rFonts w:hint="eastAsia" w:ascii="仿宋_GB2312" w:hAnsi="仿宋" w:eastAsia="仿宋_GB2312"/>
          <w:sz w:val="32"/>
          <w:szCs w:val="32"/>
          <w:highlight w:val="none"/>
        </w:rPr>
        <w:t>报价一览表，包括报价明细清单；</w:t>
      </w:r>
    </w:p>
    <w:p>
      <w:pPr>
        <w:pStyle w:val="24"/>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3.报价单位</w:t>
      </w:r>
      <w:r>
        <w:rPr>
          <w:rFonts w:hint="eastAsia" w:ascii="仿宋_GB2312" w:hAnsi="仿宋" w:eastAsia="仿宋_GB2312"/>
          <w:b/>
          <w:sz w:val="32"/>
          <w:szCs w:val="32"/>
          <w:highlight w:val="none"/>
        </w:rPr>
        <w:t>基本情况及相关证明材料复印件（营业执照、代理人授权委托书、相关资质证明等，所有复印件必须加盖公章，后附授权委托书模板）</w:t>
      </w:r>
      <w:r>
        <w:rPr>
          <w:rFonts w:hint="eastAsia" w:ascii="仿宋_GB2312" w:hAnsi="仿宋" w:eastAsia="仿宋_GB2312"/>
          <w:sz w:val="32"/>
          <w:szCs w:val="32"/>
          <w:highlight w:val="none"/>
        </w:rPr>
        <w:t xml:space="preserve">； </w:t>
      </w:r>
    </w:p>
    <w:p>
      <w:pPr>
        <w:pStyle w:val="24"/>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4.其他必须提供的材料</w:t>
      </w:r>
      <w:r>
        <w:rPr>
          <w:rFonts w:hint="eastAsia" w:ascii="仿宋_GB2312" w:hAnsi="仿宋" w:eastAsia="仿宋_GB2312"/>
          <w:color w:val="000000"/>
          <w:sz w:val="32"/>
          <w:szCs w:val="32"/>
          <w:highlight w:val="none"/>
        </w:rPr>
        <w:t>。</w:t>
      </w:r>
    </w:p>
    <w:p>
      <w:pPr>
        <w:ind w:firstLine="640" w:firstLineChars="200"/>
        <w:contextualSpacing/>
        <w:rPr>
          <w:rFonts w:hint="eastAsia" w:ascii="仿宋" w:hAnsi="仿宋" w:eastAsia="仿宋"/>
          <w:sz w:val="32"/>
          <w:szCs w:val="32"/>
        </w:rPr>
      </w:pPr>
      <w:r>
        <w:rPr>
          <w:rFonts w:hint="eastAsia" w:ascii="黑体" w:hAnsi="黑体" w:eastAsia="黑体"/>
          <w:sz w:val="32"/>
          <w:szCs w:val="32"/>
          <w:lang w:val="en-US" w:eastAsia="zh-CN"/>
        </w:rPr>
        <w:t>七</w:t>
      </w:r>
      <w:r>
        <w:rPr>
          <w:rFonts w:hint="eastAsia" w:ascii="黑体" w:hAnsi="黑体" w:eastAsia="黑体"/>
          <w:sz w:val="32"/>
          <w:szCs w:val="32"/>
        </w:rPr>
        <w:t>、谈判及报价文件递交时间、地点</w:t>
      </w:r>
    </w:p>
    <w:p>
      <w:pPr>
        <w:ind w:firstLine="640" w:firstLineChars="200"/>
        <w:contextualSpacing/>
        <w:rPr>
          <w:rFonts w:hint="eastAsia" w:ascii="仿宋" w:hAnsi="仿宋" w:eastAsia="仿宋"/>
          <w:color w:val="FF0000"/>
          <w:sz w:val="32"/>
          <w:szCs w:val="32"/>
          <w:lang w:val="en-US" w:eastAsia="zh-CN"/>
        </w:rPr>
      </w:pPr>
      <w:r>
        <w:rPr>
          <w:rFonts w:hint="eastAsia" w:ascii="仿宋" w:hAnsi="仿宋" w:eastAsia="仿宋"/>
          <w:sz w:val="32"/>
          <w:szCs w:val="32"/>
        </w:rPr>
        <w:t>时间：</w:t>
      </w:r>
      <w:r>
        <w:rPr>
          <w:rFonts w:hint="eastAsia" w:ascii="仿宋_GB2312" w:hAnsi="仿宋" w:eastAsia="仿宋_GB2312"/>
          <w:sz w:val="32"/>
          <w:szCs w:val="32"/>
        </w:rPr>
        <w:t>202</w:t>
      </w:r>
      <w:r>
        <w:rPr>
          <w:rFonts w:hint="eastAsia" w:ascii="仿宋_GB2312" w:hAnsi="仿宋" w:eastAsia="仿宋_GB2312"/>
          <w:sz w:val="32"/>
          <w:szCs w:val="32"/>
          <w:lang w:val="en-US" w:eastAsia="zh-CN"/>
        </w:rPr>
        <w:t>6</w:t>
      </w:r>
      <w:r>
        <w:rPr>
          <w:rFonts w:hint="eastAsia" w:ascii="仿宋_GB2312" w:hAnsi="仿宋" w:eastAsia="仿宋_GB2312"/>
          <w:sz w:val="32"/>
          <w:szCs w:val="32"/>
        </w:rPr>
        <w:t>年</w:t>
      </w:r>
      <w:r>
        <w:rPr>
          <w:rFonts w:hint="eastAsia" w:ascii="仿宋_GB2312" w:hAnsi="仿宋" w:eastAsia="仿宋_GB2312"/>
          <w:sz w:val="32"/>
          <w:szCs w:val="32"/>
          <w:lang w:val="en-US" w:eastAsia="zh-CN"/>
        </w:rPr>
        <w:t>5</w:t>
      </w:r>
      <w:r>
        <w:rPr>
          <w:rFonts w:hint="eastAsia" w:ascii="仿宋_GB2312" w:hAnsi="仿宋" w:eastAsia="仿宋_GB2312"/>
          <w:sz w:val="32"/>
          <w:szCs w:val="32"/>
        </w:rPr>
        <w:t>月</w:t>
      </w:r>
      <w:r>
        <w:rPr>
          <w:rFonts w:hint="eastAsia" w:ascii="仿宋_GB2312" w:hAnsi="仿宋" w:eastAsia="仿宋_GB2312"/>
          <w:sz w:val="32"/>
          <w:szCs w:val="32"/>
          <w:lang w:val="en-US" w:eastAsia="zh-CN"/>
        </w:rPr>
        <w:t>22</w:t>
      </w:r>
      <w:r>
        <w:rPr>
          <w:rFonts w:hint="eastAsia" w:ascii="仿宋_GB2312" w:hAnsi="仿宋" w:eastAsia="仿宋_GB2312"/>
          <w:sz w:val="32"/>
          <w:szCs w:val="32"/>
        </w:rPr>
        <w:t>日10时</w:t>
      </w:r>
      <w:r>
        <w:rPr>
          <w:rFonts w:hint="eastAsia" w:ascii="仿宋" w:hAnsi="仿宋" w:eastAsia="仿宋"/>
          <w:sz w:val="32"/>
          <w:szCs w:val="32"/>
          <w:lang w:val="en-US" w:eastAsia="zh-CN"/>
        </w:rPr>
        <w:t xml:space="preserve"> </w:t>
      </w:r>
      <w:r>
        <w:rPr>
          <w:rFonts w:hint="default" w:ascii="仿宋" w:hAnsi="仿宋" w:eastAsia="仿宋"/>
          <w:sz w:val="32"/>
          <w:szCs w:val="32"/>
          <w:lang w:eastAsia="zh-CN"/>
        </w:rPr>
        <w:t xml:space="preserve"> </w:t>
      </w:r>
    </w:p>
    <w:p>
      <w:pPr>
        <w:ind w:firstLine="640" w:firstLineChars="200"/>
        <w:contextualSpacing/>
        <w:rPr>
          <w:rFonts w:hint="eastAsia" w:ascii="仿宋" w:hAnsi="仿宋" w:eastAsia="仿宋"/>
          <w:sz w:val="32"/>
          <w:szCs w:val="32"/>
          <w:lang w:val="en-US" w:eastAsia="zh-CN"/>
        </w:rPr>
      </w:pPr>
      <w:r>
        <w:rPr>
          <w:rFonts w:hint="eastAsia" w:ascii="仿宋" w:hAnsi="仿宋" w:eastAsia="仿宋"/>
          <w:sz w:val="32"/>
          <w:szCs w:val="32"/>
        </w:rPr>
        <w:t>地点：</w:t>
      </w:r>
      <w:r>
        <w:rPr>
          <w:rFonts w:hint="eastAsia" w:ascii="仿宋_GB2312" w:hAnsi="仿宋" w:eastAsia="仿宋_GB2312"/>
          <w:sz w:val="32"/>
          <w:szCs w:val="32"/>
        </w:rPr>
        <w:t>合肥市包河区徽州大道4872号金融港中心A16幢大厦</w:t>
      </w:r>
    </w:p>
    <w:p>
      <w:pPr>
        <w:ind w:firstLine="640" w:firstLineChars="200"/>
        <w:contextualSpacing/>
        <w:rPr>
          <w:rFonts w:hint="eastAsia" w:ascii="仿宋_GB2312" w:hAnsi="仿宋" w:eastAsia="仿宋_GB2312"/>
          <w:sz w:val="32"/>
          <w:szCs w:val="32"/>
          <w:highlight w:val="none"/>
        </w:rPr>
      </w:pPr>
      <w:r>
        <w:rPr>
          <w:rFonts w:hint="eastAsia" w:ascii="仿宋" w:hAnsi="仿宋" w:eastAsia="仿宋"/>
          <w:sz w:val="32"/>
          <w:szCs w:val="32"/>
          <w:lang w:val="en-US" w:eastAsia="zh-CN"/>
        </w:rPr>
        <w:t>八</w:t>
      </w:r>
      <w:r>
        <w:rPr>
          <w:rFonts w:hint="eastAsia" w:ascii="仿宋" w:hAnsi="仿宋" w:eastAsia="仿宋"/>
          <w:sz w:val="32"/>
          <w:szCs w:val="32"/>
        </w:rPr>
        <w:t>、</w:t>
      </w:r>
      <w:r>
        <w:rPr>
          <w:rFonts w:hint="eastAsia" w:ascii="仿宋_GB2312" w:hAnsi="仿宋" w:eastAsia="仿宋_GB2312"/>
          <w:sz w:val="32"/>
          <w:szCs w:val="32"/>
          <w:highlight w:val="none"/>
        </w:rPr>
        <w:t>如有疑问，</w:t>
      </w:r>
      <w:r>
        <w:rPr>
          <w:rFonts w:hint="eastAsia" w:ascii="仿宋_GB2312" w:hAnsi="仿宋" w:eastAsia="仿宋_GB2312"/>
          <w:sz w:val="32"/>
          <w:szCs w:val="32"/>
        </w:rPr>
        <w:t>请</w:t>
      </w:r>
      <w:r>
        <w:rPr>
          <w:rFonts w:hint="eastAsia" w:ascii="仿宋_GB2312" w:hAnsi="仿宋" w:eastAsia="仿宋_GB2312"/>
          <w:bCs/>
          <w:sz w:val="32"/>
          <w:szCs w:val="32"/>
        </w:rPr>
        <w:t>通过zhaixinchen_hf@czbank.com</w:t>
      </w:r>
      <w:r>
        <w:rPr>
          <w:rFonts w:hint="eastAsia" w:ascii="仿宋_GB2312" w:hAnsi="仿宋" w:eastAsia="仿宋_GB2312"/>
          <w:sz w:val="32"/>
          <w:szCs w:val="32"/>
        </w:rPr>
        <w:t>联系</w:t>
      </w:r>
      <w:r>
        <w:rPr>
          <w:rFonts w:hint="eastAsia" w:ascii="仿宋_GB2312" w:hAnsi="仿宋" w:eastAsia="仿宋_GB2312"/>
          <w:sz w:val="32"/>
          <w:szCs w:val="32"/>
          <w:highlight w:val="none"/>
        </w:rPr>
        <w:t xml:space="preserve">。                </w:t>
      </w:r>
      <w:bookmarkStart w:id="0" w:name="_GoBack"/>
      <w:bookmarkEnd w:id="0"/>
      <w:r>
        <w:rPr>
          <w:rFonts w:hint="eastAsia" w:ascii="仿宋_GB2312" w:hAnsi="仿宋" w:eastAsia="仿宋_GB2312"/>
          <w:sz w:val="32"/>
          <w:szCs w:val="32"/>
          <w:highlight w:val="none"/>
        </w:rPr>
        <w:t xml:space="preserve">            </w:t>
      </w:r>
    </w:p>
    <w:p>
      <w:pPr>
        <w:spacing w:line="360" w:lineRule="auto"/>
        <w:jc w:val="right"/>
        <w:rPr>
          <w:rFonts w:hint="eastAsia" w:ascii="仿宋_GB2312" w:hAnsi="仿宋" w:eastAsia="仿宋_GB2312"/>
          <w:sz w:val="32"/>
          <w:szCs w:val="32"/>
        </w:rPr>
      </w:pPr>
    </w:p>
    <w:p>
      <w:pPr>
        <w:spacing w:line="360" w:lineRule="auto"/>
        <w:jc w:val="right"/>
        <w:rPr>
          <w:rFonts w:hint="eastAsia" w:ascii="仿宋_GB2312" w:hAnsi="仿宋" w:eastAsia="仿宋_GB2312"/>
          <w:sz w:val="32"/>
          <w:szCs w:val="32"/>
          <w:highlight w:val="none"/>
        </w:rPr>
      </w:pPr>
      <w:r>
        <w:rPr>
          <w:rFonts w:hint="eastAsia" w:ascii="仿宋_GB2312" w:hAnsi="仿宋" w:eastAsia="仿宋_GB2312"/>
          <w:sz w:val="32"/>
          <w:szCs w:val="32"/>
        </w:rPr>
        <w:t>采购人：浙商银行股份有限公司合肥分行</w:t>
      </w:r>
    </w:p>
    <w:p>
      <w:pPr>
        <w:spacing w:line="360" w:lineRule="auto"/>
        <w:jc w:val="right"/>
        <w:rPr>
          <w:rFonts w:hint="eastAsia" w:ascii="仿宋" w:hAnsi="仿宋" w:eastAsia="仿宋"/>
          <w:sz w:val="32"/>
          <w:szCs w:val="32"/>
        </w:rPr>
      </w:pPr>
      <w:r>
        <w:rPr>
          <w:rFonts w:hint="eastAsia" w:ascii="仿宋_GB2312" w:hAnsi="仿宋" w:eastAsia="仿宋_GB2312"/>
          <w:sz w:val="32"/>
          <w:szCs w:val="32"/>
          <w:highlight w:val="none"/>
        </w:rPr>
        <w:t xml:space="preserve">             </w:t>
      </w:r>
      <w:r>
        <w:rPr>
          <w:rFonts w:hint="eastAsia" w:ascii="仿宋_GB2312" w:hAnsi="仿宋" w:eastAsia="仿宋_GB2312"/>
          <w:color w:val="FF0000"/>
          <w:sz w:val="32"/>
          <w:szCs w:val="32"/>
          <w:highlight w:val="none"/>
        </w:rPr>
        <w:t xml:space="preserve">      </w:t>
      </w:r>
      <w:r>
        <w:rPr>
          <w:rFonts w:hint="eastAsia" w:ascii="仿宋_GB2312" w:hAnsi="仿宋" w:eastAsia="仿宋_GB2312"/>
          <w:sz w:val="32"/>
          <w:szCs w:val="32"/>
          <w:highlight w:val="none"/>
        </w:rPr>
        <w:t>202</w:t>
      </w:r>
      <w:r>
        <w:rPr>
          <w:rFonts w:hint="eastAsia" w:ascii="仿宋_GB2312" w:hAnsi="仿宋" w:eastAsia="仿宋_GB2312"/>
          <w:sz w:val="32"/>
          <w:szCs w:val="32"/>
          <w:highlight w:val="none"/>
          <w:lang w:val="en-US" w:eastAsia="zh-CN"/>
        </w:rPr>
        <w:t>6</w:t>
      </w:r>
      <w:r>
        <w:rPr>
          <w:rFonts w:hint="eastAsia" w:ascii="仿宋_GB2312" w:hAnsi="仿宋" w:eastAsia="仿宋_GB2312"/>
          <w:sz w:val="32"/>
          <w:szCs w:val="32"/>
          <w:highlight w:val="none"/>
        </w:rPr>
        <w:t>年</w:t>
      </w:r>
      <w:r>
        <w:rPr>
          <w:rFonts w:hint="eastAsia" w:ascii="仿宋_GB2312" w:hAnsi="仿宋" w:eastAsia="仿宋_GB2312"/>
          <w:sz w:val="32"/>
          <w:szCs w:val="32"/>
          <w:highlight w:val="none"/>
          <w:lang w:val="en-US" w:eastAsia="zh-CN"/>
        </w:rPr>
        <w:t>5</w:t>
      </w:r>
      <w:r>
        <w:rPr>
          <w:rFonts w:hint="eastAsia" w:ascii="仿宋_GB2312" w:hAnsi="仿宋" w:eastAsia="仿宋_GB2312"/>
          <w:sz w:val="32"/>
          <w:szCs w:val="32"/>
          <w:highlight w:val="none"/>
        </w:rPr>
        <w:t>月</w:t>
      </w:r>
      <w:r>
        <w:rPr>
          <w:rFonts w:hint="eastAsia" w:ascii="仿宋_GB2312" w:hAnsi="仿宋" w:eastAsia="仿宋_GB2312"/>
          <w:sz w:val="32"/>
          <w:szCs w:val="32"/>
          <w:highlight w:val="none"/>
          <w:lang w:val="en-US" w:eastAsia="zh-CN"/>
        </w:rPr>
        <w:t>15</w:t>
      </w:r>
      <w:r>
        <w:rPr>
          <w:rFonts w:hint="eastAsia" w:ascii="仿宋_GB2312" w:hAnsi="仿宋" w:eastAsia="仿宋_GB2312"/>
          <w:sz w:val="32"/>
          <w:szCs w:val="32"/>
          <w:highlight w:val="none"/>
        </w:rPr>
        <w:t>日</w:t>
      </w:r>
      <w:r>
        <w:rPr>
          <w:rFonts w:hint="eastAsia" w:ascii="仿宋_GB2312" w:hAnsi="仿宋" w:eastAsia="仿宋_GB2312"/>
          <w:color w:val="FF0000"/>
          <w:sz w:val="32"/>
          <w:szCs w:val="32"/>
          <w:highlight w:val="none"/>
        </w:rPr>
        <w:t xml:space="preserve">  </w:t>
      </w:r>
    </w:p>
    <w:p>
      <w:pPr>
        <w:jc w:val="right"/>
        <w:rPr>
          <w:rFonts w:hint="eastAsia" w:ascii="仿宋" w:hAnsi="仿宋" w:eastAsia="仿宋"/>
          <w:color w:val="FF0000"/>
          <w:sz w:val="32"/>
          <w:szCs w:val="32"/>
          <w:u w:val="single"/>
        </w:rPr>
      </w:pPr>
      <w:r>
        <w:rPr>
          <w:rFonts w:hint="eastAsia" w:ascii="仿宋" w:hAnsi="仿宋" w:eastAsia="仿宋"/>
          <w:sz w:val="32"/>
          <w:szCs w:val="32"/>
        </w:rPr>
        <w:t xml:space="preserve">                   </w:t>
      </w:r>
      <w:r>
        <w:rPr>
          <w:rFonts w:hint="eastAsia" w:ascii="仿宋" w:hAnsi="仿宋" w:eastAsia="仿宋"/>
          <w:color w:val="auto"/>
          <w:sz w:val="32"/>
          <w:szCs w:val="32"/>
          <w:u w:val="none"/>
        </w:rPr>
        <w:t xml:space="preserve">     </w:t>
      </w:r>
    </w:p>
    <w:p>
      <w:pPr>
        <w:jc w:val="left"/>
        <w:outlineLvl w:val="0"/>
        <w:rPr>
          <w:rFonts w:hint="eastAsia" w:ascii="方正小标宋简体" w:hAnsi="方正小标宋简体" w:eastAsia="方正小标宋简体" w:cs="方正小标宋简体"/>
          <w:b w:val="0"/>
          <w:bCs/>
          <w:kern w:val="2"/>
          <w:sz w:val="44"/>
          <w:szCs w:val="44"/>
          <w:highlight w:val="none"/>
          <w:lang w:val="en-US" w:eastAsia="zh-CN" w:bidi="ar-SA"/>
        </w:rPr>
      </w:pPr>
      <w:r>
        <w:rPr>
          <w:rFonts w:ascii="仿宋" w:hAnsi="仿宋" w:eastAsia="仿宋"/>
          <w:color w:val="FF0000"/>
          <w:sz w:val="32"/>
          <w:szCs w:val="32"/>
        </w:rPr>
        <w:br w:type="page"/>
      </w:r>
      <w:r>
        <w:rPr>
          <w:rFonts w:hint="eastAsia" w:ascii="仿宋" w:hAnsi="仿宋" w:eastAsia="仿宋"/>
          <w:b/>
          <w:sz w:val="32"/>
          <w:szCs w:val="32"/>
        </w:rPr>
        <w:t xml:space="preserve"> </w:t>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1</w:t>
      </w:r>
    </w:p>
    <w:p>
      <w:pPr>
        <w:jc w:val="center"/>
        <w:outlineLvl w:val="0"/>
        <w:rPr>
          <w:rFonts w:ascii="宋体" w:hAnsi="宋体"/>
          <w:b/>
          <w:i w:val="0"/>
          <w:iCs w:val="0"/>
          <w:sz w:val="24"/>
          <w:highlight w:val="none"/>
        </w:rPr>
      </w:pPr>
      <w:r>
        <w:rPr>
          <w:rFonts w:hint="eastAsia" w:ascii="华文楷体" w:hAnsi="华文楷体" w:eastAsia="华文楷体"/>
          <w:b/>
          <w:i w:val="0"/>
          <w:iCs w:val="0"/>
          <w:sz w:val="30"/>
          <w:szCs w:val="30"/>
          <w:highlight w:val="none"/>
        </w:rPr>
        <w:t>授权委托书</w:t>
      </w:r>
    </w:p>
    <w:p>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本授权书声明：</w:t>
      </w:r>
      <w:r>
        <w:rPr>
          <w:rFonts w:hint="eastAsia" w:ascii="华文楷体" w:hAnsi="华文楷体" w:eastAsia="华文楷体"/>
          <w:i w:val="0"/>
          <w:iCs w:val="0"/>
          <w:sz w:val="24"/>
          <w:highlight w:val="none"/>
          <w:u w:val="single"/>
        </w:rPr>
        <w:t xml:space="preserve"> （供应商名称） </w:t>
      </w:r>
      <w:r>
        <w:rPr>
          <w:rFonts w:hint="eastAsia" w:ascii="华文楷体" w:hAnsi="华文楷体" w:eastAsia="华文楷体"/>
          <w:i w:val="0"/>
          <w:iCs w:val="0"/>
          <w:sz w:val="24"/>
          <w:highlight w:val="none"/>
        </w:rPr>
        <w:t>公司，由法定代表人</w:t>
      </w:r>
      <w:r>
        <w:rPr>
          <w:rFonts w:hint="eastAsia" w:ascii="华文楷体" w:hAnsi="华文楷体" w:eastAsia="华文楷体"/>
          <w:i w:val="0"/>
          <w:iCs w:val="0"/>
          <w:sz w:val="24"/>
          <w:highlight w:val="none"/>
          <w:u w:val="single"/>
        </w:rPr>
        <w:t xml:space="preserve"> （法定代表人姓名）</w:t>
      </w:r>
      <w:r>
        <w:rPr>
          <w:rFonts w:hint="eastAsia" w:ascii="华文楷体" w:hAnsi="华文楷体" w:eastAsia="华文楷体"/>
          <w:i w:val="0"/>
          <w:iCs w:val="0"/>
          <w:sz w:val="24"/>
          <w:highlight w:val="none"/>
        </w:rPr>
        <w:t>代表本公司授权</w:t>
      </w:r>
      <w:r>
        <w:rPr>
          <w:rFonts w:hint="eastAsia" w:ascii="华文楷体" w:hAnsi="华文楷体" w:eastAsia="华文楷体"/>
          <w:i w:val="0"/>
          <w:iCs w:val="0"/>
          <w:sz w:val="24"/>
          <w:highlight w:val="none"/>
          <w:u w:val="single"/>
        </w:rPr>
        <w:t>（被授权人姓名）</w:t>
      </w:r>
      <w:r>
        <w:rPr>
          <w:rFonts w:hint="eastAsia" w:ascii="华文楷体" w:hAnsi="华文楷体" w:eastAsia="华文楷体"/>
          <w:i w:val="0"/>
          <w:iCs w:val="0"/>
          <w:sz w:val="24"/>
          <w:highlight w:val="none"/>
        </w:rPr>
        <w:t>为本公司的合法代理人，就浙商银行股份有限公司</w:t>
      </w:r>
      <w:r>
        <w:rPr>
          <w:rFonts w:hint="eastAsia" w:ascii="华文楷体" w:hAnsi="华文楷体" w:eastAsia="华文楷体"/>
          <w:i w:val="0"/>
          <w:iCs w:val="0"/>
          <w:sz w:val="24"/>
          <w:highlight w:val="none"/>
          <w:u w:val="single"/>
        </w:rPr>
        <w:t>　XXXXX</w:t>
      </w:r>
      <w:r>
        <w:rPr>
          <w:rFonts w:hint="eastAsia" w:ascii="华文楷体" w:hAnsi="华文楷体" w:eastAsia="华文楷体"/>
          <w:i w:val="0"/>
          <w:iCs w:val="0"/>
          <w:sz w:val="24"/>
          <w:highlight w:val="none"/>
        </w:rPr>
        <w:t>项目的谈判，以本公司名义处理一切与之有关的事务。</w:t>
      </w:r>
    </w:p>
    <w:p>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本授权书于　年　月　日签字生效，特此声明。</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u w:val="single"/>
        </w:rPr>
      </w:pPr>
      <w:r>
        <w:rPr>
          <w:rFonts w:hint="eastAsia" w:ascii="华文楷体" w:hAnsi="华文楷体" w:eastAsia="华文楷体"/>
          <w:b/>
          <w:i w:val="0"/>
          <w:iCs w:val="0"/>
          <w:sz w:val="24"/>
          <w:highlight w:val="none"/>
        </w:rPr>
        <w:t>法定代表人签字或签章</w:t>
      </w:r>
      <w:r>
        <w:rPr>
          <w:rFonts w:hint="eastAsia" w:ascii="华文楷体" w:hAnsi="华文楷体" w:eastAsia="华文楷体" w:cs="楷体_GB2312"/>
          <w:b/>
          <w:i w:val="0"/>
          <w:iCs w:val="0"/>
          <w:sz w:val="24"/>
          <w:highlight w:val="none"/>
          <w:u w:val="single"/>
        </w:rPr>
        <w:tab/>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法定代表人身份证号码：</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rPr>
      </w:pPr>
      <w:r>
        <w:rPr>
          <w:rFonts w:hint="eastAsia" w:ascii="华文楷体" w:hAnsi="华文楷体" w:eastAsia="华文楷体" w:cs="楷体_GB2312"/>
          <w:b/>
          <w:i w:val="0"/>
          <w:iCs w:val="0"/>
          <w:sz w:val="24"/>
          <w:highlight w:val="none"/>
        </w:rPr>
        <w:t>被授权人签字</w:t>
      </w:r>
      <w:r>
        <w:rPr>
          <w:rFonts w:hint="eastAsia" w:ascii="华文楷体" w:hAnsi="华文楷体" w:eastAsia="华文楷体" w:cs="楷体_GB2312"/>
          <w:b/>
          <w:i w:val="0"/>
          <w:iCs w:val="0"/>
          <w:sz w:val="24"/>
          <w:highlight w:val="none"/>
          <w:u w:val="single"/>
        </w:rPr>
        <w:tab/>
      </w:r>
      <w:r>
        <w:rPr>
          <w:rFonts w:hint="eastAsia" w:ascii="华文楷体" w:hAnsi="华文楷体" w:eastAsia="华文楷体" w:cs="楷体_GB2312"/>
          <w:b/>
          <w:i w:val="0"/>
          <w:iCs w:val="0"/>
          <w:sz w:val="24"/>
          <w:highlight w:val="none"/>
        </w:rPr>
        <w:tab/>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被授权人身份证号码：</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u w:val="single"/>
        </w:rPr>
      </w:pPr>
      <w:r>
        <w:rPr>
          <w:rFonts w:hint="eastAsia" w:ascii="华文楷体" w:hAnsi="华文楷体" w:eastAsia="华文楷体" w:cs="楷体_GB2312"/>
          <w:i w:val="0"/>
          <w:iCs w:val="0"/>
          <w:sz w:val="24"/>
          <w:highlight w:val="none"/>
        </w:rPr>
        <w:t>单位名称</w:t>
      </w:r>
      <w:r>
        <w:rPr>
          <w:rFonts w:hint="eastAsia" w:ascii="华文楷体" w:hAnsi="华文楷体" w:eastAsia="华文楷体" w:cs="楷体_GB2312"/>
          <w:i w:val="0"/>
          <w:iCs w:val="0"/>
          <w:sz w:val="24"/>
          <w:highlight w:val="none"/>
          <w:u w:val="single"/>
        </w:rPr>
        <w:tab/>
      </w:r>
      <w:r>
        <w:rPr>
          <w:rFonts w:hint="eastAsia" w:ascii="华文楷体" w:hAnsi="华文楷体" w:eastAsia="华文楷体" w:cs="楷体_GB2312"/>
          <w:i w:val="0"/>
          <w:iCs w:val="0"/>
          <w:sz w:val="24"/>
          <w:highlight w:val="none"/>
          <w:u w:val="single"/>
        </w:rPr>
        <w:t>（签章）</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i w:val="0"/>
          <w:iCs w:val="0"/>
          <w:sz w:val="24"/>
          <w:highlight w:val="none"/>
          <w:u w:val="single"/>
        </w:rPr>
      </w:pPr>
      <w:r>
        <w:rPr>
          <w:rFonts w:hint="eastAsia" w:ascii="华文楷体" w:hAnsi="华文楷体" w:eastAsia="华文楷体" w:cs="楷体_GB2312"/>
          <w:i w:val="0"/>
          <w:iCs w:val="0"/>
          <w:sz w:val="24"/>
          <w:highlight w:val="none"/>
        </w:rPr>
        <w:t>地址</w:t>
      </w:r>
      <w:r>
        <w:rPr>
          <w:rFonts w:hint="eastAsia" w:ascii="华文楷体" w:hAnsi="华文楷体" w:eastAsia="华文楷体" w:cs="楷体_GB2312"/>
          <w:i w:val="0"/>
          <w:iCs w:val="0"/>
          <w:sz w:val="24"/>
          <w:highlight w:val="none"/>
          <w:u w:val="single"/>
        </w:rPr>
        <w:tab/>
      </w:r>
    </w:p>
    <w:tbl>
      <w:tblPr>
        <w:tblStyle w:val="12"/>
        <w:tblpPr w:leftFromText="180" w:rightFromText="180" w:vertAnchor="text" w:horzAnchor="margin" w:tblpXSpec="center" w:tblpY="14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pPr>
              <w:rPr>
                <w:rFonts w:ascii="华文楷体" w:hAnsi="华文楷体" w:eastAsia="华文楷体"/>
                <w:i w:val="0"/>
                <w:iCs w:val="0"/>
                <w:sz w:val="24"/>
                <w:highlight w:val="none"/>
              </w:rPr>
            </w:pPr>
          </w:p>
          <w:p>
            <w:pPr>
              <w:rPr>
                <w:rFonts w:ascii="华文楷体" w:hAnsi="华文楷体" w:eastAsia="华文楷体"/>
                <w:i w:val="0"/>
                <w:iCs w:val="0"/>
                <w:sz w:val="24"/>
                <w:highlight w:val="none"/>
              </w:rPr>
            </w:pP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法定代表人身份证复印件（正面）</w:t>
            </w: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pPr>
              <w:rPr>
                <w:rFonts w:ascii="华文楷体" w:hAnsi="华文楷体" w:eastAsia="华文楷体"/>
                <w:i w:val="0"/>
                <w:iCs w:val="0"/>
                <w:sz w:val="24"/>
                <w:highlight w:val="none"/>
              </w:rPr>
            </w:pP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被授权人身份证复印件（正面）</w:t>
            </w: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pPr>
              <w:rPr>
                <w:rFonts w:ascii="华文楷体" w:hAnsi="华文楷体" w:eastAsia="华文楷体"/>
                <w:i w:val="0"/>
                <w:iCs w:val="0"/>
                <w:sz w:val="24"/>
                <w:highlight w:val="none"/>
              </w:rPr>
            </w:pPr>
          </w:p>
          <w:p>
            <w:pPr>
              <w:rPr>
                <w:rFonts w:ascii="华文楷体" w:hAnsi="华文楷体" w:eastAsia="华文楷体"/>
                <w:i w:val="0"/>
                <w:iCs w:val="0"/>
                <w:sz w:val="24"/>
                <w:highlight w:val="none"/>
              </w:rPr>
            </w:pP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法定代表人身份证复印件（反面）</w:t>
            </w: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pPr>
              <w:rPr>
                <w:rFonts w:ascii="华文楷体" w:hAnsi="华文楷体" w:eastAsia="华文楷体"/>
                <w:i w:val="0"/>
                <w:iCs w:val="0"/>
                <w:sz w:val="24"/>
                <w:highlight w:val="none"/>
              </w:rPr>
            </w:pP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被授权人身份证复印件（反面）</w:t>
            </w:r>
          </w:p>
          <w:p>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bl>
    <w:p>
      <w:pPr>
        <w:keepNext w:val="0"/>
        <w:keepLines w:val="0"/>
        <w:pageBreakBefore w:val="0"/>
        <w:widowControl w:val="0"/>
        <w:kinsoku/>
        <w:wordWrap/>
        <w:overflowPunct/>
        <w:topLinePunct w:val="0"/>
        <w:autoSpaceDE/>
        <w:autoSpaceDN/>
        <w:bidi w:val="0"/>
        <w:adjustRightInd/>
        <w:snapToGrid/>
        <w:spacing w:line="120" w:lineRule="auto"/>
        <w:textAlignment w:val="auto"/>
        <w:outlineLvl w:val="1"/>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注：</w:t>
      </w:r>
      <w:r>
        <w:rPr>
          <w:rFonts w:hint="eastAsia" w:ascii="华文楷体" w:hAnsi="华文楷体" w:eastAsia="华文楷体"/>
          <w:b/>
          <w:i w:val="0"/>
          <w:iCs w:val="0"/>
          <w:sz w:val="24"/>
          <w:highlight w:val="none"/>
        </w:rPr>
        <w:t xml:space="preserve">1、须在两张复印件交接处加盖公章。 </w:t>
      </w:r>
    </w:p>
    <w:p>
      <w:pPr>
        <w:keepNext w:val="0"/>
        <w:keepLines w:val="0"/>
        <w:pageBreakBefore w:val="0"/>
        <w:widowControl w:val="0"/>
        <w:kinsoku/>
        <w:wordWrap/>
        <w:overflowPunct/>
        <w:topLinePunct w:val="0"/>
        <w:autoSpaceDE/>
        <w:autoSpaceDN/>
        <w:bidi w:val="0"/>
        <w:adjustRightInd/>
        <w:snapToGrid/>
        <w:spacing w:line="120" w:lineRule="auto"/>
        <w:ind w:firstLine="480" w:firstLineChars="200"/>
        <w:textAlignment w:val="auto"/>
        <w:rPr>
          <w:rFonts w:ascii="华文楷体" w:hAnsi="华文楷体" w:eastAsia="华文楷体"/>
          <w:b/>
          <w:i w:val="0"/>
          <w:iCs w:val="0"/>
          <w:sz w:val="24"/>
          <w:highlight w:val="none"/>
        </w:rPr>
      </w:pPr>
      <w:r>
        <w:rPr>
          <w:rFonts w:hint="eastAsia" w:ascii="华文楷体" w:hAnsi="华文楷体" w:eastAsia="华文楷体"/>
          <w:b/>
          <w:i w:val="0"/>
          <w:iCs w:val="0"/>
          <w:sz w:val="24"/>
          <w:highlight w:val="none"/>
        </w:rPr>
        <w:t>2、参加现场谈判的法定代表人或被授权人须携带有效身份证原件。</w:t>
      </w:r>
    </w:p>
    <w:p>
      <w:pPr>
        <w:keepNext w:val="0"/>
        <w:keepLines w:val="0"/>
        <w:widowControl w:val="0"/>
        <w:suppressLineNumbers w:val="0"/>
        <w:spacing w:before="0" w:beforeAutospacing="0" w:after="0" w:afterAutospacing="0"/>
        <w:ind w:left="0" w:right="0"/>
        <w:jc w:val="both"/>
        <w:outlineLvl w:val="0"/>
        <w:rPr>
          <w:rFonts w:hint="default" w:ascii="宋体" w:hAnsi="宋体" w:eastAsia="黑体" w:cs="Times New Roman"/>
          <w:kern w:val="2"/>
          <w:sz w:val="28"/>
          <w:szCs w:val="28"/>
          <w:lang w:val="en-US"/>
        </w:rPr>
      </w:pPr>
      <w:r>
        <w:rPr>
          <w:rFonts w:hint="eastAsia" w:ascii="宋体" w:hAnsi="宋体"/>
          <w:b/>
          <w:i w:val="0"/>
          <w:iCs w:val="0"/>
          <w:sz w:val="24"/>
          <w:highlight w:val="none"/>
        </w:rPr>
        <w:t xml:space="preserve">                                              </w:t>
      </w:r>
      <w:r>
        <w:rPr>
          <w:rFonts w:ascii="宋体" w:hAnsi="宋体"/>
          <w:b/>
          <w:i w:val="0"/>
          <w:iCs w:val="0"/>
          <w:sz w:val="24"/>
          <w:highlight w:val="none"/>
        </w:rPr>
        <w:t>20</w:t>
      </w:r>
      <w:r>
        <w:rPr>
          <w:rFonts w:hint="eastAsia" w:ascii="宋体" w:hAnsi="宋体"/>
          <w:b/>
          <w:i w:val="0"/>
          <w:iCs w:val="0"/>
          <w:sz w:val="24"/>
          <w:highlight w:val="none"/>
        </w:rPr>
        <w:t>XX年XX月XX日</w:t>
      </w:r>
      <w:r>
        <w:rPr>
          <w:rFonts w:hint="eastAsia" w:ascii="华文楷体" w:hAnsi="华文楷体" w:eastAsia="华文楷体" w:cs="Times New Roman"/>
          <w:b/>
          <w:i w:val="0"/>
          <w:iCs w:val="0"/>
          <w:sz w:val="30"/>
          <w:szCs w:val="30"/>
          <w:highlight w:val="none"/>
          <w:lang w:val="en-US" w:eastAsia="zh-CN"/>
        </w:rPr>
        <w:br w:type="page"/>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2</w:t>
      </w:r>
    </w:p>
    <w:p>
      <w:pPr>
        <w:keepNext w:val="0"/>
        <w:keepLines w:val="0"/>
        <w:widowControl w:val="0"/>
        <w:suppressLineNumbers w:val="0"/>
        <w:spacing w:before="0" w:beforeAutospacing="0" w:after="0" w:afterAutospacing="0" w:line="720" w:lineRule="auto"/>
        <w:ind w:left="0" w:right="0"/>
        <w:jc w:val="center"/>
        <w:outlineLvl w:val="2"/>
        <w:rPr>
          <w:rFonts w:hint="default" w:ascii="方正小标宋简体" w:hAnsi="宋体" w:eastAsia="方正小标宋简体" w:cs="Times New Roman"/>
          <w:kern w:val="2"/>
          <w:sz w:val="44"/>
          <w:szCs w:val="44"/>
        </w:rPr>
      </w:pPr>
      <w:r>
        <w:rPr>
          <w:rFonts w:hint="default" w:ascii="方正小标宋简体" w:hAnsi="方正小标宋简体" w:eastAsia="方正小标宋简体" w:cs="方正小标宋简体"/>
          <w:kern w:val="2"/>
          <w:sz w:val="44"/>
          <w:szCs w:val="44"/>
          <w:lang w:val="en-US" w:eastAsia="zh-CN" w:bidi="ar"/>
        </w:rPr>
        <w:t>领取采购文件供应商登记表</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5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项目名称</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项目编号</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供应商名称</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Arial"/>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原厂商</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（选填）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供应商领取人</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职  务</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联系电话</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传   真</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邮   箱</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8"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备  注</w:t>
            </w:r>
          </w:p>
        </w:tc>
        <w:tc>
          <w:tcPr>
            <w:tcW w:w="5720" w:type="dxa"/>
            <w:tcBorders>
              <w:top w:val="single" w:color="auto" w:sz="4" w:space="0"/>
              <w:left w:val="nil"/>
              <w:bottom w:val="single" w:color="auto" w:sz="4" w:space="0"/>
              <w:right w:val="single" w:color="auto" w:sz="4" w:space="0"/>
            </w:tcBorders>
            <w:noWrap w:val="0"/>
            <w:vAlign w:val="top"/>
          </w:tcPr>
          <w:p>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pPr>
              <w:keepNext w:val="0"/>
              <w:keepLines w:val="0"/>
              <w:widowControl w:val="0"/>
              <w:suppressLineNumbers w:val="0"/>
              <w:spacing w:before="0" w:beforeAutospacing="0" w:after="120" w:afterAutospacing="0"/>
              <w:ind w:left="0" w:right="0" w:firstLine="600" w:firstLineChars="25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我单位同意按采购文件要求参加投标（磋商、谈判）并提交资料。</w:t>
            </w:r>
          </w:p>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pPr>
              <w:keepNext w:val="0"/>
              <w:keepLines w:val="0"/>
              <w:widowControl w:val="0"/>
              <w:suppressLineNumbers w:val="0"/>
              <w:spacing w:before="0" w:beforeAutospacing="0" w:after="0" w:afterAutospacing="0" w:line="480" w:lineRule="auto"/>
              <w:ind w:left="0" w:right="0" w:firstLine="2880" w:firstLineChars="12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供应商单位公章</w:t>
            </w:r>
          </w:p>
          <w:p>
            <w:pPr>
              <w:keepNext w:val="0"/>
              <w:keepLines w:val="0"/>
              <w:widowControl w:val="0"/>
              <w:suppressLineNumbers w:val="0"/>
              <w:spacing w:before="0" w:beforeAutospacing="0" w:after="0" w:afterAutospacing="0" w:line="480" w:lineRule="auto"/>
              <w:ind w:left="0" w:right="0" w:firstLine="3360" w:firstLineChars="14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年  月  日</w:t>
            </w:r>
          </w:p>
        </w:tc>
      </w:tr>
    </w:tbl>
    <w:p>
      <w:pPr>
        <w:snapToGrid w:val="0"/>
        <w:spacing w:line="360" w:lineRule="auto"/>
        <w:ind w:firstLine="601" w:firstLineChars="200"/>
        <w:rPr>
          <w:rFonts w:hint="eastAsia" w:ascii="黑体" w:hAnsi="黑体" w:eastAsia="黑体" w:cs="Times New Roman"/>
          <w:sz w:val="32"/>
          <w:szCs w:val="32"/>
          <w:highlight w:val="none"/>
          <w:lang w:val="en-US" w:eastAsia="zh-CN"/>
        </w:rPr>
      </w:pPr>
      <w:r>
        <w:rPr>
          <w:rFonts w:hint="eastAsia" w:ascii="华文楷体" w:hAnsi="华文楷体" w:eastAsia="华文楷体" w:cs="Times New Roman"/>
          <w:b/>
          <w:i w:val="0"/>
          <w:iCs w:val="0"/>
          <w:sz w:val="30"/>
          <w:szCs w:val="30"/>
          <w:highlight w:val="none"/>
          <w:lang w:val="en-US" w:eastAsia="zh-CN"/>
        </w:rPr>
        <w:br w:type="page"/>
      </w:r>
      <w:r>
        <w:rPr>
          <w:rFonts w:hint="eastAsia" w:ascii="黑体" w:hAnsi="黑体" w:eastAsia="黑体" w:cs="Times New Roman"/>
          <w:sz w:val="32"/>
          <w:szCs w:val="32"/>
          <w:highlight w:val="none"/>
          <w:lang w:val="en-US" w:eastAsia="zh-CN"/>
        </w:rPr>
        <w:t>附件3：</w:t>
      </w:r>
    </w:p>
    <w:p>
      <w:pPr>
        <w:snapToGrid w:val="0"/>
        <w:spacing w:line="360" w:lineRule="auto"/>
        <w:ind w:firstLine="640" w:firstLineChars="200"/>
        <w:jc w:val="cente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t>合同模板</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合同主要条款(服务内容、服务要求等内容，以法审后实际合同为准) </w:t>
      </w:r>
    </w:p>
    <w:p>
      <w:pPr>
        <w:pStyle w:val="6"/>
        <w:tabs>
          <w:tab w:val="left" w:pos="1280"/>
        </w:tabs>
        <w:adjustRightInd w:val="0"/>
        <w:snapToGrid w:val="0"/>
        <w:spacing w:line="360" w:lineRule="auto"/>
        <w:ind w:firstLine="420" w:firstLineChars="200"/>
        <w:rPr>
          <w:rFonts w:hAnsi="宋体" w:eastAsia="宋体" w:cs="宋体"/>
          <w:sz w:val="21"/>
          <w:szCs w:val="21"/>
        </w:rPr>
      </w:pPr>
      <w:r>
        <w:rPr>
          <w:rFonts w:hint="eastAsia" w:hAnsi="宋体" w:eastAsia="宋体" w:cs="宋体"/>
          <w:sz w:val="21"/>
          <w:szCs w:val="21"/>
        </w:rPr>
        <w:t>甲方：浙商银行股份有限公司合肥分行</w:t>
      </w:r>
    </w:p>
    <w:p>
      <w:pPr>
        <w:pStyle w:val="6"/>
        <w:tabs>
          <w:tab w:val="left" w:pos="1280"/>
        </w:tabs>
        <w:adjustRightInd w:val="0"/>
        <w:snapToGrid w:val="0"/>
        <w:spacing w:line="360" w:lineRule="auto"/>
        <w:ind w:firstLine="420" w:firstLineChars="200"/>
        <w:rPr>
          <w:rFonts w:hAnsi="宋体" w:eastAsia="宋体" w:cs="宋体"/>
          <w:sz w:val="21"/>
          <w:szCs w:val="21"/>
        </w:rPr>
      </w:pPr>
      <w:r>
        <w:rPr>
          <w:rFonts w:hint="eastAsia" w:hAnsi="宋体" w:eastAsia="宋体" w:cs="宋体"/>
          <w:sz w:val="21"/>
          <w:szCs w:val="21"/>
        </w:rPr>
        <w:t>乙方：</w:t>
      </w:r>
      <w:r>
        <w:rPr>
          <w:rFonts w:hAnsi="宋体" w:eastAsia="宋体" w:cs="宋体"/>
          <w:sz w:val="24"/>
          <w:szCs w:val="24"/>
        </w:rPr>
        <w:t>【 】</w:t>
      </w:r>
    </w:p>
    <w:p>
      <w:pPr>
        <w:pStyle w:val="25"/>
        <w:spacing w:line="420" w:lineRule="atLeast"/>
        <w:ind w:left="570"/>
        <w:rPr>
          <w:rFonts w:ascii="宋体" w:hAnsi="宋体"/>
          <w:b/>
          <w:bCs/>
          <w:sz w:val="28"/>
          <w:szCs w:val="28"/>
        </w:rPr>
      </w:pPr>
      <w:r>
        <w:rPr>
          <w:rFonts w:hint="eastAsia" w:ascii="宋体" w:hAnsi="宋体"/>
          <w:b/>
          <w:bCs/>
          <w:sz w:val="28"/>
          <w:szCs w:val="28"/>
        </w:rPr>
        <w:t>第一条 押运服务内容时间及范围</w:t>
      </w:r>
    </w:p>
    <w:p>
      <w:pPr>
        <w:pStyle w:val="25"/>
        <w:spacing w:line="420" w:lineRule="atLeast"/>
        <w:ind w:firstLine="570"/>
        <w:rPr>
          <w:rFonts w:ascii="宋体" w:hAnsi="宋体"/>
          <w:sz w:val="28"/>
          <w:szCs w:val="28"/>
        </w:rPr>
      </w:pPr>
      <w:r>
        <w:rPr>
          <w:rFonts w:hint="eastAsia" w:ascii="宋体" w:hAnsi="宋体"/>
          <w:sz w:val="28"/>
          <w:szCs w:val="28"/>
        </w:rPr>
        <w:t>1、乙方接受甲方委托，为甲方提供武装押运服务，乙方保证为甲方营业网点早晚送接款箱、甲方与现金代理行（即中国工商银行股份有限公司合肥分行，后续如有变化，以甲方通知为准，下同）间及甲方营业网点间的临时调缴款提供武装押运服务。</w:t>
      </w:r>
    </w:p>
    <w:p>
      <w:pPr>
        <w:pStyle w:val="25"/>
        <w:spacing w:line="420" w:lineRule="atLeast"/>
        <w:ind w:firstLine="570"/>
        <w:rPr>
          <w:rFonts w:ascii="宋体" w:hAnsi="宋体"/>
          <w:sz w:val="28"/>
          <w:szCs w:val="28"/>
        </w:rPr>
      </w:pPr>
      <w:r>
        <w:rPr>
          <w:rFonts w:hint="eastAsia" w:ascii="宋体" w:hAnsi="宋体"/>
          <w:sz w:val="28"/>
          <w:szCs w:val="28"/>
        </w:rPr>
        <w:t>甲方现有营业网点</w:t>
      </w:r>
      <w:r>
        <w:rPr>
          <w:rFonts w:hint="eastAsia" w:ascii="宋体" w:hAnsi="宋体"/>
          <w:sz w:val="28"/>
          <w:szCs w:val="28"/>
          <w:lang w:val="en-US" w:eastAsia="zh-CN"/>
        </w:rPr>
        <w:t>6</w:t>
      </w:r>
      <w:r>
        <w:rPr>
          <w:rFonts w:hint="eastAsia" w:ascii="宋体" w:hAnsi="宋体"/>
          <w:sz w:val="28"/>
          <w:szCs w:val="28"/>
        </w:rPr>
        <w:t>个，其中合肥市区内营业网点</w:t>
      </w:r>
      <w:r>
        <w:rPr>
          <w:rFonts w:hint="eastAsia" w:ascii="宋体" w:hAnsi="宋体"/>
          <w:sz w:val="28"/>
          <w:szCs w:val="28"/>
          <w:lang w:val="en-US" w:eastAsia="zh-CN"/>
        </w:rPr>
        <w:t>5</w:t>
      </w:r>
      <w:r>
        <w:rPr>
          <w:rFonts w:hint="eastAsia" w:ascii="宋体" w:hAnsi="宋体"/>
          <w:sz w:val="28"/>
          <w:szCs w:val="28"/>
        </w:rPr>
        <w:t>个，具体包括浙商银行合肥分行营业部、浙商银行合肥庐阳支行、浙商银行合肥蜀山支行、浙商银行合肥瑶海支行</w:t>
      </w:r>
      <w:r>
        <w:rPr>
          <w:rFonts w:hint="eastAsia" w:ascii="宋体" w:hAnsi="宋体"/>
          <w:sz w:val="28"/>
          <w:szCs w:val="28"/>
          <w:lang w:eastAsia="zh-CN"/>
        </w:rPr>
        <w:t>、</w:t>
      </w:r>
      <w:r>
        <w:rPr>
          <w:rFonts w:hint="eastAsia" w:ascii="宋体" w:hAnsi="宋体"/>
          <w:sz w:val="28"/>
          <w:szCs w:val="28"/>
          <w:lang w:val="en-US" w:eastAsia="zh-CN"/>
        </w:rPr>
        <w:t>浙商银行合肥高新支行</w:t>
      </w:r>
      <w:r>
        <w:rPr>
          <w:rFonts w:hint="eastAsia" w:ascii="宋体" w:hAnsi="宋体"/>
          <w:sz w:val="28"/>
          <w:szCs w:val="28"/>
        </w:rPr>
        <w:t>；非合肥市区内营业网点1个，为浙商银行肥东支行。</w:t>
      </w:r>
    </w:p>
    <w:p>
      <w:pPr>
        <w:pStyle w:val="25"/>
        <w:spacing w:line="420" w:lineRule="atLeast"/>
        <w:ind w:firstLine="570"/>
        <w:rPr>
          <w:rFonts w:ascii="宋体" w:hAnsi="宋体"/>
          <w:sz w:val="28"/>
          <w:szCs w:val="28"/>
        </w:rPr>
      </w:pPr>
      <w:r>
        <w:rPr>
          <w:rFonts w:ascii="宋体" w:hAnsi="宋体"/>
          <w:sz w:val="28"/>
          <w:szCs w:val="28"/>
        </w:rPr>
        <w:t>2</w:t>
      </w:r>
      <w:r>
        <w:rPr>
          <w:rFonts w:hint="eastAsia" w:ascii="宋体" w:hAnsi="宋体"/>
          <w:sz w:val="28"/>
          <w:szCs w:val="28"/>
        </w:rPr>
        <w:t>、甲方临时要求的其他押运服务，双方另行协商费用。</w:t>
      </w:r>
    </w:p>
    <w:p>
      <w:pPr>
        <w:pStyle w:val="25"/>
        <w:spacing w:line="420" w:lineRule="atLeast"/>
        <w:ind w:firstLine="570"/>
        <w:rPr>
          <w:rFonts w:ascii="宋体" w:hAnsi="宋体"/>
          <w:b/>
          <w:bCs/>
          <w:sz w:val="28"/>
          <w:szCs w:val="28"/>
        </w:rPr>
      </w:pPr>
      <w:r>
        <w:rPr>
          <w:rFonts w:hint="eastAsia" w:ascii="宋体" w:hAnsi="宋体"/>
          <w:b/>
          <w:bCs/>
          <w:sz w:val="28"/>
          <w:szCs w:val="28"/>
        </w:rPr>
        <w:t>第二条  押运服务期限</w:t>
      </w:r>
    </w:p>
    <w:p>
      <w:pPr>
        <w:pStyle w:val="25"/>
        <w:spacing w:line="420" w:lineRule="atLeast"/>
        <w:ind w:firstLine="570"/>
        <w:rPr>
          <w:rFonts w:ascii="宋体" w:hAnsi="宋体"/>
          <w:sz w:val="28"/>
          <w:szCs w:val="28"/>
        </w:rPr>
      </w:pPr>
      <w:r>
        <w:rPr>
          <w:rFonts w:hint="eastAsia" w:ascii="宋体" w:hAnsi="宋体"/>
          <w:sz w:val="28"/>
          <w:szCs w:val="28"/>
        </w:rPr>
        <w:t>202</w:t>
      </w:r>
      <w:r>
        <w:rPr>
          <w:rFonts w:hint="eastAsia" w:ascii="宋体" w:hAnsi="宋体"/>
          <w:sz w:val="28"/>
          <w:szCs w:val="28"/>
          <w:lang w:val="en-US" w:eastAsia="zh-CN"/>
        </w:rPr>
        <w:t>6</w:t>
      </w:r>
      <w:r>
        <w:rPr>
          <w:rFonts w:hint="eastAsia" w:ascii="宋体" w:hAnsi="宋体"/>
          <w:sz w:val="28"/>
          <w:szCs w:val="28"/>
        </w:rPr>
        <w:t>年6月15日至202</w:t>
      </w:r>
      <w:r>
        <w:rPr>
          <w:rFonts w:hint="eastAsia" w:ascii="宋体" w:hAnsi="宋体"/>
          <w:sz w:val="28"/>
          <w:szCs w:val="28"/>
          <w:lang w:val="en-US" w:eastAsia="zh-CN"/>
        </w:rPr>
        <w:t>8</w:t>
      </w:r>
      <w:r>
        <w:rPr>
          <w:rFonts w:hint="eastAsia" w:ascii="宋体" w:hAnsi="宋体"/>
          <w:sz w:val="28"/>
          <w:szCs w:val="28"/>
        </w:rPr>
        <w:t>年6月14日。</w:t>
      </w:r>
    </w:p>
    <w:p>
      <w:pPr>
        <w:pStyle w:val="25"/>
        <w:widowControl w:val="0"/>
        <w:spacing w:line="420" w:lineRule="atLeast"/>
        <w:ind w:firstLine="573"/>
        <w:rPr>
          <w:rFonts w:ascii="宋体" w:hAnsi="宋体"/>
          <w:b/>
          <w:bCs/>
          <w:sz w:val="28"/>
          <w:szCs w:val="28"/>
        </w:rPr>
      </w:pPr>
      <w:r>
        <w:rPr>
          <w:rFonts w:hint="eastAsia" w:ascii="宋体" w:hAnsi="宋体"/>
          <w:b/>
          <w:bCs/>
          <w:sz w:val="28"/>
          <w:szCs w:val="28"/>
        </w:rPr>
        <w:t>第三条  押运装备及人员配置</w:t>
      </w:r>
    </w:p>
    <w:p>
      <w:pPr>
        <w:pStyle w:val="25"/>
        <w:widowControl w:val="0"/>
        <w:spacing w:line="420" w:lineRule="atLeast"/>
        <w:ind w:firstLine="573"/>
        <w:rPr>
          <w:rFonts w:ascii="宋体" w:hAnsi="宋体"/>
          <w:sz w:val="28"/>
          <w:szCs w:val="28"/>
        </w:rPr>
      </w:pPr>
      <w:r>
        <w:rPr>
          <w:rFonts w:hint="eastAsia" w:ascii="宋体" w:hAnsi="宋体"/>
          <w:sz w:val="28"/>
          <w:szCs w:val="28"/>
        </w:rPr>
        <w:t>1、车辆装备：由</w:t>
      </w:r>
      <w:r>
        <w:rPr>
          <w:rFonts w:hint="eastAsia" w:ascii="宋体" w:hAnsi="宋体"/>
          <w:sz w:val="28"/>
          <w:szCs w:val="28"/>
          <w:u w:val="single"/>
        </w:rPr>
        <w:t>乙</w:t>
      </w:r>
      <w:r>
        <w:rPr>
          <w:rFonts w:hint="eastAsia" w:ascii="宋体" w:hAnsi="宋体"/>
          <w:sz w:val="28"/>
          <w:szCs w:val="28"/>
        </w:rPr>
        <w:t>方提供</w:t>
      </w:r>
      <w:r>
        <w:rPr>
          <w:rFonts w:hint="eastAsia" w:ascii="宋体" w:hAnsi="宋体"/>
          <w:sz w:val="28"/>
          <w:szCs w:val="28"/>
          <w:u w:val="single"/>
        </w:rPr>
        <w:t xml:space="preserve"> 壹 </w:t>
      </w:r>
      <w:r>
        <w:rPr>
          <w:rFonts w:hint="eastAsia" w:ascii="宋体" w:hAnsi="宋体"/>
          <w:sz w:val="28"/>
          <w:szCs w:val="28"/>
        </w:rPr>
        <w:t>台国家规定的制式防弹运钞车，车内必须安装卫星定位、监控、报警和车载通讯设备，达到使用性能完好。</w:t>
      </w:r>
    </w:p>
    <w:p>
      <w:pPr>
        <w:pStyle w:val="25"/>
        <w:spacing w:line="420" w:lineRule="atLeast"/>
        <w:ind w:firstLine="570"/>
        <w:rPr>
          <w:rFonts w:ascii="宋体" w:hAnsi="宋体"/>
          <w:sz w:val="28"/>
          <w:szCs w:val="28"/>
        </w:rPr>
      </w:pPr>
      <w:r>
        <w:rPr>
          <w:rFonts w:hint="eastAsia" w:ascii="宋体" w:hAnsi="宋体"/>
          <w:sz w:val="28"/>
          <w:szCs w:val="28"/>
        </w:rPr>
        <w:t>2、人员：乙方</w:t>
      </w:r>
      <w:r>
        <w:rPr>
          <w:rFonts w:hint="eastAsia" w:ascii="宋体" w:hAnsi="宋体"/>
          <w:bCs/>
          <w:color w:val="0D0D0D"/>
          <w:sz w:val="28"/>
          <w:szCs w:val="28"/>
        </w:rPr>
        <w:t>每</w:t>
      </w:r>
      <w:r>
        <w:rPr>
          <w:rFonts w:hint="eastAsia" w:ascii="宋体" w:hAnsi="宋体"/>
          <w:sz w:val="28"/>
          <w:szCs w:val="28"/>
        </w:rPr>
        <w:t>车配备</w:t>
      </w:r>
      <w:r>
        <w:rPr>
          <w:rFonts w:hint="eastAsia" w:ascii="宋体" w:hAnsi="宋体"/>
          <w:sz w:val="28"/>
          <w:szCs w:val="28"/>
          <w:u w:val="single"/>
        </w:rPr>
        <w:t xml:space="preserve"> 5 </w:t>
      </w:r>
      <w:r>
        <w:rPr>
          <w:rFonts w:hint="eastAsia" w:ascii="宋体" w:hAnsi="宋体"/>
          <w:sz w:val="28"/>
          <w:szCs w:val="28"/>
        </w:rPr>
        <w:t>名（驾驶员</w:t>
      </w:r>
      <w:r>
        <w:rPr>
          <w:rFonts w:hint="eastAsia" w:ascii="宋体" w:hAnsi="宋体"/>
          <w:sz w:val="28"/>
          <w:szCs w:val="28"/>
          <w:u w:val="single"/>
        </w:rPr>
        <w:t xml:space="preserve"> 1 </w:t>
      </w:r>
      <w:r>
        <w:rPr>
          <w:rFonts w:hint="eastAsia" w:ascii="宋体" w:hAnsi="宋体"/>
          <w:sz w:val="28"/>
          <w:szCs w:val="28"/>
        </w:rPr>
        <w:t>名，押运员</w:t>
      </w:r>
      <w:r>
        <w:rPr>
          <w:rFonts w:hint="eastAsia" w:ascii="宋体" w:hAnsi="宋体"/>
          <w:sz w:val="28"/>
          <w:szCs w:val="28"/>
          <w:u w:val="single"/>
        </w:rPr>
        <w:t xml:space="preserve"> 2 </w:t>
      </w:r>
      <w:r>
        <w:rPr>
          <w:rFonts w:hint="eastAsia" w:ascii="宋体" w:hAnsi="宋体"/>
          <w:sz w:val="28"/>
          <w:szCs w:val="28"/>
        </w:rPr>
        <w:t>名，解款员</w:t>
      </w:r>
      <w:r>
        <w:rPr>
          <w:rFonts w:hint="eastAsia" w:ascii="宋体" w:hAnsi="宋体"/>
          <w:sz w:val="28"/>
          <w:szCs w:val="28"/>
          <w:u w:val="single"/>
        </w:rPr>
        <w:t xml:space="preserve"> 2 </w:t>
      </w:r>
      <w:r>
        <w:rPr>
          <w:rFonts w:hint="eastAsia" w:ascii="宋体" w:hAnsi="宋体"/>
          <w:sz w:val="28"/>
          <w:szCs w:val="28"/>
        </w:rPr>
        <w:t>名）政历可靠、守法守信、忠于职守、文明服务、勇于奉献的专职驾押人员。驾押人员一律统一着装，持证上岗。押运人员每人持97式防暴枪，弹匣充弹，戴防弹头盔、穿防弹背心，执行押运任务。</w:t>
      </w:r>
    </w:p>
    <w:p>
      <w:pPr>
        <w:pStyle w:val="25"/>
        <w:spacing w:line="420" w:lineRule="atLeast"/>
        <w:ind w:firstLine="570"/>
        <w:rPr>
          <w:rFonts w:ascii="宋体" w:hAnsi="宋体"/>
          <w:color w:val="000000"/>
          <w:sz w:val="28"/>
          <w:szCs w:val="28"/>
        </w:rPr>
      </w:pPr>
      <w:r>
        <w:rPr>
          <w:rFonts w:hint="eastAsia" w:ascii="宋体" w:hAnsi="宋体"/>
          <w:sz w:val="28"/>
          <w:szCs w:val="28"/>
        </w:rPr>
        <w:t>3、乙方在执行甲方与现金代理行间的缴调款任务及上门收款任务时，甲方必须每车组配不少于两人的随车解款员，上述人员需政治业务素质可靠，戴防弹头盔、穿防弹背心，持证上岗。</w:t>
      </w:r>
      <w:r>
        <w:rPr>
          <w:rFonts w:hint="eastAsia" w:ascii="宋体" w:hAnsi="宋体"/>
          <w:color w:val="000000"/>
          <w:sz w:val="28"/>
          <w:szCs w:val="28"/>
        </w:rPr>
        <w:t>上述人员资料信息，应以书面方式提前交乙方留存备案。</w:t>
      </w:r>
    </w:p>
    <w:p>
      <w:pPr>
        <w:pStyle w:val="25"/>
        <w:spacing w:line="420" w:lineRule="atLeast"/>
        <w:ind w:firstLine="570"/>
        <w:rPr>
          <w:rFonts w:ascii="宋体" w:hAnsi="宋体"/>
          <w:sz w:val="28"/>
          <w:szCs w:val="28"/>
        </w:rPr>
      </w:pPr>
      <w:r>
        <w:rPr>
          <w:rFonts w:hint="eastAsia" w:ascii="宋体" w:hAnsi="宋体"/>
          <w:sz w:val="28"/>
          <w:szCs w:val="28"/>
        </w:rPr>
        <w:t>4、乙方在为甲方提供押运服务前，应事先将押运车辆、人员照片等信息加盖公章交甲方备案。未投产语音密码验证系统等电子化辅助手段前，仅通过提前备案的车辆及人员信息进行人员身份认证。</w:t>
      </w:r>
    </w:p>
    <w:p>
      <w:pPr>
        <w:pStyle w:val="25"/>
        <w:spacing w:line="420" w:lineRule="atLeast"/>
        <w:ind w:firstLine="570"/>
        <w:rPr>
          <w:rFonts w:ascii="宋体" w:hAnsi="宋体"/>
          <w:sz w:val="28"/>
          <w:szCs w:val="28"/>
        </w:rPr>
      </w:pPr>
      <w:r>
        <w:rPr>
          <w:rFonts w:hint="eastAsia" w:ascii="宋体" w:hAnsi="宋体"/>
          <w:sz w:val="28"/>
          <w:szCs w:val="28"/>
        </w:rPr>
        <w:t>如乙方临时调整已向甲方备案的押运车辆和/或驾押人员的，乙方原则上应提前1个工作日通过工作联络群及电话方式通知甲方，甲方接到通知后，向押运调度中心进行电话核实。经核实确认后的押运车辆、驾押人员信息，限当日有效。如乙方正式调整押运车辆和/或驾押人员的，则乙方应提前3个工作日将押运车辆、人员照片等信息加盖公章交甲方备案。</w:t>
      </w:r>
    </w:p>
    <w:p>
      <w:pPr>
        <w:pStyle w:val="25"/>
        <w:widowControl w:val="0"/>
        <w:spacing w:line="420" w:lineRule="atLeast"/>
        <w:ind w:firstLine="562" w:firstLineChars="200"/>
        <w:rPr>
          <w:rFonts w:ascii="宋体" w:hAnsi="宋体"/>
          <w:b/>
          <w:bCs/>
          <w:sz w:val="28"/>
          <w:szCs w:val="28"/>
        </w:rPr>
      </w:pPr>
      <w:r>
        <w:rPr>
          <w:rFonts w:hint="eastAsia" w:ascii="宋体" w:hAnsi="宋体"/>
          <w:b/>
          <w:bCs/>
          <w:sz w:val="28"/>
          <w:szCs w:val="28"/>
        </w:rPr>
        <w:t>第四条 服务费用</w:t>
      </w:r>
    </w:p>
    <w:p>
      <w:pPr>
        <w:pStyle w:val="25"/>
        <w:widowControl w:val="0"/>
        <w:spacing w:line="420" w:lineRule="atLeast"/>
        <w:ind w:firstLine="560" w:firstLineChars="200"/>
        <w:rPr>
          <w:rFonts w:hint="eastAsia" w:ascii="宋体" w:hAnsi="宋体" w:eastAsia="宋体" w:cs="Times New Roman"/>
          <w:sz w:val="28"/>
          <w:szCs w:val="28"/>
        </w:rPr>
      </w:pPr>
      <w:r>
        <w:rPr>
          <w:rFonts w:hint="eastAsia" w:ascii="宋体" w:hAnsi="宋体"/>
          <w:sz w:val="28"/>
          <w:szCs w:val="28"/>
        </w:rPr>
        <w:t>1、经双方友好协商，乙方收取甲方合肥市区内营业网点押运服务费1台5人车组人民币</w:t>
      </w:r>
      <w:r>
        <w:rPr>
          <w:rFonts w:hint="eastAsia" w:ascii="宋体" w:hAnsi="宋体"/>
          <w:sz w:val="28"/>
          <w:szCs w:val="28"/>
          <w:lang w:val="en-US" w:eastAsia="zh-CN"/>
        </w:rPr>
        <w:t xml:space="preserve">  </w:t>
      </w:r>
      <w:r>
        <w:rPr>
          <w:rFonts w:hint="eastAsia" w:ascii="宋体" w:hAnsi="宋体"/>
          <w:sz w:val="28"/>
          <w:szCs w:val="28"/>
        </w:rPr>
        <w:t>万元/年</w:t>
      </w:r>
      <w:r>
        <w:rPr>
          <w:rFonts w:hint="eastAsia" w:ascii="宋体" w:hAnsi="宋体" w:eastAsia="宋体" w:cs="Times New Roman"/>
          <w:sz w:val="28"/>
          <w:szCs w:val="28"/>
        </w:rPr>
        <w:t>以</w:t>
      </w:r>
      <w:r>
        <w:rPr>
          <w:rFonts w:hint="eastAsia" w:ascii="宋体" w:hAnsi="宋体"/>
          <w:sz w:val="28"/>
          <w:szCs w:val="28"/>
        </w:rPr>
        <w:t>及肥东支行</w:t>
      </w:r>
      <w:r>
        <w:rPr>
          <w:rFonts w:hint="eastAsia" w:ascii="宋体" w:hAnsi="宋体"/>
          <w:sz w:val="28"/>
          <w:szCs w:val="28"/>
          <w:lang w:val="en-US" w:eastAsia="zh-CN"/>
        </w:rPr>
        <w:t xml:space="preserve">  </w:t>
      </w:r>
      <w:r>
        <w:rPr>
          <w:rFonts w:hint="eastAsia" w:ascii="宋体" w:hAnsi="宋体"/>
          <w:sz w:val="28"/>
          <w:szCs w:val="28"/>
        </w:rPr>
        <w:t>万元</w:t>
      </w:r>
      <w:r>
        <w:rPr>
          <w:rFonts w:hint="eastAsia" w:ascii="宋体" w:hAnsi="宋体" w:eastAsia="宋体" w:cs="Times New Roman"/>
          <w:sz w:val="28"/>
          <w:szCs w:val="28"/>
        </w:rPr>
        <w:t>/</w:t>
      </w:r>
      <w:r>
        <w:rPr>
          <w:rFonts w:hint="eastAsia" w:ascii="宋体" w:hAnsi="宋体"/>
          <w:sz w:val="28"/>
          <w:szCs w:val="28"/>
        </w:rPr>
        <w:t>年，总计</w:t>
      </w:r>
      <w:r>
        <w:rPr>
          <w:rFonts w:hint="eastAsia" w:ascii="宋体" w:hAnsi="宋体"/>
          <w:sz w:val="28"/>
          <w:szCs w:val="28"/>
          <w:lang w:val="en-US" w:eastAsia="zh-CN"/>
        </w:rPr>
        <w:t xml:space="preserve"> </w:t>
      </w:r>
      <w:r>
        <w:rPr>
          <w:rFonts w:hint="eastAsia" w:ascii="宋体" w:hAnsi="宋体"/>
          <w:sz w:val="28"/>
          <w:szCs w:val="28"/>
        </w:rPr>
        <w:t>万元（人民币</w:t>
      </w:r>
      <w:r>
        <w:rPr>
          <w:rFonts w:hint="eastAsia" w:ascii="宋体" w:hAnsi="宋体"/>
          <w:sz w:val="28"/>
          <w:szCs w:val="28"/>
          <w:lang w:val="en-US" w:eastAsia="zh-CN"/>
        </w:rPr>
        <w:t xml:space="preserve"> </w:t>
      </w:r>
      <w:r>
        <w:rPr>
          <w:rFonts w:hint="eastAsia" w:ascii="宋体" w:hAnsi="宋体" w:eastAsia="宋体" w:cs="Times New Roman"/>
          <w:sz w:val="28"/>
          <w:szCs w:val="28"/>
        </w:rPr>
        <w:t>元整）/年（含税价）。</w:t>
      </w:r>
    </w:p>
    <w:p>
      <w:pPr>
        <w:pStyle w:val="25"/>
        <w:spacing w:line="420" w:lineRule="atLeast"/>
        <w:ind w:left="279" w:leftChars="133" w:firstLine="280" w:firstLineChars="100"/>
        <w:rPr>
          <w:rFonts w:ascii="宋体" w:hAnsi="宋体"/>
          <w:sz w:val="28"/>
          <w:szCs w:val="28"/>
        </w:rPr>
      </w:pPr>
      <w:r>
        <w:rPr>
          <w:rFonts w:ascii="宋体" w:hAnsi="宋体"/>
          <w:sz w:val="28"/>
          <w:szCs w:val="28"/>
        </w:rPr>
        <w:t>2</w:t>
      </w:r>
      <w:r>
        <w:rPr>
          <w:rFonts w:hint="eastAsia" w:ascii="宋体" w:hAnsi="宋体"/>
          <w:sz w:val="28"/>
          <w:szCs w:val="28"/>
        </w:rPr>
        <w:t>、在上述押运服务费范围内，甲方合肥市区内营业网点数量原则上不超过个的（根据网点距离和租车数量是否保障确定），超出部分按照每个营业网点每年</w:t>
      </w:r>
      <w:r>
        <w:rPr>
          <w:rFonts w:hint="eastAsia" w:ascii="宋体" w:hAnsi="宋体"/>
          <w:sz w:val="28"/>
          <w:szCs w:val="28"/>
          <w:lang w:val="en-US" w:eastAsia="zh-CN"/>
        </w:rPr>
        <w:t xml:space="preserve"> </w:t>
      </w:r>
      <w:r>
        <w:rPr>
          <w:rFonts w:hint="eastAsia" w:ascii="宋体" w:hAnsi="宋体"/>
          <w:sz w:val="28"/>
          <w:szCs w:val="28"/>
        </w:rPr>
        <w:t xml:space="preserve">万元的标准支付押运服务费。 </w:t>
      </w:r>
    </w:p>
    <w:p>
      <w:pPr>
        <w:pStyle w:val="25"/>
        <w:spacing w:line="420" w:lineRule="atLeast"/>
        <w:ind w:firstLine="560" w:firstLineChars="200"/>
        <w:rPr>
          <w:rFonts w:ascii="宋体" w:hAnsi="宋体"/>
          <w:sz w:val="28"/>
          <w:szCs w:val="28"/>
        </w:rPr>
      </w:pPr>
      <w:r>
        <w:rPr>
          <w:rFonts w:ascii="宋体" w:hAnsi="宋体"/>
          <w:sz w:val="28"/>
          <w:szCs w:val="28"/>
        </w:rPr>
        <w:t>3</w:t>
      </w:r>
      <w:r>
        <w:rPr>
          <w:rFonts w:hint="eastAsia" w:ascii="宋体" w:hAnsi="宋体"/>
          <w:sz w:val="28"/>
          <w:szCs w:val="28"/>
        </w:rPr>
        <w:t>、在本合同有效期内，如甲方服务营业网点数量未超出第四条第二款所述范围的，乙方依然按照本条第一款的约定收取服务费。</w:t>
      </w:r>
    </w:p>
    <w:p>
      <w:pPr>
        <w:pStyle w:val="25"/>
        <w:spacing w:line="420" w:lineRule="atLeast"/>
        <w:ind w:firstLine="562" w:firstLineChars="200"/>
        <w:rPr>
          <w:rFonts w:hint="eastAsia" w:ascii="宋体" w:hAnsi="宋体" w:eastAsia="宋体" w:cs="Times New Roman"/>
          <w:sz w:val="28"/>
          <w:szCs w:val="28"/>
        </w:rPr>
      </w:pPr>
      <w:r>
        <w:rPr>
          <w:rFonts w:hint="eastAsia" w:ascii="宋体" w:hAnsi="宋体"/>
          <w:b/>
          <w:bCs/>
          <w:sz w:val="28"/>
          <w:szCs w:val="28"/>
        </w:rPr>
        <w:t>第五条  结算方法</w:t>
      </w:r>
    </w:p>
    <w:p>
      <w:pPr>
        <w:pStyle w:val="25"/>
        <w:spacing w:line="420" w:lineRule="atLeast"/>
        <w:ind w:firstLine="560" w:firstLineChars="200"/>
        <w:rPr>
          <w:rFonts w:hint="eastAsia" w:ascii="宋体" w:hAnsi="宋体"/>
          <w:sz w:val="28"/>
          <w:szCs w:val="28"/>
        </w:rPr>
      </w:pPr>
      <w:r>
        <w:rPr>
          <w:rFonts w:hint="eastAsia" w:ascii="宋体" w:hAnsi="宋体" w:eastAsia="宋体" w:cs="Times New Roman"/>
          <w:sz w:val="28"/>
          <w:szCs w:val="28"/>
        </w:rPr>
        <w:t>1、服务费用按</w:t>
      </w: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支付。甲方在收到乙方出具差额增值税发票（其中人力成本占比68%，开具普票；剩余32%部分开具全额专票；发票征</w:t>
      </w:r>
      <w:r>
        <w:rPr>
          <w:rFonts w:hint="eastAsia" w:ascii="宋体" w:hAnsi="宋体"/>
          <w:sz w:val="28"/>
          <w:szCs w:val="28"/>
        </w:rPr>
        <w:t>收率</w:t>
      </w:r>
      <w:r>
        <w:rPr>
          <w:rFonts w:hint="eastAsia" w:ascii="宋体" w:hAnsi="宋体"/>
          <w:sz w:val="28"/>
          <w:szCs w:val="28"/>
          <w:lang w:val="en-US" w:eastAsia="zh-CN"/>
        </w:rPr>
        <w:t>6</w:t>
      </w:r>
      <w:r>
        <w:rPr>
          <w:rFonts w:hint="eastAsia" w:ascii="宋体" w:hAnsi="宋体"/>
          <w:sz w:val="28"/>
          <w:szCs w:val="28"/>
        </w:rPr>
        <w:t>%）后45日内，以转账方式一次性将</w:t>
      </w:r>
      <w:r>
        <w:rPr>
          <w:rFonts w:hint="eastAsia" w:ascii="宋体" w:hAnsi="宋体"/>
          <w:sz w:val="28"/>
          <w:szCs w:val="28"/>
          <w:lang w:val="en-US" w:eastAsia="zh-CN"/>
        </w:rPr>
        <w:t xml:space="preserve"> </w:t>
      </w:r>
      <w:r>
        <w:rPr>
          <w:rFonts w:ascii="宋体" w:hAnsi="宋体"/>
          <w:sz w:val="28"/>
          <w:szCs w:val="28"/>
        </w:rPr>
        <w:t>需支付的</w:t>
      </w:r>
      <w:r>
        <w:rPr>
          <w:rFonts w:hint="eastAsia" w:ascii="宋体" w:hAnsi="宋体"/>
          <w:sz w:val="28"/>
          <w:szCs w:val="28"/>
        </w:rPr>
        <w:t>本合同所列服务费用转给乙方。如遇增值税法定税率调整的，按本合同约定的</w:t>
      </w:r>
      <w:r>
        <w:rPr>
          <w:rFonts w:hint="eastAsia" w:ascii="宋体" w:hAnsi="宋体"/>
          <w:b/>
          <w:bCs/>
          <w:sz w:val="28"/>
          <w:szCs w:val="28"/>
        </w:rPr>
        <w:t>不含税金额</w:t>
      </w:r>
      <w:r>
        <w:rPr>
          <w:rFonts w:hint="eastAsia" w:ascii="宋体" w:hAnsi="宋体"/>
          <w:sz w:val="28"/>
          <w:szCs w:val="28"/>
        </w:rPr>
        <w:t>以及国家规定的增值税适用税率重新计算当期服务费用。</w:t>
      </w:r>
    </w:p>
    <w:p>
      <w:pPr>
        <w:pStyle w:val="25"/>
        <w:spacing w:line="420" w:lineRule="atLeast"/>
        <w:ind w:firstLine="570"/>
        <w:rPr>
          <w:rFonts w:ascii="宋体" w:hAnsi="宋体"/>
          <w:sz w:val="28"/>
          <w:szCs w:val="28"/>
        </w:rPr>
      </w:pPr>
      <w:r>
        <w:rPr>
          <w:rFonts w:hint="eastAsia" w:ascii="宋体" w:hAnsi="宋体"/>
          <w:sz w:val="28"/>
          <w:szCs w:val="28"/>
        </w:rPr>
        <w:t>2、合同履行过程中，甲方增加网点数量导致服务费用增加的，甲方应于增加网点的次月起按本合同约定标准计算所增加的费用。</w:t>
      </w:r>
    </w:p>
    <w:p>
      <w:pPr>
        <w:pStyle w:val="25"/>
        <w:spacing w:line="420" w:lineRule="atLeast"/>
        <w:ind w:firstLine="570"/>
        <w:rPr>
          <w:rFonts w:ascii="宋体" w:hAnsi="宋体"/>
          <w:sz w:val="28"/>
          <w:szCs w:val="28"/>
        </w:rPr>
      </w:pPr>
      <w:r>
        <w:rPr>
          <w:rFonts w:ascii="宋体" w:hAnsi="宋体"/>
          <w:sz w:val="28"/>
          <w:szCs w:val="28"/>
        </w:rPr>
        <w:t>3</w:t>
      </w:r>
      <w:r>
        <w:rPr>
          <w:rFonts w:hint="eastAsia" w:ascii="宋体" w:hAnsi="宋体"/>
          <w:sz w:val="28"/>
          <w:szCs w:val="28"/>
        </w:rPr>
        <w:t>、乙方收款账户</w:t>
      </w:r>
      <w:r>
        <w:rPr>
          <w:rFonts w:ascii="宋体" w:hAnsi="宋体"/>
          <w:sz w:val="28"/>
          <w:szCs w:val="28"/>
        </w:rPr>
        <w:t>名称</w:t>
      </w:r>
      <w:r>
        <w:rPr>
          <w:rFonts w:hint="eastAsia" w:ascii="宋体" w:hAnsi="宋体"/>
          <w:sz w:val="28"/>
          <w:szCs w:val="28"/>
        </w:rPr>
        <w:t>：</w:t>
      </w:r>
    </w:p>
    <w:p>
      <w:pPr>
        <w:pStyle w:val="25"/>
        <w:spacing w:line="420" w:lineRule="atLeast"/>
        <w:ind w:firstLine="570"/>
        <w:rPr>
          <w:rFonts w:ascii="宋体" w:hAnsi="宋体"/>
          <w:sz w:val="28"/>
          <w:szCs w:val="28"/>
        </w:rPr>
      </w:pPr>
      <w:r>
        <w:rPr>
          <w:rFonts w:hint="eastAsia" w:ascii="宋体" w:hAnsi="宋体"/>
          <w:sz w:val="28"/>
          <w:szCs w:val="28"/>
        </w:rPr>
        <w:t>乙方开户行：</w:t>
      </w:r>
    </w:p>
    <w:p>
      <w:pPr>
        <w:pStyle w:val="25"/>
        <w:spacing w:line="420" w:lineRule="atLeast"/>
        <w:ind w:firstLine="570"/>
        <w:rPr>
          <w:rFonts w:ascii="宋体" w:hAnsi="宋体"/>
          <w:sz w:val="28"/>
          <w:szCs w:val="28"/>
        </w:rPr>
      </w:pPr>
      <w:r>
        <w:rPr>
          <w:rFonts w:hint="eastAsia" w:ascii="宋体" w:hAnsi="宋体"/>
          <w:sz w:val="28"/>
          <w:szCs w:val="28"/>
        </w:rPr>
        <w:t>账户：</w:t>
      </w:r>
    </w:p>
    <w:p>
      <w:pPr>
        <w:pStyle w:val="25"/>
        <w:widowControl w:val="0"/>
        <w:spacing w:line="420" w:lineRule="atLeast"/>
        <w:ind w:firstLine="573"/>
        <w:rPr>
          <w:rFonts w:ascii="宋体" w:hAnsi="宋体"/>
          <w:b/>
          <w:bCs/>
          <w:sz w:val="28"/>
          <w:szCs w:val="28"/>
        </w:rPr>
      </w:pPr>
      <w:r>
        <w:rPr>
          <w:rFonts w:hint="eastAsia" w:ascii="宋体" w:hAnsi="宋体"/>
          <w:b/>
          <w:bCs/>
          <w:sz w:val="28"/>
          <w:szCs w:val="28"/>
        </w:rPr>
        <w:t>第六条  资质与保险</w:t>
      </w:r>
    </w:p>
    <w:p>
      <w:pPr>
        <w:pStyle w:val="25"/>
        <w:widowControl w:val="0"/>
        <w:spacing w:line="420" w:lineRule="atLeast"/>
        <w:ind w:firstLine="573"/>
        <w:rPr>
          <w:rFonts w:ascii="宋体" w:hAnsi="宋体"/>
          <w:color w:val="0D0D0D"/>
          <w:sz w:val="28"/>
          <w:szCs w:val="28"/>
        </w:rPr>
      </w:pPr>
      <w:r>
        <w:rPr>
          <w:rFonts w:hint="eastAsia" w:ascii="宋体" w:hAnsi="宋体"/>
          <w:color w:val="0D0D0D"/>
          <w:sz w:val="28"/>
          <w:szCs w:val="28"/>
        </w:rPr>
        <w:t>1、甲方委托乙方的押运服务，必须符合国家法律、法规和人民银行、公安部的有关规定。</w:t>
      </w:r>
    </w:p>
    <w:p>
      <w:pPr>
        <w:pStyle w:val="25"/>
        <w:spacing w:line="420" w:lineRule="atLeast"/>
        <w:ind w:firstLine="570"/>
        <w:rPr>
          <w:rFonts w:ascii="宋体" w:hAnsi="宋体"/>
          <w:color w:val="0D0D0D"/>
          <w:sz w:val="28"/>
          <w:szCs w:val="28"/>
        </w:rPr>
      </w:pPr>
      <w:r>
        <w:rPr>
          <w:rFonts w:ascii="宋体" w:hAnsi="宋体"/>
          <w:color w:val="0D0D0D"/>
          <w:sz w:val="28"/>
          <w:szCs w:val="28"/>
        </w:rPr>
        <w:t>2</w:t>
      </w:r>
      <w:r>
        <w:rPr>
          <w:rFonts w:hint="eastAsia" w:ascii="宋体" w:hAnsi="宋体"/>
          <w:color w:val="0D0D0D"/>
          <w:sz w:val="28"/>
          <w:szCs w:val="28"/>
        </w:rPr>
        <w:t>、因乙方不具备相关资质导致本合同不能履行的，由乙方承担违约责任。</w:t>
      </w:r>
    </w:p>
    <w:p>
      <w:pPr>
        <w:pStyle w:val="25"/>
        <w:spacing w:line="420" w:lineRule="atLeast"/>
        <w:ind w:firstLine="570"/>
        <w:rPr>
          <w:rFonts w:ascii="宋体" w:hAnsi="宋体"/>
          <w:color w:val="0D0D0D"/>
          <w:sz w:val="28"/>
          <w:szCs w:val="28"/>
        </w:rPr>
      </w:pPr>
      <w:r>
        <w:rPr>
          <w:rFonts w:ascii="宋体" w:hAnsi="宋体"/>
          <w:color w:val="0D0D0D"/>
          <w:sz w:val="28"/>
          <w:szCs w:val="28"/>
        </w:rPr>
        <w:t>3</w:t>
      </w:r>
      <w:r>
        <w:rPr>
          <w:rFonts w:hint="eastAsia" w:ascii="宋体" w:hAnsi="宋体"/>
          <w:color w:val="0D0D0D"/>
          <w:sz w:val="28"/>
          <w:szCs w:val="28"/>
        </w:rPr>
        <w:t>、</w:t>
      </w:r>
      <w:r>
        <w:rPr>
          <w:rFonts w:hint="eastAsia" w:ascii="宋体" w:hAnsi="宋体"/>
          <w:spacing w:val="-4"/>
          <w:sz w:val="28"/>
          <w:szCs w:val="28"/>
        </w:rPr>
        <w:t>乙方在承担甲方押运任务之前，必须向保险公司办理专项财产保险，投保额不得低于3</w:t>
      </w:r>
      <w:r>
        <w:rPr>
          <w:rFonts w:hint="eastAsia" w:ascii="宋体" w:hAnsi="宋体"/>
          <w:spacing w:val="-4"/>
          <w:sz w:val="28"/>
          <w:szCs w:val="28"/>
          <w:u w:val="single"/>
        </w:rPr>
        <w:t>000</w:t>
      </w:r>
      <w:r>
        <w:rPr>
          <w:rFonts w:hint="eastAsia" w:ascii="宋体" w:hAnsi="宋体"/>
          <w:spacing w:val="-4"/>
          <w:sz w:val="28"/>
          <w:szCs w:val="28"/>
        </w:rPr>
        <w:t>万元。乙方运钞车辆应年检合格，执行押运时备齐押运证明及年检合格证、持枪证等必要证件。</w:t>
      </w:r>
    </w:p>
    <w:p>
      <w:pPr>
        <w:pStyle w:val="25"/>
        <w:spacing w:line="420" w:lineRule="atLeast"/>
        <w:ind w:firstLine="570"/>
        <w:rPr>
          <w:rFonts w:ascii="宋体" w:hAnsi="宋体"/>
          <w:b/>
          <w:bCs/>
          <w:sz w:val="28"/>
          <w:szCs w:val="28"/>
        </w:rPr>
      </w:pPr>
      <w:r>
        <w:rPr>
          <w:rFonts w:hint="eastAsia" w:ascii="宋体" w:hAnsi="宋体"/>
          <w:b/>
          <w:bCs/>
          <w:sz w:val="28"/>
          <w:szCs w:val="28"/>
        </w:rPr>
        <w:t xml:space="preserve">第七条 </w:t>
      </w:r>
      <w:r>
        <w:rPr>
          <w:rFonts w:ascii="宋体" w:hAnsi="宋体"/>
          <w:b/>
          <w:bCs/>
          <w:sz w:val="28"/>
          <w:szCs w:val="28"/>
        </w:rPr>
        <w:t xml:space="preserve"> </w:t>
      </w:r>
      <w:r>
        <w:rPr>
          <w:rFonts w:hint="eastAsia" w:ascii="宋体" w:hAnsi="宋体"/>
          <w:b/>
          <w:bCs/>
          <w:sz w:val="28"/>
          <w:szCs w:val="28"/>
        </w:rPr>
        <w:t>押运物品和场所</w:t>
      </w:r>
    </w:p>
    <w:p>
      <w:pPr>
        <w:pStyle w:val="25"/>
        <w:spacing w:line="420" w:lineRule="atLeast"/>
        <w:ind w:firstLine="570"/>
        <w:rPr>
          <w:rFonts w:ascii="宋体" w:hAnsi="宋体"/>
          <w:sz w:val="28"/>
          <w:szCs w:val="28"/>
        </w:rPr>
      </w:pPr>
      <w:r>
        <w:rPr>
          <w:rFonts w:hint="eastAsia" w:ascii="宋体" w:hAnsi="宋体"/>
          <w:sz w:val="28"/>
          <w:szCs w:val="28"/>
        </w:rPr>
        <w:t>1、甲方营业场所的安全防范设施建设必须符合国家相关标准和规定，柜台通勤门应安装互动连锁防盗门，视频监控应覆盖运钞交接款现场，相关录像资料须保存至少30天，营业场所须设报警联网装置并运行良好。</w:t>
      </w:r>
    </w:p>
    <w:p>
      <w:pPr>
        <w:pStyle w:val="25"/>
        <w:spacing w:line="420" w:lineRule="atLeast"/>
        <w:ind w:firstLine="570"/>
        <w:rPr>
          <w:rFonts w:ascii="宋体" w:hAnsi="宋体"/>
          <w:sz w:val="28"/>
          <w:szCs w:val="28"/>
        </w:rPr>
      </w:pPr>
      <w:r>
        <w:rPr>
          <w:rFonts w:hint="eastAsia" w:ascii="宋体" w:hAnsi="宋体"/>
          <w:sz w:val="28"/>
          <w:szCs w:val="28"/>
        </w:rPr>
        <w:t>2、甲方用于押运中的款箱必须符合中国人民银行和甲方上级主管部门的规定，做到款箱箱体牢固密封，双锁坚固，长封签打扎可靠。因甲方箱损坏、密封不严、双锁和长封签不严而造成损失的，责任由甲方负责。对不合格的箱，乙方人员可以拒收。乙方接收款箱后若因乙方原因损坏造成损失的，由乙方负责。</w:t>
      </w:r>
    </w:p>
    <w:p>
      <w:pPr>
        <w:pStyle w:val="25"/>
        <w:spacing w:line="420" w:lineRule="atLeast"/>
        <w:ind w:firstLine="570"/>
        <w:rPr>
          <w:rFonts w:ascii="宋体" w:hAnsi="宋体"/>
          <w:sz w:val="28"/>
          <w:szCs w:val="28"/>
        </w:rPr>
      </w:pPr>
      <w:r>
        <w:rPr>
          <w:rFonts w:hint="eastAsia" w:ascii="宋体" w:hAnsi="宋体"/>
          <w:sz w:val="28"/>
          <w:szCs w:val="28"/>
        </w:rPr>
        <w:t>3、甲方在乙方履行押运义务前，应为乙方提供安全的停车场地、押运人员休息场所，并需向乙方提供接送款网点和时间安排表，如遇营业时间调整，应提前3天以书面形式告知乙方；甲方应当建立完善的金库和营业网点交接登记手续，并负责执行，存档备查。</w:t>
      </w:r>
    </w:p>
    <w:p>
      <w:pPr>
        <w:pStyle w:val="25"/>
        <w:spacing w:line="420" w:lineRule="atLeast"/>
        <w:ind w:firstLine="570"/>
        <w:rPr>
          <w:rFonts w:ascii="宋体" w:hAnsi="宋体"/>
          <w:sz w:val="28"/>
          <w:szCs w:val="28"/>
        </w:rPr>
      </w:pPr>
      <w:r>
        <w:rPr>
          <w:rFonts w:hint="eastAsia" w:ascii="宋体" w:hAnsi="宋体"/>
          <w:sz w:val="28"/>
          <w:szCs w:val="28"/>
        </w:rPr>
        <w:t>4、甲方不得要求乙方运送行政办公物品、接送人员、拉运货物或者运输非有价值物、账表等。</w:t>
      </w:r>
    </w:p>
    <w:p>
      <w:pPr>
        <w:pStyle w:val="25"/>
        <w:spacing w:line="420" w:lineRule="atLeast"/>
        <w:ind w:firstLine="570"/>
        <w:rPr>
          <w:rFonts w:ascii="宋体" w:hAnsi="宋体"/>
          <w:b/>
          <w:bCs/>
          <w:sz w:val="28"/>
          <w:szCs w:val="28"/>
        </w:rPr>
      </w:pPr>
      <w:r>
        <w:rPr>
          <w:rFonts w:hint="eastAsia" w:ascii="宋体" w:hAnsi="宋体"/>
          <w:b/>
          <w:bCs/>
          <w:sz w:val="28"/>
          <w:szCs w:val="28"/>
        </w:rPr>
        <w:t>第八条 交接</w:t>
      </w:r>
    </w:p>
    <w:p>
      <w:pPr>
        <w:pStyle w:val="25"/>
        <w:spacing w:line="420" w:lineRule="atLeast"/>
        <w:ind w:firstLine="570"/>
        <w:rPr>
          <w:rFonts w:ascii="宋体" w:hAnsi="宋体"/>
          <w:sz w:val="28"/>
          <w:szCs w:val="28"/>
        </w:rPr>
      </w:pPr>
      <w:r>
        <w:rPr>
          <w:rFonts w:hint="eastAsia" w:ascii="宋体" w:hAnsi="宋体"/>
          <w:sz w:val="28"/>
          <w:szCs w:val="28"/>
        </w:rPr>
        <w:t>1、乙方在执行甲方与现金代理行间缴调款、上门收款押运中，随车装载的款箱，由甲方随车解款员办理交接手续并随身保管，乙方押运人员仅负责护卫，款箱在交接和途中发生的短款、错漏，责任由甲方负责。早晚接送收箱、甲方营业网点间临时缴调款由乙方人员负责交接并保管。</w:t>
      </w:r>
    </w:p>
    <w:p>
      <w:pPr>
        <w:pStyle w:val="25"/>
        <w:spacing w:line="420" w:lineRule="atLeast"/>
        <w:ind w:firstLine="570"/>
        <w:rPr>
          <w:rFonts w:ascii="宋体" w:hAnsi="宋体"/>
          <w:sz w:val="28"/>
          <w:szCs w:val="28"/>
        </w:rPr>
      </w:pPr>
      <w:r>
        <w:rPr>
          <w:rFonts w:hint="eastAsia" w:ascii="宋体" w:hAnsi="宋体"/>
          <w:sz w:val="28"/>
          <w:szCs w:val="28"/>
        </w:rPr>
        <w:t>2、在乙方人员接交款时，甲方管库人员及营业网点有关人员应积极协助，及时清理交接环境，保证运钞车能停靠在监控区域内，及时有序交接。</w:t>
      </w:r>
    </w:p>
    <w:p>
      <w:pPr>
        <w:pStyle w:val="25"/>
        <w:spacing w:line="420" w:lineRule="atLeast"/>
        <w:ind w:firstLine="570"/>
        <w:rPr>
          <w:rFonts w:ascii="宋体" w:hAnsi="宋体"/>
          <w:sz w:val="28"/>
          <w:szCs w:val="28"/>
        </w:rPr>
      </w:pPr>
      <w:r>
        <w:rPr>
          <w:rFonts w:hint="eastAsia" w:ascii="宋体" w:hAnsi="宋体"/>
          <w:sz w:val="28"/>
          <w:szCs w:val="28"/>
        </w:rPr>
        <w:t>3、因市政工程和道路改造等客观条件，导致乙方运钞车不能停靠于甲方网点区域时，甲方应当在运钞车旁接收款箱，乙方负责沿途武装护送款箱。</w:t>
      </w:r>
    </w:p>
    <w:p>
      <w:pPr>
        <w:pStyle w:val="25"/>
        <w:spacing w:line="420" w:lineRule="atLeast"/>
        <w:ind w:firstLine="570"/>
        <w:rPr>
          <w:rFonts w:ascii="宋体" w:hAnsi="宋体"/>
          <w:b/>
          <w:bCs/>
          <w:sz w:val="28"/>
          <w:szCs w:val="28"/>
        </w:rPr>
      </w:pPr>
      <w:r>
        <w:rPr>
          <w:rFonts w:hint="eastAsia" w:ascii="宋体" w:hAnsi="宋体"/>
          <w:b/>
          <w:bCs/>
          <w:sz w:val="28"/>
          <w:szCs w:val="28"/>
        </w:rPr>
        <w:t>第九条 时间</w:t>
      </w:r>
    </w:p>
    <w:p>
      <w:pPr>
        <w:pStyle w:val="25"/>
        <w:widowControl w:val="0"/>
        <w:spacing w:line="420" w:lineRule="atLeast"/>
        <w:ind w:firstLine="573"/>
        <w:rPr>
          <w:rFonts w:ascii="宋体" w:hAnsi="宋体"/>
          <w:spacing w:val="-4"/>
          <w:sz w:val="28"/>
          <w:szCs w:val="28"/>
        </w:rPr>
      </w:pPr>
      <w:r>
        <w:rPr>
          <w:rFonts w:hint="eastAsia" w:ascii="宋体" w:hAnsi="宋体"/>
          <w:spacing w:val="-4"/>
          <w:sz w:val="28"/>
          <w:szCs w:val="28"/>
        </w:rPr>
        <w:t>1、乙方保证每天早晨在各营业网点营业前将款箱按时间送到。晚间按时到达各营业网点接款箱回库。送：自出寄库行始</w:t>
      </w:r>
      <w:r>
        <w:rPr>
          <w:rFonts w:hint="eastAsia" w:ascii="宋体" w:hAnsi="宋体"/>
          <w:sz w:val="28"/>
          <w:szCs w:val="28"/>
        </w:rPr>
        <w:t>，至营业网点二道门内止；接：自营业网点二道门内始，至寄库行止。凡乙方在</w:t>
      </w:r>
      <w:r>
        <w:rPr>
          <w:rFonts w:hint="eastAsia" w:ascii="宋体" w:hAnsi="宋体"/>
          <w:spacing w:val="-4"/>
          <w:sz w:val="28"/>
          <w:szCs w:val="28"/>
        </w:rPr>
        <w:t>金库和营业网点延误接送的，乙方按每次100元向甲方支付违约金。</w:t>
      </w:r>
    </w:p>
    <w:p>
      <w:pPr>
        <w:pStyle w:val="25"/>
        <w:spacing w:line="420" w:lineRule="atLeast"/>
        <w:ind w:firstLine="570"/>
        <w:rPr>
          <w:rFonts w:ascii="宋体" w:hAnsi="宋体"/>
          <w:sz w:val="28"/>
          <w:szCs w:val="28"/>
        </w:rPr>
      </w:pPr>
      <w:r>
        <w:rPr>
          <w:rFonts w:hint="eastAsia" w:ascii="宋体" w:hAnsi="宋体"/>
          <w:sz w:val="28"/>
          <w:szCs w:val="28"/>
        </w:rPr>
        <w:t>在押运过程中如遇道路阻塞、交通事故以及灾害性天气等原因而延误运送时间的，乙方应及时通知甲方相关网点，不视为乙方违约，否则视为乙方违约。</w:t>
      </w:r>
    </w:p>
    <w:p>
      <w:pPr>
        <w:pStyle w:val="25"/>
        <w:spacing w:line="420" w:lineRule="atLeast"/>
        <w:ind w:firstLine="570"/>
        <w:rPr>
          <w:rFonts w:ascii="宋体" w:hAnsi="宋体"/>
          <w:sz w:val="28"/>
          <w:szCs w:val="28"/>
        </w:rPr>
      </w:pPr>
      <w:r>
        <w:rPr>
          <w:rFonts w:hint="eastAsia" w:ascii="宋体" w:hAnsi="宋体"/>
          <w:sz w:val="28"/>
          <w:szCs w:val="28"/>
        </w:rPr>
        <w:t>2、运钞车到达营业网点后，网点工作人员必须在营业间内监控下2人以上及时接箱。</w:t>
      </w:r>
    </w:p>
    <w:p>
      <w:pPr>
        <w:pStyle w:val="25"/>
        <w:spacing w:line="420" w:lineRule="atLeast"/>
        <w:ind w:firstLine="570"/>
        <w:rPr>
          <w:rFonts w:ascii="宋体" w:hAnsi="宋体"/>
          <w:sz w:val="28"/>
          <w:szCs w:val="28"/>
        </w:rPr>
      </w:pPr>
      <w:r>
        <w:rPr>
          <w:rFonts w:hint="eastAsia" w:ascii="宋体" w:hAnsi="宋体"/>
          <w:sz w:val="28"/>
          <w:szCs w:val="28"/>
        </w:rPr>
        <w:t>因甲方不能按时出库，延误乙方出车时间或网点无人接款箱达15分钟的，视为甲方违规一次，甲方每次应向乙方支付违约金100元;超过3</w:t>
      </w:r>
      <w:r>
        <w:rPr>
          <w:rFonts w:ascii="宋体" w:hAnsi="宋体"/>
          <w:sz w:val="28"/>
          <w:szCs w:val="28"/>
        </w:rPr>
        <w:t>0</w:t>
      </w:r>
      <w:r>
        <w:rPr>
          <w:rFonts w:hint="eastAsia" w:ascii="宋体" w:hAnsi="宋体"/>
          <w:sz w:val="28"/>
          <w:szCs w:val="28"/>
        </w:rPr>
        <w:t>分钟仍无人交接的，乙方有权另行指定时间要求甲方交接。甲方因不可抗拒原因而延误送款时间，甲方应及时通知乙方相关部门，不视为甲方违约，否则视为甲方违约。</w:t>
      </w:r>
    </w:p>
    <w:p>
      <w:pPr>
        <w:pStyle w:val="25"/>
        <w:spacing w:line="420" w:lineRule="atLeast"/>
        <w:ind w:firstLine="570"/>
        <w:rPr>
          <w:rFonts w:ascii="宋体" w:hAnsi="宋体"/>
          <w:b/>
          <w:bCs/>
          <w:sz w:val="28"/>
          <w:szCs w:val="28"/>
        </w:rPr>
      </w:pPr>
      <w:r>
        <w:rPr>
          <w:rFonts w:hint="eastAsia" w:ascii="宋体" w:hAnsi="宋体"/>
          <w:b/>
          <w:bCs/>
          <w:sz w:val="28"/>
          <w:szCs w:val="28"/>
        </w:rPr>
        <w:t xml:space="preserve">第十条 </w:t>
      </w:r>
      <w:r>
        <w:rPr>
          <w:rFonts w:ascii="宋体" w:hAnsi="宋体"/>
          <w:b/>
          <w:bCs/>
          <w:sz w:val="28"/>
          <w:szCs w:val="28"/>
        </w:rPr>
        <w:t xml:space="preserve"> </w:t>
      </w:r>
      <w:r>
        <w:rPr>
          <w:rFonts w:hint="eastAsia" w:ascii="宋体" w:hAnsi="宋体"/>
          <w:b/>
          <w:bCs/>
          <w:sz w:val="28"/>
          <w:szCs w:val="28"/>
        </w:rPr>
        <w:t>押运过程</w:t>
      </w:r>
    </w:p>
    <w:p>
      <w:pPr>
        <w:pStyle w:val="25"/>
        <w:widowControl w:val="0"/>
        <w:spacing w:line="420" w:lineRule="atLeast"/>
        <w:ind w:firstLine="573"/>
        <w:rPr>
          <w:rFonts w:ascii="宋体" w:hAnsi="宋体"/>
          <w:color w:val="0D0D0D"/>
          <w:sz w:val="28"/>
          <w:szCs w:val="28"/>
        </w:rPr>
      </w:pPr>
      <w:r>
        <w:rPr>
          <w:rFonts w:hint="eastAsia" w:ascii="宋体" w:hAnsi="宋体"/>
          <w:sz w:val="28"/>
          <w:szCs w:val="28"/>
        </w:rPr>
        <w:t>1、乙方押运过程中，如发生抢劫、暴力阻拦等突发事件或交通事故等风险时，乙方押运人员应按预案紧急处置，</w:t>
      </w:r>
      <w:r>
        <w:rPr>
          <w:rFonts w:hint="eastAsia" w:ascii="宋体" w:hAnsi="宋体"/>
          <w:color w:val="0D0D0D"/>
          <w:sz w:val="28"/>
          <w:szCs w:val="28"/>
        </w:rPr>
        <w:t>并及时通知甲方，乙方有关领导应及时赶赴现场处理，甲方应协助乙方采取有效应急措施，保障押运物品安全，尽快完成押运任务。除因不可抗力等客观因素外，如造成严重后果和经济损失，由乙方全额承担。</w:t>
      </w:r>
    </w:p>
    <w:p>
      <w:pPr>
        <w:pStyle w:val="25"/>
        <w:widowControl w:val="0"/>
        <w:spacing w:line="420" w:lineRule="atLeast"/>
        <w:ind w:firstLine="573"/>
        <w:rPr>
          <w:rFonts w:ascii="宋体" w:hAnsi="宋体"/>
          <w:sz w:val="28"/>
          <w:szCs w:val="28"/>
        </w:rPr>
      </w:pPr>
      <w:r>
        <w:rPr>
          <w:rFonts w:ascii="宋体" w:hAnsi="宋体"/>
          <w:sz w:val="28"/>
          <w:szCs w:val="28"/>
        </w:rPr>
        <w:t>2</w:t>
      </w:r>
      <w:r>
        <w:rPr>
          <w:rFonts w:hint="eastAsia" w:ascii="宋体" w:hAnsi="宋体"/>
          <w:sz w:val="28"/>
          <w:szCs w:val="28"/>
        </w:rPr>
        <w:t>、乙方在押运过程中，须严格执行甲方押运管理制度，严守押运机密。押运员不得提拿款箱，不得代办相关业务手续，不得途中无故停车办理与现金押运无关事项，因乙方过错造成的经济损失由乙方承担。</w:t>
      </w:r>
    </w:p>
    <w:p>
      <w:pPr>
        <w:pStyle w:val="25"/>
        <w:spacing w:line="420" w:lineRule="atLeast"/>
        <w:ind w:firstLine="570"/>
        <w:rPr>
          <w:rFonts w:ascii="宋体" w:hAnsi="宋体"/>
          <w:sz w:val="28"/>
          <w:szCs w:val="28"/>
        </w:rPr>
      </w:pPr>
      <w:r>
        <w:rPr>
          <w:rFonts w:hint="eastAsia" w:ascii="宋体" w:hAnsi="宋体"/>
          <w:sz w:val="28"/>
          <w:szCs w:val="28"/>
        </w:rPr>
        <w:t>3、乙方押运人员负责武装押运和上下车装卸款时的警戒，如遇款箱丢失或损坏，乙方人员应及时封闭现场，并及时通知甲方人员清点确认，查明情况，</w:t>
      </w:r>
      <w:r>
        <w:rPr>
          <w:rFonts w:hint="eastAsia" w:ascii="宋体" w:hAnsi="宋体"/>
          <w:color w:val="0D0D0D"/>
          <w:sz w:val="28"/>
          <w:szCs w:val="28"/>
        </w:rPr>
        <w:t>区分责任</w:t>
      </w:r>
      <w:r>
        <w:rPr>
          <w:rFonts w:hint="eastAsia" w:ascii="宋体" w:hAnsi="宋体"/>
          <w:color w:val="0000FF"/>
          <w:sz w:val="28"/>
          <w:szCs w:val="28"/>
        </w:rPr>
        <w:t>，</w:t>
      </w:r>
      <w:r>
        <w:rPr>
          <w:rFonts w:hint="eastAsia" w:ascii="宋体" w:hAnsi="宋体"/>
          <w:sz w:val="28"/>
          <w:szCs w:val="28"/>
        </w:rPr>
        <w:t>所造成的损失，由违规方或过错方负责赔偿。</w:t>
      </w:r>
    </w:p>
    <w:p>
      <w:pPr>
        <w:pStyle w:val="25"/>
        <w:spacing w:line="420" w:lineRule="atLeast"/>
        <w:ind w:firstLine="570"/>
        <w:rPr>
          <w:rFonts w:ascii="宋体" w:hAnsi="宋体"/>
          <w:sz w:val="28"/>
          <w:szCs w:val="28"/>
        </w:rPr>
      </w:pPr>
      <w:r>
        <w:rPr>
          <w:rFonts w:hint="eastAsia" w:ascii="宋体" w:hAnsi="宋体"/>
          <w:sz w:val="28"/>
          <w:szCs w:val="28"/>
        </w:rPr>
        <w:t>4、乙方与甲方随车人员不构成运输等服务合同关系，不对随车人员安全负责，甲方人员出现任何工伤、意外、被暴力侵害等事故，由甲方负责处理。</w:t>
      </w:r>
    </w:p>
    <w:p>
      <w:pPr>
        <w:pStyle w:val="25"/>
        <w:spacing w:line="420" w:lineRule="atLeast"/>
        <w:ind w:firstLine="570"/>
        <w:rPr>
          <w:rFonts w:ascii="宋体" w:hAnsi="宋体"/>
          <w:b/>
          <w:bCs/>
          <w:sz w:val="28"/>
          <w:szCs w:val="28"/>
        </w:rPr>
      </w:pPr>
      <w:r>
        <w:rPr>
          <w:rFonts w:hint="eastAsia" w:ascii="宋体" w:hAnsi="宋体"/>
          <w:b/>
          <w:bCs/>
          <w:sz w:val="28"/>
          <w:szCs w:val="28"/>
        </w:rPr>
        <w:t xml:space="preserve">第十一条 </w:t>
      </w:r>
      <w:r>
        <w:rPr>
          <w:rFonts w:ascii="宋体" w:hAnsi="宋体"/>
          <w:b/>
          <w:bCs/>
          <w:sz w:val="28"/>
          <w:szCs w:val="28"/>
        </w:rPr>
        <w:t xml:space="preserve"> </w:t>
      </w:r>
      <w:r>
        <w:rPr>
          <w:rFonts w:hint="eastAsia" w:ascii="宋体" w:hAnsi="宋体"/>
          <w:b/>
          <w:bCs/>
          <w:sz w:val="28"/>
          <w:szCs w:val="28"/>
        </w:rPr>
        <w:t>服务质量</w:t>
      </w:r>
    </w:p>
    <w:p>
      <w:pPr>
        <w:pStyle w:val="25"/>
        <w:spacing w:line="420" w:lineRule="atLeast"/>
        <w:ind w:firstLine="570"/>
        <w:rPr>
          <w:rFonts w:ascii="宋体" w:hAnsi="宋体"/>
          <w:color w:val="0D0D0D"/>
          <w:sz w:val="28"/>
          <w:szCs w:val="28"/>
        </w:rPr>
      </w:pPr>
      <w:r>
        <w:rPr>
          <w:rFonts w:hint="eastAsia" w:ascii="宋体" w:hAnsi="宋体"/>
          <w:sz w:val="28"/>
          <w:szCs w:val="28"/>
        </w:rPr>
        <w:t>乙方驾押人员存在服务质量、服务态度、消极怠工等问题的，甲方有权要求乙方及时调整人员。</w:t>
      </w:r>
    </w:p>
    <w:p>
      <w:pPr>
        <w:pStyle w:val="25"/>
        <w:spacing w:line="420" w:lineRule="atLeast"/>
        <w:ind w:firstLine="570"/>
        <w:rPr>
          <w:rFonts w:ascii="宋体" w:hAnsi="宋体"/>
          <w:b/>
          <w:bCs/>
          <w:sz w:val="28"/>
          <w:szCs w:val="28"/>
        </w:rPr>
      </w:pPr>
      <w:r>
        <w:rPr>
          <w:rFonts w:hint="eastAsia" w:ascii="宋体" w:hAnsi="宋体"/>
          <w:b/>
          <w:bCs/>
          <w:sz w:val="28"/>
          <w:szCs w:val="28"/>
        </w:rPr>
        <w:t xml:space="preserve">第十二条 </w:t>
      </w:r>
      <w:r>
        <w:rPr>
          <w:rFonts w:ascii="宋体" w:hAnsi="宋体"/>
          <w:b/>
          <w:bCs/>
          <w:sz w:val="28"/>
          <w:szCs w:val="28"/>
        </w:rPr>
        <w:t xml:space="preserve"> </w:t>
      </w:r>
      <w:r>
        <w:rPr>
          <w:rFonts w:hint="eastAsia" w:ascii="宋体" w:hAnsi="宋体"/>
          <w:b/>
          <w:bCs/>
          <w:sz w:val="28"/>
          <w:szCs w:val="28"/>
        </w:rPr>
        <w:t>责任划分</w:t>
      </w:r>
    </w:p>
    <w:p>
      <w:pPr>
        <w:pStyle w:val="25"/>
        <w:spacing w:line="420" w:lineRule="atLeast"/>
        <w:ind w:firstLine="570"/>
        <w:rPr>
          <w:rFonts w:ascii="宋体" w:hAnsi="宋体"/>
          <w:sz w:val="28"/>
          <w:szCs w:val="28"/>
        </w:rPr>
      </w:pPr>
      <w:r>
        <w:rPr>
          <w:rFonts w:hint="eastAsia" w:ascii="宋体" w:hAnsi="宋体"/>
          <w:sz w:val="28"/>
          <w:szCs w:val="28"/>
        </w:rPr>
        <w:t>1、本合同约定的乙方押运责任范围内的全部安全保卫责任由乙方承担，以款箱交接签字作为双方风险责任划分点。乙方的押运责任范围区间如下：</w:t>
      </w:r>
    </w:p>
    <w:p>
      <w:pPr>
        <w:pStyle w:val="25"/>
        <w:spacing w:line="420" w:lineRule="atLeast"/>
        <w:ind w:firstLine="570"/>
        <w:rPr>
          <w:rFonts w:ascii="宋体" w:hAnsi="宋体"/>
          <w:spacing w:val="-4"/>
          <w:sz w:val="28"/>
          <w:szCs w:val="28"/>
        </w:rPr>
      </w:pPr>
      <w:r>
        <w:rPr>
          <w:rFonts w:hint="eastAsia" w:ascii="宋体" w:hAnsi="宋体"/>
          <w:spacing w:val="-4"/>
          <w:sz w:val="28"/>
          <w:szCs w:val="28"/>
        </w:rPr>
        <w:t>（1）送款：自款箱在金库出入库场地内由乙方人员检验签收后，至营业网点二道门内甲方人员检验签收前；</w:t>
      </w:r>
    </w:p>
    <w:p>
      <w:pPr>
        <w:pStyle w:val="25"/>
        <w:widowControl w:val="0"/>
        <w:spacing w:line="420" w:lineRule="atLeast"/>
        <w:ind w:firstLine="573"/>
        <w:rPr>
          <w:rFonts w:ascii="宋体" w:hAnsi="宋体"/>
          <w:spacing w:val="-4"/>
          <w:sz w:val="28"/>
          <w:szCs w:val="28"/>
        </w:rPr>
      </w:pPr>
      <w:r>
        <w:rPr>
          <w:rFonts w:hint="eastAsia" w:ascii="宋体" w:hAnsi="宋体"/>
          <w:spacing w:val="-4"/>
          <w:sz w:val="28"/>
          <w:szCs w:val="28"/>
        </w:rPr>
        <w:t>（2）接款：自款箱在营业网点二道门内由乙方人员检验签收后，至金库人员在金库出入库场地内检验签收前。</w:t>
      </w:r>
    </w:p>
    <w:p>
      <w:pPr>
        <w:pStyle w:val="25"/>
        <w:widowControl w:val="0"/>
        <w:spacing w:line="420" w:lineRule="atLeast"/>
        <w:ind w:firstLine="573"/>
        <w:rPr>
          <w:rFonts w:ascii="宋体" w:hAnsi="宋体"/>
          <w:sz w:val="28"/>
          <w:szCs w:val="28"/>
        </w:rPr>
      </w:pPr>
      <w:r>
        <w:rPr>
          <w:rFonts w:hint="eastAsia" w:ascii="宋体" w:hAnsi="宋体"/>
          <w:spacing w:val="-4"/>
          <w:sz w:val="28"/>
          <w:szCs w:val="28"/>
        </w:rPr>
        <w:t>2、甲方与现金代理行间缴调款及上门收款，全</w:t>
      </w:r>
      <w:r>
        <w:rPr>
          <w:rFonts w:hint="eastAsia" w:ascii="宋体" w:hAnsi="宋体"/>
          <w:sz w:val="28"/>
          <w:szCs w:val="28"/>
        </w:rPr>
        <w:t>程由甲方随车人员携带款项，不做交接，乙方防范被盗、被抢风险，对款箱的数量、外观等不负清查、点验责任。</w:t>
      </w:r>
    </w:p>
    <w:p>
      <w:pPr>
        <w:pStyle w:val="25"/>
        <w:spacing w:line="420" w:lineRule="atLeast"/>
        <w:ind w:firstLine="570"/>
        <w:rPr>
          <w:rFonts w:ascii="宋体" w:hAnsi="宋体"/>
          <w:b/>
          <w:bCs/>
          <w:color w:val="0D0D0D"/>
          <w:sz w:val="28"/>
          <w:szCs w:val="28"/>
        </w:rPr>
      </w:pPr>
      <w:r>
        <w:rPr>
          <w:rFonts w:hint="eastAsia" w:ascii="宋体" w:hAnsi="宋体"/>
          <w:b/>
          <w:bCs/>
          <w:color w:val="0D0D0D"/>
          <w:sz w:val="28"/>
          <w:szCs w:val="28"/>
        </w:rPr>
        <w:t>第十三条  保密要求</w:t>
      </w:r>
    </w:p>
    <w:p>
      <w:pPr>
        <w:pStyle w:val="25"/>
        <w:spacing w:line="420" w:lineRule="atLeast"/>
        <w:ind w:firstLine="570"/>
        <w:rPr>
          <w:rFonts w:ascii="宋体" w:hAnsi="宋体"/>
          <w:color w:val="0D0D0D"/>
          <w:sz w:val="28"/>
          <w:szCs w:val="28"/>
        </w:rPr>
      </w:pPr>
      <w:r>
        <w:rPr>
          <w:rFonts w:hint="eastAsia" w:ascii="宋体" w:hAnsi="宋体"/>
          <w:color w:val="0D0D0D"/>
          <w:sz w:val="28"/>
          <w:szCs w:val="28"/>
        </w:rPr>
        <w:t>甲乙双方应妥善保管押运服务的相关资料，并对服务内容进行保密，不得以任何方式擅自使用、复制、传播、散布、公布和向其他第三方披露，否则承担相应法律责任，保密义务不因本合同终止而终止。</w:t>
      </w:r>
    </w:p>
    <w:p>
      <w:pPr>
        <w:pStyle w:val="25"/>
        <w:spacing w:line="420" w:lineRule="atLeast"/>
        <w:ind w:firstLine="570"/>
        <w:rPr>
          <w:rFonts w:ascii="宋体" w:hAnsi="宋体"/>
          <w:b/>
          <w:bCs/>
          <w:sz w:val="28"/>
          <w:szCs w:val="28"/>
        </w:rPr>
      </w:pPr>
      <w:r>
        <w:rPr>
          <w:rFonts w:hint="eastAsia" w:ascii="宋体" w:hAnsi="宋体"/>
          <w:b/>
          <w:bCs/>
          <w:sz w:val="28"/>
          <w:szCs w:val="28"/>
        </w:rPr>
        <w:t>第十四条  合同变更、终止、续签</w:t>
      </w:r>
    </w:p>
    <w:p>
      <w:pPr>
        <w:pStyle w:val="25"/>
        <w:spacing w:line="420" w:lineRule="atLeast"/>
        <w:ind w:firstLine="570"/>
        <w:rPr>
          <w:rFonts w:ascii="宋体" w:hAnsi="宋体"/>
          <w:color w:val="0D0D0D"/>
          <w:sz w:val="28"/>
          <w:szCs w:val="28"/>
        </w:rPr>
      </w:pPr>
      <w:r>
        <w:rPr>
          <w:rFonts w:hint="eastAsia" w:ascii="宋体" w:hAnsi="宋体"/>
          <w:color w:val="0D0D0D"/>
          <w:sz w:val="28"/>
          <w:szCs w:val="28"/>
        </w:rPr>
        <w:t>1、合同执行过程中，对有关条款需要变更的，经甲乙双方协商一致后，可签订补充合同，补充合同与主合同具有同等法律效力。</w:t>
      </w:r>
    </w:p>
    <w:p>
      <w:pPr>
        <w:pStyle w:val="25"/>
        <w:spacing w:line="420" w:lineRule="atLeast"/>
        <w:ind w:firstLine="570"/>
        <w:rPr>
          <w:rFonts w:ascii="宋体" w:hAnsi="宋体"/>
          <w:color w:val="0D0D0D"/>
          <w:sz w:val="28"/>
          <w:szCs w:val="28"/>
        </w:rPr>
      </w:pPr>
      <w:r>
        <w:rPr>
          <w:rFonts w:hint="eastAsia" w:ascii="宋体" w:hAnsi="宋体"/>
          <w:color w:val="0D0D0D"/>
          <w:sz w:val="28"/>
          <w:szCs w:val="28"/>
        </w:rPr>
        <w:t>2、如需续签合同，甲乙双方应在合同期满前2个月进行协商，并于本合同期限届满前完成合同续签。</w:t>
      </w:r>
    </w:p>
    <w:p>
      <w:pPr>
        <w:pStyle w:val="25"/>
        <w:spacing w:line="420" w:lineRule="atLeast"/>
        <w:ind w:firstLine="570"/>
        <w:rPr>
          <w:rFonts w:ascii="宋体" w:hAnsi="宋体"/>
          <w:b/>
          <w:bCs/>
          <w:color w:val="0D0D0D"/>
          <w:sz w:val="28"/>
          <w:szCs w:val="28"/>
        </w:rPr>
      </w:pPr>
      <w:r>
        <w:rPr>
          <w:rFonts w:hint="eastAsia" w:ascii="宋体" w:hAnsi="宋体"/>
          <w:b/>
          <w:bCs/>
          <w:color w:val="0D0D0D"/>
          <w:sz w:val="28"/>
          <w:szCs w:val="28"/>
        </w:rPr>
        <w:t>第十五条  不可抗力和免责事由</w:t>
      </w:r>
    </w:p>
    <w:p>
      <w:pPr>
        <w:pStyle w:val="25"/>
        <w:spacing w:line="420" w:lineRule="atLeast"/>
        <w:ind w:firstLine="570"/>
        <w:rPr>
          <w:rFonts w:ascii="宋体" w:hAnsi="宋体"/>
          <w:color w:val="0D0D0D"/>
          <w:sz w:val="28"/>
          <w:szCs w:val="28"/>
        </w:rPr>
      </w:pPr>
      <w:r>
        <w:rPr>
          <w:rFonts w:hint="eastAsia" w:ascii="宋体" w:hAnsi="宋体"/>
          <w:color w:val="0D0D0D"/>
          <w:sz w:val="28"/>
          <w:szCs w:val="28"/>
        </w:rPr>
        <w:t>1、如果因无法预见、无法避免且无法克服之原因，包括担不限于天灾、洪水、地震、瘟疫、罢工、战争和军事行动（无论是否宣战）、恐怖袭击、国家法律法规的变更、政府行为等不可抗力事件，导致任何一方在本合同项下的义务无法履行或无法按时履行，则不应视为违约，该方在不可抗力影响的范围内免除责任。</w:t>
      </w:r>
    </w:p>
    <w:p>
      <w:pPr>
        <w:pStyle w:val="25"/>
        <w:widowControl w:val="0"/>
        <w:spacing w:line="420" w:lineRule="atLeast"/>
        <w:ind w:firstLine="573"/>
        <w:rPr>
          <w:rFonts w:ascii="宋体" w:hAnsi="宋体"/>
          <w:color w:val="0D0D0D"/>
          <w:sz w:val="28"/>
          <w:szCs w:val="28"/>
        </w:rPr>
      </w:pPr>
      <w:r>
        <w:rPr>
          <w:rFonts w:hint="eastAsia" w:ascii="宋体" w:hAnsi="宋体"/>
          <w:color w:val="0D0D0D"/>
          <w:sz w:val="28"/>
          <w:szCs w:val="28"/>
        </w:rPr>
        <w:t>在发生不可抗力事件后，受影响的一方应立即将不可抗力事件及其可能受影响的程度通知另一方。</w:t>
      </w:r>
    </w:p>
    <w:p>
      <w:pPr>
        <w:pStyle w:val="25"/>
        <w:widowControl w:val="0"/>
        <w:spacing w:line="420" w:lineRule="atLeast"/>
        <w:ind w:firstLine="573"/>
        <w:rPr>
          <w:rFonts w:ascii="宋体" w:hAnsi="宋体"/>
          <w:color w:val="0000FF"/>
          <w:sz w:val="28"/>
          <w:szCs w:val="28"/>
        </w:rPr>
      </w:pPr>
      <w:r>
        <w:rPr>
          <w:rFonts w:hint="eastAsia" w:ascii="宋体" w:hAnsi="宋体"/>
          <w:color w:val="0D0D0D"/>
          <w:sz w:val="28"/>
          <w:szCs w:val="28"/>
        </w:rPr>
        <w:t>2、经公安等法定部门确认属甲方人员利用职务之便，在营业中盗窃造成</w:t>
      </w:r>
      <w:r>
        <w:rPr>
          <w:rFonts w:hint="eastAsia" w:ascii="宋体" w:hAnsi="宋体"/>
          <w:color w:val="0D0D0D"/>
          <w:spacing w:val="-4"/>
          <w:sz w:val="28"/>
          <w:szCs w:val="28"/>
        </w:rPr>
        <w:t>款箱</w:t>
      </w:r>
      <w:r>
        <w:rPr>
          <w:rFonts w:hint="eastAsia" w:ascii="宋体" w:hAnsi="宋体"/>
          <w:color w:val="0D0D0D"/>
          <w:sz w:val="28"/>
          <w:szCs w:val="28"/>
        </w:rPr>
        <w:t>内现金和物品短缺的，或其他确属甲方工作人员法律责任的，乙方对相关损失不承担赔偿责任。</w:t>
      </w:r>
      <w:r>
        <w:rPr>
          <w:rFonts w:hint="eastAsia" w:ascii="宋体" w:hAnsi="宋体"/>
          <w:color w:val="0000FF"/>
          <w:sz w:val="28"/>
          <w:szCs w:val="28"/>
        </w:rPr>
        <w:t xml:space="preserve">  </w:t>
      </w:r>
      <w:r>
        <w:rPr>
          <w:rFonts w:ascii="宋体" w:hAnsi="宋体"/>
          <w:sz w:val="28"/>
          <w:szCs w:val="28"/>
        </w:rPr>
        <w:t xml:space="preserve"> </w:t>
      </w:r>
    </w:p>
    <w:p>
      <w:pPr>
        <w:pStyle w:val="25"/>
        <w:spacing w:line="420" w:lineRule="atLeast"/>
        <w:ind w:firstLine="570"/>
        <w:rPr>
          <w:rFonts w:ascii="宋体" w:hAnsi="宋体"/>
          <w:b/>
          <w:bCs/>
          <w:sz w:val="28"/>
          <w:szCs w:val="28"/>
        </w:rPr>
      </w:pPr>
      <w:r>
        <w:rPr>
          <w:rFonts w:hint="eastAsia" w:ascii="宋体" w:hAnsi="宋体"/>
          <w:b/>
          <w:bCs/>
          <w:sz w:val="28"/>
          <w:szCs w:val="28"/>
        </w:rPr>
        <w:t>第十六条  违约责任与争议解决</w:t>
      </w:r>
    </w:p>
    <w:p>
      <w:pPr>
        <w:pStyle w:val="25"/>
        <w:spacing w:line="420" w:lineRule="atLeast"/>
        <w:ind w:firstLine="570"/>
        <w:rPr>
          <w:rFonts w:ascii="宋体" w:hAnsi="宋体"/>
          <w:sz w:val="28"/>
          <w:szCs w:val="28"/>
        </w:rPr>
      </w:pPr>
      <w:r>
        <w:rPr>
          <w:rFonts w:hint="eastAsia" w:ascii="宋体" w:hAnsi="宋体"/>
          <w:sz w:val="28"/>
          <w:szCs w:val="28"/>
        </w:rPr>
        <w:t>1、甲乙双方不得无故终止履行本合同，如因法律、政策性以外原因单方解除合同的，违约方应向守约方支付本合同押运费20%的违约金。</w:t>
      </w:r>
    </w:p>
    <w:p>
      <w:pPr>
        <w:pStyle w:val="25"/>
        <w:spacing w:line="420" w:lineRule="atLeast"/>
        <w:ind w:firstLine="570"/>
        <w:rPr>
          <w:rFonts w:ascii="宋体" w:hAnsi="宋体"/>
          <w:color w:val="0D0D0D"/>
          <w:sz w:val="28"/>
          <w:szCs w:val="28"/>
        </w:rPr>
      </w:pPr>
      <w:r>
        <w:rPr>
          <w:rFonts w:hint="eastAsia" w:ascii="宋体" w:hAnsi="宋体"/>
          <w:color w:val="0D0D0D"/>
          <w:sz w:val="28"/>
          <w:szCs w:val="28"/>
        </w:rPr>
        <w:t xml:space="preserve">2、若甲方未按合同约定期限付款，应按逾期支付押运服务费的日万分之五向乙方支付违约金。  </w:t>
      </w:r>
    </w:p>
    <w:p>
      <w:pPr>
        <w:pStyle w:val="25"/>
        <w:spacing w:line="420" w:lineRule="atLeast"/>
        <w:ind w:firstLine="570"/>
        <w:rPr>
          <w:rFonts w:ascii="宋体" w:hAnsi="宋体"/>
          <w:color w:val="0D0D0D"/>
          <w:sz w:val="28"/>
          <w:szCs w:val="28"/>
        </w:rPr>
      </w:pPr>
      <w:r>
        <w:rPr>
          <w:rFonts w:hint="eastAsia" w:ascii="宋体" w:hAnsi="宋体"/>
          <w:sz w:val="28"/>
          <w:szCs w:val="28"/>
        </w:rPr>
        <w:t>3、甲乙双方在执行本合同中发生争议时，应友好协商解决</w:t>
      </w:r>
      <w:r>
        <w:rPr>
          <w:rFonts w:hint="eastAsia" w:ascii="宋体" w:hAnsi="宋体"/>
          <w:color w:val="0D0D0D"/>
          <w:sz w:val="28"/>
          <w:szCs w:val="28"/>
        </w:rPr>
        <w:t>，协商未果，任何一方均可向甲方住所地有管辖权的人民法院提起诉讼。</w:t>
      </w:r>
    </w:p>
    <w:p>
      <w:pPr>
        <w:pStyle w:val="25"/>
        <w:spacing w:line="420" w:lineRule="atLeast"/>
        <w:ind w:firstLine="570"/>
        <w:rPr>
          <w:rFonts w:ascii="宋体" w:hAnsi="宋体"/>
          <w:b/>
          <w:bCs/>
          <w:sz w:val="28"/>
          <w:szCs w:val="28"/>
        </w:rPr>
      </w:pPr>
      <w:r>
        <w:rPr>
          <w:rFonts w:hint="eastAsia" w:ascii="宋体" w:hAnsi="宋体"/>
          <w:b/>
          <w:bCs/>
          <w:sz w:val="28"/>
          <w:szCs w:val="28"/>
        </w:rPr>
        <w:t>第十七条  合同效力</w:t>
      </w:r>
    </w:p>
    <w:p>
      <w:pPr>
        <w:pStyle w:val="25"/>
        <w:spacing w:line="420" w:lineRule="atLeast"/>
        <w:ind w:firstLine="570"/>
        <w:rPr>
          <w:rFonts w:ascii="宋体" w:hAnsi="宋体"/>
          <w:sz w:val="28"/>
          <w:szCs w:val="28"/>
        </w:rPr>
      </w:pPr>
      <w:r>
        <w:rPr>
          <w:rFonts w:hint="eastAsia" w:ascii="宋体" w:hAnsi="宋体"/>
          <w:sz w:val="28"/>
          <w:szCs w:val="28"/>
        </w:rPr>
        <w:t>本合同一式陆份，经甲乙双方负责人</w:t>
      </w:r>
      <w:r>
        <w:rPr>
          <w:rFonts w:ascii="宋体" w:hAnsi="宋体"/>
          <w:sz w:val="28"/>
          <w:szCs w:val="28"/>
        </w:rPr>
        <w:t>/</w:t>
      </w:r>
      <w:r>
        <w:rPr>
          <w:rFonts w:hint="eastAsia" w:ascii="宋体" w:hAnsi="宋体"/>
          <w:sz w:val="28"/>
          <w:szCs w:val="28"/>
        </w:rPr>
        <w:t>法定代表人或其授权代表签字或签章并加盖公章后生效，双方各持叁份，具有同等法律效力。</w:t>
      </w:r>
    </w:p>
    <w:p>
      <w:pPr>
        <w:pStyle w:val="25"/>
        <w:spacing w:line="420" w:lineRule="atLeast"/>
        <w:rPr>
          <w:rFonts w:ascii="宋体" w:hAnsi="宋体"/>
          <w:sz w:val="28"/>
          <w:szCs w:val="28"/>
        </w:rPr>
      </w:pPr>
    </w:p>
    <w:p>
      <w:pPr>
        <w:pStyle w:val="25"/>
        <w:spacing w:line="420" w:lineRule="atLeast"/>
        <w:rPr>
          <w:rFonts w:ascii="宋体" w:hAnsi="宋体"/>
          <w:sz w:val="28"/>
          <w:szCs w:val="28"/>
        </w:rPr>
      </w:pPr>
      <w:r>
        <w:rPr>
          <w:rFonts w:hint="eastAsia" w:ascii="宋体" w:hAnsi="宋体"/>
          <w:sz w:val="28"/>
          <w:szCs w:val="28"/>
        </w:rPr>
        <w:t xml:space="preserve">甲方单位（盖章）：                    </w:t>
      </w:r>
    </w:p>
    <w:p>
      <w:pPr>
        <w:pStyle w:val="25"/>
        <w:spacing w:line="420" w:lineRule="atLeast"/>
        <w:rPr>
          <w:rFonts w:ascii="宋体" w:hAnsi="宋体"/>
          <w:sz w:val="28"/>
          <w:szCs w:val="28"/>
        </w:rPr>
      </w:pPr>
    </w:p>
    <w:p>
      <w:pPr>
        <w:pStyle w:val="25"/>
        <w:spacing w:line="420" w:lineRule="atLeast"/>
        <w:rPr>
          <w:rFonts w:ascii="宋体" w:hAnsi="宋体"/>
          <w:sz w:val="28"/>
          <w:szCs w:val="28"/>
        </w:rPr>
      </w:pPr>
      <w:r>
        <w:rPr>
          <w:rFonts w:hint="eastAsia" w:ascii="宋体" w:hAnsi="宋体"/>
          <w:sz w:val="28"/>
          <w:szCs w:val="28"/>
        </w:rPr>
        <w:t xml:space="preserve">甲方负责人或授权代表（签字或签章）：                          </w:t>
      </w:r>
    </w:p>
    <w:p>
      <w:pPr>
        <w:pStyle w:val="25"/>
        <w:spacing w:line="420" w:lineRule="atLeast"/>
        <w:rPr>
          <w:rFonts w:ascii="宋体" w:hAnsi="宋体"/>
          <w:sz w:val="28"/>
          <w:szCs w:val="28"/>
        </w:rPr>
      </w:pPr>
    </w:p>
    <w:p>
      <w:pPr>
        <w:pStyle w:val="25"/>
        <w:spacing w:line="420" w:lineRule="atLeast"/>
        <w:rPr>
          <w:rFonts w:ascii="宋体" w:hAnsi="宋体"/>
          <w:sz w:val="28"/>
          <w:szCs w:val="28"/>
        </w:rPr>
      </w:pPr>
      <w:r>
        <w:rPr>
          <w:rFonts w:hint="eastAsia" w:ascii="宋体" w:hAnsi="宋体"/>
          <w:sz w:val="28"/>
          <w:szCs w:val="28"/>
        </w:rPr>
        <w:t>乙方单位（盖章）：</w:t>
      </w:r>
    </w:p>
    <w:p>
      <w:pPr>
        <w:pStyle w:val="25"/>
        <w:spacing w:line="420" w:lineRule="atLeast"/>
        <w:rPr>
          <w:rFonts w:ascii="宋体" w:hAnsi="宋体"/>
          <w:sz w:val="28"/>
          <w:szCs w:val="28"/>
        </w:rPr>
      </w:pPr>
    </w:p>
    <w:p>
      <w:pPr>
        <w:pStyle w:val="25"/>
        <w:spacing w:line="420" w:lineRule="atLeast"/>
        <w:rPr>
          <w:rFonts w:ascii="宋体" w:hAnsi="宋体"/>
          <w:sz w:val="28"/>
          <w:szCs w:val="28"/>
        </w:rPr>
      </w:pPr>
      <w:r>
        <w:rPr>
          <w:rFonts w:hint="eastAsia" w:ascii="宋体" w:hAnsi="宋体"/>
          <w:sz w:val="28"/>
          <w:szCs w:val="28"/>
        </w:rPr>
        <w:t>乙方法定代表人或授权代表（签字或签章）：</w:t>
      </w:r>
    </w:p>
    <w:p>
      <w:pPr>
        <w:pStyle w:val="25"/>
        <w:spacing w:line="420" w:lineRule="atLeast"/>
        <w:ind w:firstLine="3640" w:firstLineChars="1300"/>
        <w:rPr>
          <w:rFonts w:hint="eastAsia" w:ascii="宋体" w:hAnsi="宋体"/>
          <w:sz w:val="28"/>
          <w:szCs w:val="28"/>
        </w:rPr>
      </w:pPr>
    </w:p>
    <w:p>
      <w:pPr>
        <w:pStyle w:val="25"/>
        <w:spacing w:line="420" w:lineRule="atLeast"/>
        <w:ind w:firstLine="3640" w:firstLineChars="1300"/>
        <w:rPr>
          <w:rFonts w:ascii="宋体" w:hAnsi="宋体"/>
          <w:sz w:val="28"/>
          <w:szCs w:val="28"/>
        </w:rPr>
      </w:pPr>
      <w:r>
        <w:rPr>
          <w:rFonts w:hint="eastAsia" w:ascii="宋体" w:hAnsi="宋体"/>
          <w:sz w:val="28"/>
          <w:szCs w:val="28"/>
        </w:rPr>
        <w:t>合同签订日期：</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pPr>
        <w:keepNext w:val="0"/>
        <w:keepLines w:val="0"/>
        <w:pageBreakBefore w:val="0"/>
        <w:widowControl w:val="0"/>
        <w:tabs>
          <w:tab w:val="left" w:pos="3060"/>
        </w:tabs>
        <w:kinsoku/>
        <w:wordWrap/>
        <w:overflowPunct/>
        <w:topLinePunct w:val="0"/>
        <w:autoSpaceDE/>
        <w:autoSpaceDN/>
        <w:bidi w:val="0"/>
        <w:adjustRightInd/>
        <w:snapToGrid/>
        <w:spacing w:line="120" w:lineRule="auto"/>
        <w:textAlignment w:val="auto"/>
        <w:outlineLvl w:val="1"/>
        <w:rPr>
          <w:rFonts w:hint="eastAsia" w:ascii="黑体" w:hAnsi="黑体" w:eastAsia="黑体" w:cs="Times New Roman"/>
          <w:sz w:val="32"/>
          <w:szCs w:val="32"/>
          <w:highlight w:val="none"/>
          <w:lang w:val="en-US" w:eastAsia="zh-CN"/>
        </w:rPr>
      </w:pPr>
    </w:p>
    <w:p>
      <w:pPr>
        <w:ind w:firstLine="640" w:firstLineChars="200"/>
        <w:contextualSpacing/>
        <w:rPr>
          <w:rFonts w:hint="eastAsia" w:ascii="仿宋" w:hAnsi="仿宋" w:eastAsia="仿宋"/>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FangSong_GB2312">
    <w:altName w:val="仿宋_GB2312"/>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E021D8"/>
    <w:multiLevelType w:val="singleLevel"/>
    <w:tmpl w:val="04E021D8"/>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701"/>
    <w:rsid w:val="000109CC"/>
    <w:rsid w:val="00012C78"/>
    <w:rsid w:val="0001518C"/>
    <w:rsid w:val="00037FBB"/>
    <w:rsid w:val="00040365"/>
    <w:rsid w:val="00042E8E"/>
    <w:rsid w:val="00045FE3"/>
    <w:rsid w:val="00052A6A"/>
    <w:rsid w:val="0005513E"/>
    <w:rsid w:val="00065C74"/>
    <w:rsid w:val="00067AC2"/>
    <w:rsid w:val="00072274"/>
    <w:rsid w:val="000738D4"/>
    <w:rsid w:val="0007788B"/>
    <w:rsid w:val="000816E0"/>
    <w:rsid w:val="00092F86"/>
    <w:rsid w:val="00095EB5"/>
    <w:rsid w:val="00096AE5"/>
    <w:rsid w:val="000A0F02"/>
    <w:rsid w:val="000A119D"/>
    <w:rsid w:val="000A46D4"/>
    <w:rsid w:val="000A6EC7"/>
    <w:rsid w:val="000B17E8"/>
    <w:rsid w:val="000B4ECB"/>
    <w:rsid w:val="000B60F4"/>
    <w:rsid w:val="000C070E"/>
    <w:rsid w:val="000D1D27"/>
    <w:rsid w:val="000D4090"/>
    <w:rsid w:val="000E56EA"/>
    <w:rsid w:val="000F503F"/>
    <w:rsid w:val="000F7472"/>
    <w:rsid w:val="000F781E"/>
    <w:rsid w:val="00100804"/>
    <w:rsid w:val="001021E9"/>
    <w:rsid w:val="00103C9B"/>
    <w:rsid w:val="00103CAE"/>
    <w:rsid w:val="00106B0D"/>
    <w:rsid w:val="00120B5A"/>
    <w:rsid w:val="00126947"/>
    <w:rsid w:val="00126D75"/>
    <w:rsid w:val="001274E6"/>
    <w:rsid w:val="00130033"/>
    <w:rsid w:val="00131B9E"/>
    <w:rsid w:val="00133E32"/>
    <w:rsid w:val="001351A8"/>
    <w:rsid w:val="00135614"/>
    <w:rsid w:val="0013642C"/>
    <w:rsid w:val="0014177D"/>
    <w:rsid w:val="00147E54"/>
    <w:rsid w:val="00155ADE"/>
    <w:rsid w:val="00160069"/>
    <w:rsid w:val="00161C52"/>
    <w:rsid w:val="00171650"/>
    <w:rsid w:val="001828A0"/>
    <w:rsid w:val="0018428F"/>
    <w:rsid w:val="00185052"/>
    <w:rsid w:val="00187E05"/>
    <w:rsid w:val="00190E6C"/>
    <w:rsid w:val="0019176F"/>
    <w:rsid w:val="00194DED"/>
    <w:rsid w:val="001A0E6C"/>
    <w:rsid w:val="001A40E8"/>
    <w:rsid w:val="001A7895"/>
    <w:rsid w:val="001B1B5E"/>
    <w:rsid w:val="001B3A4D"/>
    <w:rsid w:val="001B43E6"/>
    <w:rsid w:val="001B5D8C"/>
    <w:rsid w:val="001C3497"/>
    <w:rsid w:val="001C39B0"/>
    <w:rsid w:val="001C5142"/>
    <w:rsid w:val="001C5304"/>
    <w:rsid w:val="001D0246"/>
    <w:rsid w:val="001D457B"/>
    <w:rsid w:val="001D782D"/>
    <w:rsid w:val="001D7B5D"/>
    <w:rsid w:val="001E2BCB"/>
    <w:rsid w:val="001E3D38"/>
    <w:rsid w:val="001E7967"/>
    <w:rsid w:val="001F330E"/>
    <w:rsid w:val="001F43F9"/>
    <w:rsid w:val="001F460B"/>
    <w:rsid w:val="001F634F"/>
    <w:rsid w:val="00202A4C"/>
    <w:rsid w:val="002040A3"/>
    <w:rsid w:val="00207D5B"/>
    <w:rsid w:val="00210428"/>
    <w:rsid w:val="00210FCD"/>
    <w:rsid w:val="00221E07"/>
    <w:rsid w:val="00223402"/>
    <w:rsid w:val="00223A31"/>
    <w:rsid w:val="00223C3A"/>
    <w:rsid w:val="00223D3C"/>
    <w:rsid w:val="00226561"/>
    <w:rsid w:val="00226726"/>
    <w:rsid w:val="002338B6"/>
    <w:rsid w:val="00237E9A"/>
    <w:rsid w:val="00240947"/>
    <w:rsid w:val="002448B9"/>
    <w:rsid w:val="00261793"/>
    <w:rsid w:val="00261799"/>
    <w:rsid w:val="002635D7"/>
    <w:rsid w:val="0027639F"/>
    <w:rsid w:val="002772BC"/>
    <w:rsid w:val="00280301"/>
    <w:rsid w:val="00286351"/>
    <w:rsid w:val="00287323"/>
    <w:rsid w:val="002915DF"/>
    <w:rsid w:val="002A1D41"/>
    <w:rsid w:val="002A2A75"/>
    <w:rsid w:val="002C1675"/>
    <w:rsid w:val="002C17E4"/>
    <w:rsid w:val="002C3D91"/>
    <w:rsid w:val="002C5BF2"/>
    <w:rsid w:val="002C7E2C"/>
    <w:rsid w:val="002D0C59"/>
    <w:rsid w:val="002D7B06"/>
    <w:rsid w:val="002E3CBC"/>
    <w:rsid w:val="002E7056"/>
    <w:rsid w:val="002E7799"/>
    <w:rsid w:val="002F197C"/>
    <w:rsid w:val="002F5FBE"/>
    <w:rsid w:val="003026A5"/>
    <w:rsid w:val="00311A5D"/>
    <w:rsid w:val="00314233"/>
    <w:rsid w:val="0032033A"/>
    <w:rsid w:val="003224E2"/>
    <w:rsid w:val="003309A6"/>
    <w:rsid w:val="00330B1B"/>
    <w:rsid w:val="0033115A"/>
    <w:rsid w:val="003355A0"/>
    <w:rsid w:val="00337338"/>
    <w:rsid w:val="003417FE"/>
    <w:rsid w:val="0034361A"/>
    <w:rsid w:val="0034457A"/>
    <w:rsid w:val="00346126"/>
    <w:rsid w:val="003650FF"/>
    <w:rsid w:val="00367AC9"/>
    <w:rsid w:val="003800D4"/>
    <w:rsid w:val="00381BBD"/>
    <w:rsid w:val="00395F89"/>
    <w:rsid w:val="003A0023"/>
    <w:rsid w:val="003A1827"/>
    <w:rsid w:val="003A4E7E"/>
    <w:rsid w:val="003A5AEB"/>
    <w:rsid w:val="003A6D43"/>
    <w:rsid w:val="003C087F"/>
    <w:rsid w:val="003D2700"/>
    <w:rsid w:val="003D5126"/>
    <w:rsid w:val="003E080A"/>
    <w:rsid w:val="003E1CCD"/>
    <w:rsid w:val="003F4E21"/>
    <w:rsid w:val="00403686"/>
    <w:rsid w:val="0041494B"/>
    <w:rsid w:val="00414BEA"/>
    <w:rsid w:val="0041612A"/>
    <w:rsid w:val="00416313"/>
    <w:rsid w:val="00420028"/>
    <w:rsid w:val="0043168A"/>
    <w:rsid w:val="00433050"/>
    <w:rsid w:val="00436F50"/>
    <w:rsid w:val="0043753A"/>
    <w:rsid w:val="004376C1"/>
    <w:rsid w:val="0044120E"/>
    <w:rsid w:val="00441528"/>
    <w:rsid w:val="0045032A"/>
    <w:rsid w:val="00451406"/>
    <w:rsid w:val="00455A18"/>
    <w:rsid w:val="004565B5"/>
    <w:rsid w:val="00462556"/>
    <w:rsid w:val="004656DC"/>
    <w:rsid w:val="00475EAE"/>
    <w:rsid w:val="0048595A"/>
    <w:rsid w:val="00493486"/>
    <w:rsid w:val="00496A67"/>
    <w:rsid w:val="004A2C95"/>
    <w:rsid w:val="004A507C"/>
    <w:rsid w:val="004A6157"/>
    <w:rsid w:val="004A7675"/>
    <w:rsid w:val="004B1E5A"/>
    <w:rsid w:val="004B22BA"/>
    <w:rsid w:val="004C2A57"/>
    <w:rsid w:val="004C5D00"/>
    <w:rsid w:val="004C64CF"/>
    <w:rsid w:val="004C75D6"/>
    <w:rsid w:val="004C7C5A"/>
    <w:rsid w:val="004D07C7"/>
    <w:rsid w:val="004D4E32"/>
    <w:rsid w:val="004D6E76"/>
    <w:rsid w:val="004E1D4B"/>
    <w:rsid w:val="004E23D0"/>
    <w:rsid w:val="004E6F22"/>
    <w:rsid w:val="004F10FD"/>
    <w:rsid w:val="004F193C"/>
    <w:rsid w:val="004F2374"/>
    <w:rsid w:val="00514183"/>
    <w:rsid w:val="00514325"/>
    <w:rsid w:val="00516547"/>
    <w:rsid w:val="005165EF"/>
    <w:rsid w:val="00522274"/>
    <w:rsid w:val="0052751F"/>
    <w:rsid w:val="00531BA6"/>
    <w:rsid w:val="00532F58"/>
    <w:rsid w:val="00550F15"/>
    <w:rsid w:val="00556D05"/>
    <w:rsid w:val="00562975"/>
    <w:rsid w:val="0056388C"/>
    <w:rsid w:val="00563B05"/>
    <w:rsid w:val="00567A90"/>
    <w:rsid w:val="00570334"/>
    <w:rsid w:val="00570BAD"/>
    <w:rsid w:val="00571B0F"/>
    <w:rsid w:val="00573721"/>
    <w:rsid w:val="005770A2"/>
    <w:rsid w:val="00580A94"/>
    <w:rsid w:val="00580CC1"/>
    <w:rsid w:val="00584647"/>
    <w:rsid w:val="0059230E"/>
    <w:rsid w:val="00592C03"/>
    <w:rsid w:val="0059443A"/>
    <w:rsid w:val="005A1221"/>
    <w:rsid w:val="005A18D0"/>
    <w:rsid w:val="005A59C6"/>
    <w:rsid w:val="005B5BEA"/>
    <w:rsid w:val="005C20FB"/>
    <w:rsid w:val="005D1D7C"/>
    <w:rsid w:val="005D1F7C"/>
    <w:rsid w:val="005D7CE4"/>
    <w:rsid w:val="005E0859"/>
    <w:rsid w:val="005E6128"/>
    <w:rsid w:val="005E701F"/>
    <w:rsid w:val="005F0DD9"/>
    <w:rsid w:val="005F4822"/>
    <w:rsid w:val="005F56EB"/>
    <w:rsid w:val="00602501"/>
    <w:rsid w:val="0062202B"/>
    <w:rsid w:val="0062257C"/>
    <w:rsid w:val="006243C4"/>
    <w:rsid w:val="00624900"/>
    <w:rsid w:val="00625955"/>
    <w:rsid w:val="00625A3F"/>
    <w:rsid w:val="00626103"/>
    <w:rsid w:val="00626A7F"/>
    <w:rsid w:val="00632015"/>
    <w:rsid w:val="006326A2"/>
    <w:rsid w:val="00641451"/>
    <w:rsid w:val="00642F07"/>
    <w:rsid w:val="0064302A"/>
    <w:rsid w:val="0064355F"/>
    <w:rsid w:val="0064511A"/>
    <w:rsid w:val="006502DB"/>
    <w:rsid w:val="006505BB"/>
    <w:rsid w:val="00653CC2"/>
    <w:rsid w:val="00655CF6"/>
    <w:rsid w:val="00660A9F"/>
    <w:rsid w:val="00662617"/>
    <w:rsid w:val="006626E3"/>
    <w:rsid w:val="00670688"/>
    <w:rsid w:val="00672557"/>
    <w:rsid w:val="00673CE1"/>
    <w:rsid w:val="006807BB"/>
    <w:rsid w:val="00680F2A"/>
    <w:rsid w:val="00681172"/>
    <w:rsid w:val="00681844"/>
    <w:rsid w:val="006829FA"/>
    <w:rsid w:val="00683FD6"/>
    <w:rsid w:val="006852B8"/>
    <w:rsid w:val="00685F73"/>
    <w:rsid w:val="006875C6"/>
    <w:rsid w:val="00695C09"/>
    <w:rsid w:val="006A4441"/>
    <w:rsid w:val="006A50C6"/>
    <w:rsid w:val="006B43A1"/>
    <w:rsid w:val="006B7D1E"/>
    <w:rsid w:val="006D0F79"/>
    <w:rsid w:val="006D14AC"/>
    <w:rsid w:val="006D5083"/>
    <w:rsid w:val="006D50E0"/>
    <w:rsid w:val="006D537C"/>
    <w:rsid w:val="006E1637"/>
    <w:rsid w:val="006E2150"/>
    <w:rsid w:val="006E33ED"/>
    <w:rsid w:val="006E4EAE"/>
    <w:rsid w:val="006E5D90"/>
    <w:rsid w:val="006E606E"/>
    <w:rsid w:val="006F0065"/>
    <w:rsid w:val="006F1A39"/>
    <w:rsid w:val="006F43BD"/>
    <w:rsid w:val="006F7234"/>
    <w:rsid w:val="00701B43"/>
    <w:rsid w:val="007043FD"/>
    <w:rsid w:val="00704707"/>
    <w:rsid w:val="00712E26"/>
    <w:rsid w:val="0071397B"/>
    <w:rsid w:val="00713A5B"/>
    <w:rsid w:val="00714D14"/>
    <w:rsid w:val="0071575A"/>
    <w:rsid w:val="00732FE6"/>
    <w:rsid w:val="007344D3"/>
    <w:rsid w:val="00736C1F"/>
    <w:rsid w:val="00740A0B"/>
    <w:rsid w:val="007460EC"/>
    <w:rsid w:val="00746809"/>
    <w:rsid w:val="007477BD"/>
    <w:rsid w:val="00757B72"/>
    <w:rsid w:val="0076726D"/>
    <w:rsid w:val="00771077"/>
    <w:rsid w:val="00771E52"/>
    <w:rsid w:val="0077280B"/>
    <w:rsid w:val="00773D6F"/>
    <w:rsid w:val="00780701"/>
    <w:rsid w:val="00791236"/>
    <w:rsid w:val="00795715"/>
    <w:rsid w:val="0079658D"/>
    <w:rsid w:val="00797687"/>
    <w:rsid w:val="007A0B83"/>
    <w:rsid w:val="007A22B7"/>
    <w:rsid w:val="007A576A"/>
    <w:rsid w:val="007B4016"/>
    <w:rsid w:val="007B42D9"/>
    <w:rsid w:val="007B4547"/>
    <w:rsid w:val="007B78BD"/>
    <w:rsid w:val="007C0448"/>
    <w:rsid w:val="007C4321"/>
    <w:rsid w:val="007C7E6C"/>
    <w:rsid w:val="007D40E4"/>
    <w:rsid w:val="007D7303"/>
    <w:rsid w:val="007E02C1"/>
    <w:rsid w:val="007E352F"/>
    <w:rsid w:val="007F0684"/>
    <w:rsid w:val="00806244"/>
    <w:rsid w:val="00813E4A"/>
    <w:rsid w:val="008148C0"/>
    <w:rsid w:val="00820210"/>
    <w:rsid w:val="008213E8"/>
    <w:rsid w:val="00855415"/>
    <w:rsid w:val="00856479"/>
    <w:rsid w:val="0086623D"/>
    <w:rsid w:val="0086670B"/>
    <w:rsid w:val="00870DBE"/>
    <w:rsid w:val="0087190F"/>
    <w:rsid w:val="008745B0"/>
    <w:rsid w:val="0087478E"/>
    <w:rsid w:val="008802B7"/>
    <w:rsid w:val="008822C1"/>
    <w:rsid w:val="00883059"/>
    <w:rsid w:val="00886DE1"/>
    <w:rsid w:val="00887251"/>
    <w:rsid w:val="008876B0"/>
    <w:rsid w:val="00887B0D"/>
    <w:rsid w:val="00891D21"/>
    <w:rsid w:val="008927F3"/>
    <w:rsid w:val="00896BA3"/>
    <w:rsid w:val="008A0B0F"/>
    <w:rsid w:val="008A63CD"/>
    <w:rsid w:val="008B5A5E"/>
    <w:rsid w:val="008B7367"/>
    <w:rsid w:val="008C15B9"/>
    <w:rsid w:val="008C2421"/>
    <w:rsid w:val="008C5B13"/>
    <w:rsid w:val="008C603F"/>
    <w:rsid w:val="008D4756"/>
    <w:rsid w:val="008D4FAC"/>
    <w:rsid w:val="008E4BE9"/>
    <w:rsid w:val="008E632D"/>
    <w:rsid w:val="008E79B6"/>
    <w:rsid w:val="008F1F93"/>
    <w:rsid w:val="008F2AA9"/>
    <w:rsid w:val="008F3816"/>
    <w:rsid w:val="008F478E"/>
    <w:rsid w:val="008F761B"/>
    <w:rsid w:val="00900634"/>
    <w:rsid w:val="009013B5"/>
    <w:rsid w:val="00903404"/>
    <w:rsid w:val="00911F09"/>
    <w:rsid w:val="00916D62"/>
    <w:rsid w:val="00923217"/>
    <w:rsid w:val="009262FF"/>
    <w:rsid w:val="0092794B"/>
    <w:rsid w:val="009303A7"/>
    <w:rsid w:val="009325ED"/>
    <w:rsid w:val="00943962"/>
    <w:rsid w:val="00943E47"/>
    <w:rsid w:val="00951247"/>
    <w:rsid w:val="009533E9"/>
    <w:rsid w:val="00954BB3"/>
    <w:rsid w:val="00961CD1"/>
    <w:rsid w:val="00966C8B"/>
    <w:rsid w:val="00982FBC"/>
    <w:rsid w:val="009835B2"/>
    <w:rsid w:val="009873A6"/>
    <w:rsid w:val="00990725"/>
    <w:rsid w:val="009928C4"/>
    <w:rsid w:val="00997D02"/>
    <w:rsid w:val="009A1342"/>
    <w:rsid w:val="009A35A9"/>
    <w:rsid w:val="009A55E6"/>
    <w:rsid w:val="009B0A4F"/>
    <w:rsid w:val="009C4D84"/>
    <w:rsid w:val="009C65A1"/>
    <w:rsid w:val="009D0F5A"/>
    <w:rsid w:val="009D1FC5"/>
    <w:rsid w:val="009D2C13"/>
    <w:rsid w:val="009D443F"/>
    <w:rsid w:val="009D6305"/>
    <w:rsid w:val="009D7992"/>
    <w:rsid w:val="009E2AE0"/>
    <w:rsid w:val="009E50DA"/>
    <w:rsid w:val="009F2831"/>
    <w:rsid w:val="009F4CD7"/>
    <w:rsid w:val="009F6545"/>
    <w:rsid w:val="00A02398"/>
    <w:rsid w:val="00A04935"/>
    <w:rsid w:val="00A04CE3"/>
    <w:rsid w:val="00A113FC"/>
    <w:rsid w:val="00A13593"/>
    <w:rsid w:val="00A23001"/>
    <w:rsid w:val="00A2710F"/>
    <w:rsid w:val="00A27C79"/>
    <w:rsid w:val="00A30B5A"/>
    <w:rsid w:val="00A33F71"/>
    <w:rsid w:val="00A349A0"/>
    <w:rsid w:val="00A35323"/>
    <w:rsid w:val="00A41EB2"/>
    <w:rsid w:val="00A4389E"/>
    <w:rsid w:val="00A54DFD"/>
    <w:rsid w:val="00A55630"/>
    <w:rsid w:val="00A55EA5"/>
    <w:rsid w:val="00A5789B"/>
    <w:rsid w:val="00A610F3"/>
    <w:rsid w:val="00A623B1"/>
    <w:rsid w:val="00A62BCE"/>
    <w:rsid w:val="00A661F4"/>
    <w:rsid w:val="00A72A9F"/>
    <w:rsid w:val="00A90F5C"/>
    <w:rsid w:val="00A91115"/>
    <w:rsid w:val="00A94DAD"/>
    <w:rsid w:val="00AA0067"/>
    <w:rsid w:val="00AA07A4"/>
    <w:rsid w:val="00AA4ED7"/>
    <w:rsid w:val="00AA5D1E"/>
    <w:rsid w:val="00AA6FDC"/>
    <w:rsid w:val="00AB21BF"/>
    <w:rsid w:val="00AB39E0"/>
    <w:rsid w:val="00AB4DA6"/>
    <w:rsid w:val="00AB685F"/>
    <w:rsid w:val="00AC11ED"/>
    <w:rsid w:val="00AC1FDB"/>
    <w:rsid w:val="00AC6149"/>
    <w:rsid w:val="00AD0A55"/>
    <w:rsid w:val="00AD0BE0"/>
    <w:rsid w:val="00AD4E2C"/>
    <w:rsid w:val="00AD5A28"/>
    <w:rsid w:val="00AE2D47"/>
    <w:rsid w:val="00AE4A19"/>
    <w:rsid w:val="00AE6677"/>
    <w:rsid w:val="00AE78EC"/>
    <w:rsid w:val="00AF0D7C"/>
    <w:rsid w:val="00AF3809"/>
    <w:rsid w:val="00AF5A32"/>
    <w:rsid w:val="00B0001E"/>
    <w:rsid w:val="00B0081E"/>
    <w:rsid w:val="00B03B99"/>
    <w:rsid w:val="00B13E51"/>
    <w:rsid w:val="00B14637"/>
    <w:rsid w:val="00B16046"/>
    <w:rsid w:val="00B16F7B"/>
    <w:rsid w:val="00B2029A"/>
    <w:rsid w:val="00B21456"/>
    <w:rsid w:val="00B2337D"/>
    <w:rsid w:val="00B261DB"/>
    <w:rsid w:val="00B27C35"/>
    <w:rsid w:val="00B31082"/>
    <w:rsid w:val="00B37D24"/>
    <w:rsid w:val="00B42093"/>
    <w:rsid w:val="00B44B6E"/>
    <w:rsid w:val="00B44CA0"/>
    <w:rsid w:val="00B51CAB"/>
    <w:rsid w:val="00B6471D"/>
    <w:rsid w:val="00B65FD2"/>
    <w:rsid w:val="00B66A0C"/>
    <w:rsid w:val="00B736E3"/>
    <w:rsid w:val="00B81EA3"/>
    <w:rsid w:val="00B81F58"/>
    <w:rsid w:val="00B83C6D"/>
    <w:rsid w:val="00B8632E"/>
    <w:rsid w:val="00B924AB"/>
    <w:rsid w:val="00B96E86"/>
    <w:rsid w:val="00BA2597"/>
    <w:rsid w:val="00BA3D94"/>
    <w:rsid w:val="00BB2D7E"/>
    <w:rsid w:val="00BC7936"/>
    <w:rsid w:val="00BC7EFD"/>
    <w:rsid w:val="00BD2970"/>
    <w:rsid w:val="00BF148F"/>
    <w:rsid w:val="00BF288E"/>
    <w:rsid w:val="00BF64F5"/>
    <w:rsid w:val="00C01E16"/>
    <w:rsid w:val="00C03DD4"/>
    <w:rsid w:val="00C07692"/>
    <w:rsid w:val="00C10178"/>
    <w:rsid w:val="00C12D32"/>
    <w:rsid w:val="00C138E4"/>
    <w:rsid w:val="00C147CF"/>
    <w:rsid w:val="00C160AC"/>
    <w:rsid w:val="00C20D06"/>
    <w:rsid w:val="00C21F5D"/>
    <w:rsid w:val="00C23888"/>
    <w:rsid w:val="00C30329"/>
    <w:rsid w:val="00C3044F"/>
    <w:rsid w:val="00C316C1"/>
    <w:rsid w:val="00C349EB"/>
    <w:rsid w:val="00C3793B"/>
    <w:rsid w:val="00C43984"/>
    <w:rsid w:val="00C44842"/>
    <w:rsid w:val="00C459CE"/>
    <w:rsid w:val="00C55476"/>
    <w:rsid w:val="00C56831"/>
    <w:rsid w:val="00C65DD7"/>
    <w:rsid w:val="00C677DC"/>
    <w:rsid w:val="00C76605"/>
    <w:rsid w:val="00C811B9"/>
    <w:rsid w:val="00C82701"/>
    <w:rsid w:val="00C87009"/>
    <w:rsid w:val="00C9190B"/>
    <w:rsid w:val="00C96049"/>
    <w:rsid w:val="00CA57FE"/>
    <w:rsid w:val="00CA6F0E"/>
    <w:rsid w:val="00CB0281"/>
    <w:rsid w:val="00CB4BB7"/>
    <w:rsid w:val="00CB5CA5"/>
    <w:rsid w:val="00CB75DF"/>
    <w:rsid w:val="00CC06B8"/>
    <w:rsid w:val="00CD1903"/>
    <w:rsid w:val="00CD3C80"/>
    <w:rsid w:val="00CE4607"/>
    <w:rsid w:val="00CF28A0"/>
    <w:rsid w:val="00D03EE1"/>
    <w:rsid w:val="00D04B28"/>
    <w:rsid w:val="00D0548C"/>
    <w:rsid w:val="00D05726"/>
    <w:rsid w:val="00D07117"/>
    <w:rsid w:val="00D10178"/>
    <w:rsid w:val="00D220A7"/>
    <w:rsid w:val="00D2463E"/>
    <w:rsid w:val="00D25714"/>
    <w:rsid w:val="00D37149"/>
    <w:rsid w:val="00D37CB9"/>
    <w:rsid w:val="00D41E0C"/>
    <w:rsid w:val="00D507E0"/>
    <w:rsid w:val="00D5473B"/>
    <w:rsid w:val="00D5544B"/>
    <w:rsid w:val="00D56EF4"/>
    <w:rsid w:val="00D63CCC"/>
    <w:rsid w:val="00D66736"/>
    <w:rsid w:val="00D66B3C"/>
    <w:rsid w:val="00D6787C"/>
    <w:rsid w:val="00D74E15"/>
    <w:rsid w:val="00D864E4"/>
    <w:rsid w:val="00D8671C"/>
    <w:rsid w:val="00D95318"/>
    <w:rsid w:val="00D962B1"/>
    <w:rsid w:val="00D97A83"/>
    <w:rsid w:val="00DA2710"/>
    <w:rsid w:val="00DA5A3E"/>
    <w:rsid w:val="00DC3349"/>
    <w:rsid w:val="00DC41B6"/>
    <w:rsid w:val="00DD337F"/>
    <w:rsid w:val="00DD3F63"/>
    <w:rsid w:val="00DD7D8B"/>
    <w:rsid w:val="00DE2E31"/>
    <w:rsid w:val="00DE3242"/>
    <w:rsid w:val="00DE3576"/>
    <w:rsid w:val="00DE4225"/>
    <w:rsid w:val="00DE5082"/>
    <w:rsid w:val="00DE7040"/>
    <w:rsid w:val="00DF095C"/>
    <w:rsid w:val="00DF3FFC"/>
    <w:rsid w:val="00E07A2A"/>
    <w:rsid w:val="00E17E14"/>
    <w:rsid w:val="00E2159C"/>
    <w:rsid w:val="00E23236"/>
    <w:rsid w:val="00E249EF"/>
    <w:rsid w:val="00E330EE"/>
    <w:rsid w:val="00E34B9D"/>
    <w:rsid w:val="00E37788"/>
    <w:rsid w:val="00E4366C"/>
    <w:rsid w:val="00E47B15"/>
    <w:rsid w:val="00E658E3"/>
    <w:rsid w:val="00E72C4B"/>
    <w:rsid w:val="00E84E26"/>
    <w:rsid w:val="00E97A3A"/>
    <w:rsid w:val="00EA2547"/>
    <w:rsid w:val="00EA5A94"/>
    <w:rsid w:val="00EA7D78"/>
    <w:rsid w:val="00EC0D23"/>
    <w:rsid w:val="00EC40F9"/>
    <w:rsid w:val="00EC657E"/>
    <w:rsid w:val="00EC7C66"/>
    <w:rsid w:val="00ED0627"/>
    <w:rsid w:val="00EE179B"/>
    <w:rsid w:val="00EE3D23"/>
    <w:rsid w:val="00EE7B37"/>
    <w:rsid w:val="00EF0AF3"/>
    <w:rsid w:val="00EF2A02"/>
    <w:rsid w:val="00EF781E"/>
    <w:rsid w:val="00F05601"/>
    <w:rsid w:val="00F06153"/>
    <w:rsid w:val="00F06218"/>
    <w:rsid w:val="00F11BBD"/>
    <w:rsid w:val="00F1547B"/>
    <w:rsid w:val="00F15CB8"/>
    <w:rsid w:val="00F20322"/>
    <w:rsid w:val="00F20ED8"/>
    <w:rsid w:val="00F26D70"/>
    <w:rsid w:val="00F32C89"/>
    <w:rsid w:val="00F3752F"/>
    <w:rsid w:val="00F37EAE"/>
    <w:rsid w:val="00F43B88"/>
    <w:rsid w:val="00F45376"/>
    <w:rsid w:val="00F457B1"/>
    <w:rsid w:val="00F469BA"/>
    <w:rsid w:val="00F559AD"/>
    <w:rsid w:val="00F70138"/>
    <w:rsid w:val="00F70FAB"/>
    <w:rsid w:val="00F77545"/>
    <w:rsid w:val="00F81706"/>
    <w:rsid w:val="00F81EEE"/>
    <w:rsid w:val="00F95807"/>
    <w:rsid w:val="00F978A4"/>
    <w:rsid w:val="00FA2FE5"/>
    <w:rsid w:val="00FA585C"/>
    <w:rsid w:val="00FA7DB6"/>
    <w:rsid w:val="00FB1F40"/>
    <w:rsid w:val="00FB515C"/>
    <w:rsid w:val="00FB618D"/>
    <w:rsid w:val="00FB77F7"/>
    <w:rsid w:val="00FC2A78"/>
    <w:rsid w:val="00FC3B29"/>
    <w:rsid w:val="00FD04B4"/>
    <w:rsid w:val="00FD6D4D"/>
    <w:rsid w:val="00FD7B07"/>
    <w:rsid w:val="00FE1CDC"/>
    <w:rsid w:val="00FE304B"/>
    <w:rsid w:val="00FF0250"/>
    <w:rsid w:val="00FF2218"/>
    <w:rsid w:val="030E21E2"/>
    <w:rsid w:val="03BD17EB"/>
    <w:rsid w:val="07E75B69"/>
    <w:rsid w:val="07EF41E0"/>
    <w:rsid w:val="085252A1"/>
    <w:rsid w:val="08CF38C3"/>
    <w:rsid w:val="0AA606C6"/>
    <w:rsid w:val="0B0F5E5E"/>
    <w:rsid w:val="0B182801"/>
    <w:rsid w:val="0BAF5903"/>
    <w:rsid w:val="0C2F2791"/>
    <w:rsid w:val="0CAF1630"/>
    <w:rsid w:val="0E2C5D4E"/>
    <w:rsid w:val="0E394029"/>
    <w:rsid w:val="0FAA5051"/>
    <w:rsid w:val="0FF02E0A"/>
    <w:rsid w:val="101410F0"/>
    <w:rsid w:val="106C003C"/>
    <w:rsid w:val="10EC6520"/>
    <w:rsid w:val="11BD0A03"/>
    <w:rsid w:val="11C5329A"/>
    <w:rsid w:val="12F20551"/>
    <w:rsid w:val="130E6364"/>
    <w:rsid w:val="139C527C"/>
    <w:rsid w:val="14337748"/>
    <w:rsid w:val="14345A85"/>
    <w:rsid w:val="153B3A16"/>
    <w:rsid w:val="15DE31B1"/>
    <w:rsid w:val="16A46C46"/>
    <w:rsid w:val="17694D0C"/>
    <w:rsid w:val="18546D98"/>
    <w:rsid w:val="19394AF8"/>
    <w:rsid w:val="19446C87"/>
    <w:rsid w:val="19840346"/>
    <w:rsid w:val="1C1F524A"/>
    <w:rsid w:val="1C3F771E"/>
    <w:rsid w:val="1CC64A38"/>
    <w:rsid w:val="1DC674F5"/>
    <w:rsid w:val="1EA200CF"/>
    <w:rsid w:val="1EC2587E"/>
    <w:rsid w:val="1EF84174"/>
    <w:rsid w:val="1F3E61AC"/>
    <w:rsid w:val="220021F6"/>
    <w:rsid w:val="225068B8"/>
    <w:rsid w:val="229B0C01"/>
    <w:rsid w:val="231363D9"/>
    <w:rsid w:val="245C0B6F"/>
    <w:rsid w:val="26516C60"/>
    <w:rsid w:val="267404C0"/>
    <w:rsid w:val="27AF26D9"/>
    <w:rsid w:val="2A0346F8"/>
    <w:rsid w:val="2BBE5229"/>
    <w:rsid w:val="2E2442D6"/>
    <w:rsid w:val="2EB41D6A"/>
    <w:rsid w:val="2F510529"/>
    <w:rsid w:val="30F9583B"/>
    <w:rsid w:val="34860F33"/>
    <w:rsid w:val="3488592C"/>
    <w:rsid w:val="34AB2CE4"/>
    <w:rsid w:val="35474E78"/>
    <w:rsid w:val="36226A42"/>
    <w:rsid w:val="362D288F"/>
    <w:rsid w:val="369B2CFE"/>
    <w:rsid w:val="36CC592D"/>
    <w:rsid w:val="372333E5"/>
    <w:rsid w:val="375F6D90"/>
    <w:rsid w:val="376E0FAE"/>
    <w:rsid w:val="393843C7"/>
    <w:rsid w:val="3AB344A1"/>
    <w:rsid w:val="3AB3709C"/>
    <w:rsid w:val="3AFA7D31"/>
    <w:rsid w:val="3B957497"/>
    <w:rsid w:val="3BA545F9"/>
    <w:rsid w:val="3BAE2BF5"/>
    <w:rsid w:val="3BC9725F"/>
    <w:rsid w:val="3C1B3DD7"/>
    <w:rsid w:val="3C287C5E"/>
    <w:rsid w:val="3D3F8B83"/>
    <w:rsid w:val="3E253199"/>
    <w:rsid w:val="409441EA"/>
    <w:rsid w:val="409C7DE4"/>
    <w:rsid w:val="41AF5F62"/>
    <w:rsid w:val="423708D2"/>
    <w:rsid w:val="427501A0"/>
    <w:rsid w:val="4319385D"/>
    <w:rsid w:val="43A24161"/>
    <w:rsid w:val="44711D77"/>
    <w:rsid w:val="452843EB"/>
    <w:rsid w:val="45942367"/>
    <w:rsid w:val="47BF10F5"/>
    <w:rsid w:val="481F368A"/>
    <w:rsid w:val="48C13DC9"/>
    <w:rsid w:val="48CC72DD"/>
    <w:rsid w:val="48F7776F"/>
    <w:rsid w:val="493A3948"/>
    <w:rsid w:val="496560E3"/>
    <w:rsid w:val="4A8D504C"/>
    <w:rsid w:val="4B855629"/>
    <w:rsid w:val="4BF52411"/>
    <w:rsid w:val="4C6D7BBD"/>
    <w:rsid w:val="4C9010D8"/>
    <w:rsid w:val="4CA11B42"/>
    <w:rsid w:val="4D1705BD"/>
    <w:rsid w:val="4DC96D98"/>
    <w:rsid w:val="4E05712B"/>
    <w:rsid w:val="4E1F64F8"/>
    <w:rsid w:val="4E5D713E"/>
    <w:rsid w:val="4F853B38"/>
    <w:rsid w:val="4FE97929"/>
    <w:rsid w:val="4FF22720"/>
    <w:rsid w:val="510E33F2"/>
    <w:rsid w:val="516C5C39"/>
    <w:rsid w:val="51D274A0"/>
    <w:rsid w:val="51DB6B72"/>
    <w:rsid w:val="52A52B87"/>
    <w:rsid w:val="52B61ED4"/>
    <w:rsid w:val="531A511F"/>
    <w:rsid w:val="53C77BB1"/>
    <w:rsid w:val="55205DC1"/>
    <w:rsid w:val="55412C41"/>
    <w:rsid w:val="5636159A"/>
    <w:rsid w:val="56401836"/>
    <w:rsid w:val="564D775E"/>
    <w:rsid w:val="56C32C09"/>
    <w:rsid w:val="57A85512"/>
    <w:rsid w:val="57E56738"/>
    <w:rsid w:val="58D010B4"/>
    <w:rsid w:val="599B2965"/>
    <w:rsid w:val="5AF91DCA"/>
    <w:rsid w:val="5C437B8B"/>
    <w:rsid w:val="5DB4774E"/>
    <w:rsid w:val="5DC40CFD"/>
    <w:rsid w:val="5F522355"/>
    <w:rsid w:val="5F6B7833"/>
    <w:rsid w:val="5FFBEA48"/>
    <w:rsid w:val="607E73F5"/>
    <w:rsid w:val="650C3920"/>
    <w:rsid w:val="651B6F9A"/>
    <w:rsid w:val="66B80BD1"/>
    <w:rsid w:val="68BD77C1"/>
    <w:rsid w:val="692C07F0"/>
    <w:rsid w:val="698840A0"/>
    <w:rsid w:val="6AB65339"/>
    <w:rsid w:val="6BBF1E09"/>
    <w:rsid w:val="6DD00D04"/>
    <w:rsid w:val="6F6F46BD"/>
    <w:rsid w:val="6FBA002B"/>
    <w:rsid w:val="71124944"/>
    <w:rsid w:val="72951678"/>
    <w:rsid w:val="72BA30DE"/>
    <w:rsid w:val="73F96952"/>
    <w:rsid w:val="740C7A8F"/>
    <w:rsid w:val="74C00B5E"/>
    <w:rsid w:val="75526A69"/>
    <w:rsid w:val="757B4304"/>
    <w:rsid w:val="758B7C6A"/>
    <w:rsid w:val="760627A6"/>
    <w:rsid w:val="761C7359"/>
    <w:rsid w:val="786A576E"/>
    <w:rsid w:val="789C6785"/>
    <w:rsid w:val="78F3760E"/>
    <w:rsid w:val="794977B0"/>
    <w:rsid w:val="7A5901C9"/>
    <w:rsid w:val="7C257C78"/>
    <w:rsid w:val="7CFA11F2"/>
    <w:rsid w:val="7CFB44C6"/>
    <w:rsid w:val="7D2B190F"/>
    <w:rsid w:val="7D42641B"/>
    <w:rsid w:val="7D6C1134"/>
    <w:rsid w:val="7D714E46"/>
    <w:rsid w:val="7D852187"/>
    <w:rsid w:val="7DD9767D"/>
    <w:rsid w:val="7E463312"/>
    <w:rsid w:val="7EE43DC5"/>
    <w:rsid w:val="7EED59EA"/>
    <w:rsid w:val="7F3A1A53"/>
    <w:rsid w:val="7F5C7D12"/>
    <w:rsid w:val="7FDB5A1D"/>
    <w:rsid w:val="7FFE9B96"/>
    <w:rsid w:val="BF365C73"/>
    <w:rsid w:val="EB620462"/>
    <w:rsid w:val="EBFE2DF5"/>
    <w:rsid w:val="EFCA9D28"/>
    <w:rsid w:val="EFFF58B2"/>
    <w:rsid w:val="F72F92E6"/>
    <w:rsid w:val="FE7E5643"/>
    <w:rsid w:val="FFBEF1D9"/>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sz w:val="28"/>
      <w:szCs w:val="20"/>
    </w:rPr>
  </w:style>
  <w:style w:type="paragraph" w:styleId="4">
    <w:name w:val="annotation text"/>
    <w:basedOn w:val="1"/>
    <w:link w:val="17"/>
    <w:qFormat/>
    <w:uiPriority w:val="0"/>
    <w:pPr>
      <w:jc w:val="left"/>
    </w:pPr>
  </w:style>
  <w:style w:type="paragraph" w:styleId="5">
    <w:name w:val="Body Text Indent"/>
    <w:basedOn w:val="1"/>
    <w:next w:val="1"/>
    <w:qFormat/>
    <w:uiPriority w:val="0"/>
    <w:pPr>
      <w:spacing w:line="200" w:lineRule="atLeast"/>
      <w:ind w:firstLine="301"/>
    </w:pPr>
    <w:rPr>
      <w:rFonts w:ascii="宋体" w:hAnsi="Courier New"/>
      <w:spacing w:val="-4"/>
      <w:sz w:val="18"/>
      <w:szCs w:val="20"/>
    </w:rPr>
  </w:style>
  <w:style w:type="paragraph" w:styleId="6">
    <w:name w:val="Plain Text"/>
    <w:basedOn w:val="1"/>
    <w:qFormat/>
    <w:uiPriority w:val="0"/>
    <w:rPr>
      <w:rFonts w:ascii="宋体" w:hAnsi="Courier New"/>
      <w:kern w:val="0"/>
      <w:sz w:val="20"/>
    </w:rPr>
  </w:style>
  <w:style w:type="paragraph" w:styleId="7">
    <w:name w:val="Balloon Text"/>
    <w:basedOn w:val="1"/>
    <w:link w:val="18"/>
    <w:qFormat/>
    <w:uiPriority w:val="0"/>
    <w:rPr>
      <w:sz w:val="18"/>
      <w:szCs w:val="18"/>
    </w:rPr>
  </w:style>
  <w:style w:type="paragraph" w:styleId="8">
    <w:name w:val="footer"/>
    <w:basedOn w:val="1"/>
    <w:link w:val="19"/>
    <w:qFormat/>
    <w:uiPriority w:val="0"/>
    <w:pPr>
      <w:tabs>
        <w:tab w:val="center" w:pos="4153"/>
        <w:tab w:val="right" w:pos="8306"/>
      </w:tabs>
      <w:snapToGrid w:val="0"/>
      <w:jc w:val="left"/>
    </w:pPr>
    <w:rPr>
      <w:sz w:val="18"/>
      <w:szCs w:val="18"/>
    </w:rPr>
  </w:style>
  <w:style w:type="paragraph" w:styleId="9">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1">
    <w:name w:val="annotation subject"/>
    <w:basedOn w:val="4"/>
    <w:next w:val="4"/>
    <w:link w:val="21"/>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annotation reference"/>
    <w:qFormat/>
    <w:uiPriority w:val="0"/>
    <w:rPr>
      <w:sz w:val="21"/>
      <w:szCs w:val="21"/>
    </w:rPr>
  </w:style>
  <w:style w:type="character" w:customStyle="1" w:styleId="17">
    <w:name w:val="批注文字 Char"/>
    <w:link w:val="4"/>
    <w:qFormat/>
    <w:uiPriority w:val="0"/>
    <w:rPr>
      <w:kern w:val="2"/>
      <w:sz w:val="21"/>
      <w:szCs w:val="24"/>
    </w:rPr>
  </w:style>
  <w:style w:type="character" w:customStyle="1" w:styleId="18">
    <w:name w:val="批注框文本 Char"/>
    <w:link w:val="7"/>
    <w:qFormat/>
    <w:uiPriority w:val="0"/>
    <w:rPr>
      <w:kern w:val="2"/>
      <w:sz w:val="18"/>
      <w:szCs w:val="18"/>
    </w:rPr>
  </w:style>
  <w:style w:type="character" w:customStyle="1" w:styleId="19">
    <w:name w:val="页脚 Char"/>
    <w:link w:val="8"/>
    <w:qFormat/>
    <w:uiPriority w:val="0"/>
    <w:rPr>
      <w:kern w:val="2"/>
      <w:sz w:val="18"/>
      <w:szCs w:val="18"/>
    </w:rPr>
  </w:style>
  <w:style w:type="character" w:customStyle="1" w:styleId="20">
    <w:name w:val="页眉 Char"/>
    <w:link w:val="9"/>
    <w:qFormat/>
    <w:uiPriority w:val="0"/>
    <w:rPr>
      <w:kern w:val="2"/>
      <w:sz w:val="18"/>
      <w:szCs w:val="18"/>
    </w:rPr>
  </w:style>
  <w:style w:type="character" w:customStyle="1" w:styleId="21">
    <w:name w:val="批注主题 Char"/>
    <w:link w:val="11"/>
    <w:qFormat/>
    <w:uiPriority w:val="0"/>
    <w:rPr>
      <w:b/>
      <w:bCs/>
      <w:kern w:val="2"/>
      <w:sz w:val="21"/>
      <w:szCs w:val="24"/>
    </w:rPr>
  </w:style>
  <w:style w:type="paragraph" w:customStyle="1" w:styleId="22">
    <w:name w:val="Normal_4"/>
    <w:qFormat/>
    <w:uiPriority w:val="0"/>
    <w:rPr>
      <w:rFonts w:ascii="黑体" w:hAnsi="黑体" w:eastAsia="黑体" w:cs="Times New Roman"/>
      <w:b/>
      <w:sz w:val="32"/>
      <w:szCs w:val="24"/>
      <w:lang w:val="en-US" w:eastAsia="zh-CN" w:bidi="ar-SA"/>
    </w:rPr>
  </w:style>
  <w:style w:type="paragraph" w:customStyle="1" w:styleId="23">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197</Words>
  <Characters>1129</Characters>
  <Lines>9</Lines>
  <Paragraphs>2</Paragraphs>
  <TotalTime>3</TotalTime>
  <ScaleCrop>false</ScaleCrop>
  <LinksUpToDate>false</LinksUpToDate>
  <CharactersWithSpaces>1324</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2021-08-27T17:39:00Z</dcterms:created>
  <dc:creator>童晓蕾</dc:creator>
  <cp:lastModifiedBy>翟昕晨</cp:lastModifiedBy>
  <cp:lastPrinted>2020-04-17T00:32:00Z</cp:lastPrinted>
  <dcterms:modified xsi:type="dcterms:W3CDTF">2026-05-15T02:47:24Z</dcterms:modified>
  <dc:title>浙江工业大学屏峰校区体育馆灯光改造工程监理</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A8CF2B64BAF24D17B1001CB0787B339E</vt:lpwstr>
  </property>
</Properties>
</file>