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eastAsia" w:ascii="方正小标宋简体" w:hAnsi="黑体" w:eastAsia="方正小标宋简体"/>
          <w:sz w:val="44"/>
          <w:szCs w:val="44"/>
        </w:rPr>
      </w:pPr>
      <w:r>
        <w:rPr>
          <w:rFonts w:hint="default" w:ascii="方正小标宋简体" w:hAnsi="黑体" w:eastAsia="方正小标宋简体"/>
          <w:sz w:val="44"/>
          <w:szCs w:val="44"/>
          <w:lang w:eastAsia="zh-CN"/>
        </w:rPr>
        <w:t>浙商银行南京盐城分行2026-2027年现金尾箱储存及配送业务采购</w:t>
      </w:r>
      <w:r>
        <w:rPr>
          <w:rFonts w:hint="eastAsia" w:ascii="方正小标宋简体" w:hAnsi="黑体" w:eastAsia="方正小标宋简体"/>
          <w:sz w:val="44"/>
          <w:szCs w:val="44"/>
        </w:rPr>
        <w:t>项目</w:t>
      </w:r>
    </w:p>
    <w:p>
      <w:pPr>
        <w:adjustRightInd w:val="0"/>
        <w:snapToGrid w:val="0"/>
        <w:spacing w:line="360" w:lineRule="auto"/>
        <w:jc w:val="center"/>
        <w:rPr>
          <w:rFonts w:hint="default" w:ascii="方正小标宋简体" w:hAnsi="黑体" w:eastAsia="方正小标宋简体"/>
          <w:b/>
          <w:sz w:val="44"/>
          <w:szCs w:val="44"/>
        </w:rPr>
      </w:pPr>
      <w:r>
        <w:rPr>
          <w:rFonts w:hint="eastAsia" w:ascii="方正小标宋简体" w:hAnsi="黑体" w:eastAsia="方正小标宋简体"/>
          <w:sz w:val="44"/>
          <w:szCs w:val="44"/>
        </w:rPr>
        <w:t>采购说明书</w:t>
      </w:r>
    </w:p>
    <w:p>
      <w:pPr>
        <w:pStyle w:val="11"/>
        <w:shd w:val="clear" w:color="auto" w:fill="FFFFFF"/>
        <w:autoSpaceDE w:val="0"/>
        <w:adjustRightInd w:val="0"/>
        <w:spacing w:before="0" w:beforeAutospacing="0"/>
        <w:ind w:firstLine="640" w:firstLineChars="200"/>
        <w:contextualSpacing/>
        <w:jc w:val="both"/>
        <w:rPr>
          <w:rFonts w:hint="eastAsia" w:ascii="仿宋" w:hAnsi="仿宋" w:eastAsia="仿宋"/>
          <w:sz w:val="32"/>
          <w:szCs w:val="32"/>
          <w:u w:val="single"/>
        </w:rPr>
      </w:pPr>
      <w:r>
        <w:rPr>
          <w:rFonts w:hint="eastAsia" w:ascii="仿宋" w:hAnsi="仿宋" w:eastAsia="仿宋"/>
          <w:sz w:val="32"/>
          <w:szCs w:val="32"/>
        </w:rPr>
        <w:t>致：</w:t>
      </w:r>
      <w:r>
        <w:rPr>
          <w:rFonts w:hint="default" w:ascii="仿宋" w:hAnsi="仿宋" w:eastAsia="仿宋"/>
          <w:sz w:val="32"/>
          <w:szCs w:val="32"/>
        </w:rPr>
        <w:t>盐城金服科技有限公司</w:t>
      </w:r>
    </w:p>
    <w:p>
      <w:pPr>
        <w:pStyle w:val="11"/>
        <w:shd w:val="clear" w:color="auto" w:fill="FFFFFF"/>
        <w:autoSpaceDE w:val="0"/>
        <w:adjustRightInd w:val="0"/>
        <w:spacing w:before="0" w:beforeAutospacing="0"/>
        <w:ind w:firstLine="640" w:firstLineChars="200"/>
        <w:contextualSpacing/>
        <w:jc w:val="both"/>
        <w:rPr>
          <w:rFonts w:hint="eastAsia" w:ascii="仿宋" w:hAnsi="仿宋" w:eastAsia="仿宋"/>
          <w:sz w:val="32"/>
          <w:szCs w:val="32"/>
        </w:rPr>
      </w:pPr>
      <w:r>
        <w:rPr>
          <w:rFonts w:hint="eastAsia" w:ascii="仿宋" w:hAnsi="仿宋" w:eastAsia="仿宋"/>
          <w:sz w:val="32"/>
          <w:szCs w:val="32"/>
        </w:rPr>
        <w:t>根据国家法律法规及我行相关规章制度等有关规定，就</w:t>
      </w:r>
      <w:r>
        <w:rPr>
          <w:rFonts w:hint="eastAsia" w:ascii="仿宋" w:hAnsi="仿宋" w:eastAsia="仿宋"/>
          <w:sz w:val="32"/>
          <w:szCs w:val="32"/>
          <w:lang w:val="en-US" w:eastAsia="zh-CN"/>
        </w:rPr>
        <w:t>浙商银行南京盐城分行2026-2027年现金尾箱储存及配送业务采购</w:t>
      </w:r>
      <w:r>
        <w:rPr>
          <w:rFonts w:hint="eastAsia" w:ascii="仿宋" w:hAnsi="仿宋" w:eastAsia="仿宋"/>
          <w:sz w:val="32"/>
          <w:szCs w:val="32"/>
        </w:rPr>
        <w:t>项目进行采购，现将有关事项说明如下：</w:t>
      </w:r>
    </w:p>
    <w:p>
      <w:pPr>
        <w:pStyle w:val="11"/>
        <w:shd w:val="clear" w:color="auto" w:fill="FFFFFF"/>
        <w:autoSpaceDE w:val="0"/>
        <w:adjustRightInd w:val="0"/>
        <w:spacing w:before="0" w:beforeAutospacing="0"/>
        <w:ind w:firstLine="640" w:firstLineChars="200"/>
        <w:contextualSpacing/>
        <w:jc w:val="both"/>
        <w:rPr>
          <w:rFonts w:hint="eastAsia" w:ascii="仿宋" w:hAnsi="仿宋" w:eastAsia="仿宋"/>
          <w:sz w:val="32"/>
          <w:szCs w:val="32"/>
        </w:rPr>
      </w:pPr>
      <w:r>
        <w:rPr>
          <w:rFonts w:hint="eastAsia" w:ascii="黑体" w:hAnsi="黑体" w:eastAsia="黑体"/>
          <w:sz w:val="32"/>
          <w:szCs w:val="32"/>
        </w:rPr>
        <w:t>一、项目编号：</w:t>
      </w:r>
      <w:r>
        <w:rPr>
          <w:rFonts w:hint="eastAsia" w:ascii="仿宋" w:hAnsi="仿宋" w:eastAsia="仿宋"/>
          <w:sz w:val="32"/>
          <w:szCs w:val="32"/>
          <w:lang w:val="en-US" w:eastAsia="zh-CN"/>
        </w:rPr>
        <w:t>NJJC2026YYDYb009</w:t>
      </w:r>
    </w:p>
    <w:p>
      <w:pPr>
        <w:pStyle w:val="11"/>
        <w:shd w:val="clear" w:color="auto" w:fill="FFFFFF"/>
        <w:autoSpaceDE w:val="0"/>
        <w:adjustRightInd w:val="0"/>
        <w:spacing w:before="0" w:beforeAutospacing="0"/>
        <w:ind w:firstLine="640" w:firstLineChars="200"/>
        <w:contextualSpacing/>
        <w:jc w:val="both"/>
        <w:rPr>
          <w:rFonts w:hint="default" w:ascii="仿宋" w:hAnsi="仿宋" w:eastAsia="黑体"/>
          <w:sz w:val="32"/>
          <w:szCs w:val="32"/>
          <w:lang w:val="en-US" w:eastAsia="zh-CN"/>
        </w:rPr>
      </w:pPr>
      <w:r>
        <w:rPr>
          <w:rFonts w:hint="eastAsia" w:ascii="黑体" w:hAnsi="黑体" w:eastAsia="黑体"/>
          <w:sz w:val="32"/>
          <w:szCs w:val="32"/>
        </w:rPr>
        <w:t>二、项目名称</w:t>
      </w:r>
      <w:r>
        <w:rPr>
          <w:rFonts w:hint="eastAsia" w:ascii="黑体" w:hAnsi="黑体" w:eastAsia="黑体"/>
          <w:sz w:val="32"/>
          <w:szCs w:val="32"/>
          <w:lang w:eastAsia="zh-CN"/>
        </w:rPr>
        <w:t>：</w:t>
      </w:r>
      <w:r>
        <w:rPr>
          <w:rFonts w:hint="eastAsia" w:ascii="仿宋" w:hAnsi="仿宋" w:eastAsia="仿宋" w:cs="仿宋"/>
          <w:sz w:val="32"/>
          <w:szCs w:val="32"/>
          <w:lang w:val="en-US" w:eastAsia="zh-CN"/>
        </w:rPr>
        <w:t>浙商银行南京盐城分行2026-2027年现金尾箱储存及配送业务采购</w:t>
      </w:r>
    </w:p>
    <w:p>
      <w:pPr>
        <w:pStyle w:val="11"/>
        <w:shd w:val="clear" w:color="auto" w:fill="FFFFFF"/>
        <w:autoSpaceDE w:val="0"/>
        <w:adjustRightInd w:val="0"/>
        <w:spacing w:before="0" w:beforeAutospacing="0"/>
        <w:ind w:firstLine="640" w:firstLineChars="200"/>
        <w:contextualSpacing/>
        <w:jc w:val="both"/>
        <w:rPr>
          <w:rFonts w:hint="eastAsia" w:ascii="仿宋" w:hAnsi="仿宋" w:eastAsia="仿宋"/>
          <w:sz w:val="32"/>
          <w:szCs w:val="32"/>
        </w:rPr>
      </w:pPr>
      <w:r>
        <w:rPr>
          <w:rFonts w:hint="eastAsia" w:ascii="黑体" w:hAnsi="黑体" w:eastAsia="黑体"/>
          <w:sz w:val="32"/>
          <w:szCs w:val="32"/>
        </w:rPr>
        <w:t>三、供应商资格要求</w:t>
      </w:r>
    </w:p>
    <w:p>
      <w:pPr>
        <w:spacing w:line="360" w:lineRule="auto"/>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1.在中华人民共和国境内注册，具有独立承担民事责任的能力（提供经由法人授权的授权书）；</w:t>
      </w:r>
    </w:p>
    <w:p>
      <w:pPr>
        <w:spacing w:line="360" w:lineRule="auto"/>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lang w:val="en-US" w:eastAsia="zh-CN"/>
        </w:rPr>
        <w:t>2.投标人未被“中国执行信息公开网”（https://zxgk.court.gov.cn/shixin/）列入失信被执行人、未被“信用中国”（https://www.creditchina.gov.cn）列入重大税收违法失信主体、未被“中国政府采购网”（https://www.ccgp.gov.cn）列入政府采购严重违法失信行为记录名单、未被“国家企业信用信息公示系统”</w:t>
      </w:r>
      <w:r>
        <w:rPr>
          <w:rFonts w:hint="eastAsia" w:ascii="仿宋_GB2312" w:hAnsi="仿宋_GB2312" w:eastAsia="仿宋_GB2312" w:cs="仿宋_GB2312"/>
          <w:color w:val="auto"/>
          <w:sz w:val="32"/>
          <w:szCs w:val="32"/>
          <w:highlight w:val="none"/>
          <w:lang w:val="en-US" w:eastAsia="zh-CN"/>
        </w:rPr>
        <w:t>（https://www.gsxt.gov.cn/index.html）列入严重违法失信企业名单；</w:t>
      </w:r>
    </w:p>
    <w:p>
      <w:pPr>
        <w:pStyle w:val="11"/>
        <w:shd w:val="clear" w:color="auto" w:fill="FFFFFF"/>
        <w:autoSpaceDE w:val="0"/>
        <w:adjustRightInd w:val="0"/>
        <w:spacing w:before="0" w:beforeAutospacing="0" w:after="0" w:afterAutospacing="0"/>
        <w:ind w:firstLine="640" w:firstLineChars="200"/>
        <w:contextualSpacing/>
        <w:jc w:val="both"/>
        <w:rPr>
          <w:rFonts w:hint="eastAsia" w:ascii="仿宋_GB2312" w:hAnsi="仿宋" w:eastAsia="仿宋_GB2312"/>
          <w:sz w:val="32"/>
          <w:szCs w:val="32"/>
          <w:highlight w:val="none"/>
        </w:rPr>
      </w:pPr>
      <w:r>
        <w:rPr>
          <w:rFonts w:hint="eastAsia" w:ascii="仿宋_GB2312" w:hAnsi="仿宋" w:eastAsia="仿宋_GB2312"/>
          <w:sz w:val="32"/>
          <w:szCs w:val="32"/>
          <w:highlight w:val="none"/>
        </w:rPr>
        <w:t>3.</w:t>
      </w:r>
      <w:r>
        <w:rPr>
          <w:rFonts w:hint="eastAsia" w:ascii="仿宋_GB2312" w:hAnsi="仿宋" w:eastAsia="仿宋_GB2312"/>
          <w:sz w:val="32"/>
          <w:szCs w:val="32"/>
          <w:highlight w:val="none"/>
          <w:lang w:eastAsia="zh-CN"/>
        </w:rPr>
        <w:t>参加招标活动前三年内（新成立不满三年的单位自成立之日起算）</w:t>
      </w:r>
      <w:r>
        <w:rPr>
          <w:rFonts w:hint="eastAsia" w:ascii="仿宋_GB2312" w:hAnsi="仿宋" w:eastAsia="仿宋_GB2312"/>
          <w:sz w:val="32"/>
          <w:szCs w:val="32"/>
          <w:highlight w:val="none"/>
        </w:rPr>
        <w:t>在经营活动中没有重大违法记录；</w:t>
      </w:r>
    </w:p>
    <w:p>
      <w:pPr>
        <w:numPr>
          <w:ilvl w:val="0"/>
          <w:numId w:val="0"/>
        </w:numPr>
        <w:spacing w:line="360" w:lineRule="auto"/>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4.本项目不允许联合体投标。</w:t>
      </w:r>
    </w:p>
    <w:p>
      <w:pPr>
        <w:pStyle w:val="11"/>
        <w:numPr>
          <w:ilvl w:val="0"/>
          <w:numId w:val="1"/>
        </w:numPr>
        <w:shd w:val="clear" w:color="auto" w:fill="FFFFFF"/>
        <w:autoSpaceDE w:val="0"/>
        <w:adjustRightInd w:val="0"/>
        <w:snapToGrid w:val="0"/>
        <w:ind w:firstLine="640" w:firstLineChars="200"/>
        <w:jc w:val="both"/>
        <w:rPr>
          <w:rFonts w:hint="eastAsia" w:ascii="黑体" w:hAnsi="黑体" w:eastAsia="黑体"/>
          <w:sz w:val="32"/>
          <w:szCs w:val="32"/>
          <w:highlight w:val="none"/>
        </w:rPr>
      </w:pPr>
      <w:r>
        <w:rPr>
          <w:rFonts w:hint="eastAsia" w:ascii="黑体" w:hAnsi="黑体" w:eastAsia="黑体"/>
          <w:sz w:val="32"/>
          <w:szCs w:val="32"/>
          <w:highlight w:val="none"/>
        </w:rPr>
        <w:t>采购需求</w:t>
      </w:r>
    </w:p>
    <w:p>
      <w:pPr>
        <w:spacing w:line="360" w:lineRule="auto"/>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 xml:space="preserve">（一）技术要求 </w:t>
      </w:r>
    </w:p>
    <w:p>
      <w:pPr>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内容及标准同“三、项目基本内容”</w:t>
      </w:r>
    </w:p>
    <w:p>
      <w:pPr>
        <w:spacing w:line="360" w:lineRule="auto"/>
        <w:ind w:firstLine="640" w:firstLineChars="200"/>
        <w:rPr>
          <w:rFonts w:ascii="楷体_GB2312" w:hAnsi="楷体_GB2312" w:eastAsia="楷体_GB2312" w:cs="楷体_GB2312"/>
          <w:sz w:val="32"/>
          <w:szCs w:val="32"/>
        </w:rPr>
      </w:pPr>
      <w:r>
        <w:rPr>
          <w:rFonts w:hint="eastAsia" w:ascii="楷体_GB2312" w:hAnsi="楷体_GB2312" w:eastAsia="楷体_GB2312" w:cs="楷体_GB2312"/>
          <w:sz w:val="32"/>
          <w:szCs w:val="32"/>
        </w:rPr>
        <w:t xml:space="preserve">（二）资信商务要求 </w:t>
      </w:r>
    </w:p>
    <w:p>
      <w:pPr>
        <w:tabs>
          <w:tab w:val="left" w:pos="4950"/>
        </w:tabs>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1.对盐城金服科技有限公司的基本要求</w:t>
      </w:r>
    </w:p>
    <w:p>
      <w:pPr>
        <w:spacing w:line="4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盐城金服科技有限公司应使用符合国家金库标准的库房、现金交接、清分场所及附属设施，安装视频监控、红外监控、110联动报警、震动报警、消防等安全系统，对进出安全监控区的人员进行身份核查，建立安全的工作环境，保证现金的安全。</w:t>
      </w:r>
    </w:p>
    <w:p>
      <w:pPr>
        <w:tabs>
          <w:tab w:val="left" w:pos="2340"/>
        </w:tabs>
        <w:spacing w:line="460" w:lineRule="exact"/>
        <w:ind w:firstLine="547" w:firstLineChars="171"/>
        <w:rPr>
          <w:rFonts w:ascii="仿宋_GB2312" w:hAnsi="宋体" w:eastAsia="仿宋_GB2312" w:cs="宋体"/>
          <w:sz w:val="28"/>
          <w:szCs w:val="28"/>
        </w:rPr>
      </w:pPr>
      <w:r>
        <w:rPr>
          <w:rFonts w:hint="eastAsia" w:ascii="仿宋_GB2312" w:hAnsi="仿宋_GB2312" w:eastAsia="仿宋_GB2312" w:cs="仿宋_GB2312"/>
          <w:sz w:val="32"/>
          <w:szCs w:val="32"/>
        </w:rPr>
        <w:t>（2）乙方应建立内部风险监管机制，并采用定期或不定期方式对业务人员的操作是否合规及风险控制措施的执行情况进行严格检查。</w:t>
      </w:r>
    </w:p>
    <w:p>
      <w:pPr>
        <w:spacing w:line="4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（3）乙方应教育、督促乙方人员不得以任何形式向他人提供或泄露甲方的商业秘密（国家金融管理机构及执法部门，依法提出的要求除外），保证甲方业务利益不受损失。</w:t>
      </w:r>
    </w:p>
    <w:p>
      <w:pPr>
        <w:spacing w:line="4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（4）乙方应对现金保管、交接、开箱、清分、装箱等处理各流程实施各个过程进行无死角全程视频监控，保持监控录像的最短时间不低于90天。</w:t>
      </w:r>
    </w:p>
    <w:p>
      <w:pPr>
        <w:spacing w:line="4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（5）乙方对甲方上缴现金、款箱、尾箱在乙方管理期间各环节安全负责，在此过程中发生的被盗、被抢造成的损失由乙方承担赔偿责任。</w:t>
      </w:r>
    </w:p>
    <w:p>
      <w:pPr>
        <w:tabs>
          <w:tab w:val="left" w:pos="4950"/>
        </w:tabs>
        <w:spacing w:line="360" w:lineRule="auto"/>
        <w:ind w:firstLine="640" w:firstLineChars="200"/>
        <w:rPr>
          <w:rFonts w:hint="eastAsia" w:ascii="仿宋_GB2312" w:eastAsia="仿宋_GB2312"/>
          <w:sz w:val="32"/>
          <w:szCs w:val="32"/>
          <w:lang w:eastAsia="zh-CN"/>
        </w:rPr>
      </w:pPr>
      <w:r>
        <w:rPr>
          <w:rFonts w:hint="eastAsia" w:ascii="仿宋_GB2312" w:eastAsia="仿宋_GB2312"/>
          <w:sz w:val="32"/>
          <w:szCs w:val="32"/>
        </w:rPr>
        <w:t>2.对</w:t>
      </w:r>
      <w:r>
        <w:rPr>
          <w:rFonts w:hint="eastAsia" w:ascii="仿宋_GB2312" w:hAnsi="仿宋_GB2312" w:eastAsia="仿宋_GB2312" w:cs="仿宋_GB2312"/>
          <w:sz w:val="32"/>
          <w:szCs w:val="32"/>
          <w:lang w:eastAsia="zh-CN"/>
        </w:rPr>
        <w:t>盐城市保安服务</w:t>
      </w:r>
      <w:r>
        <w:rPr>
          <w:rFonts w:hint="eastAsia" w:ascii="仿宋_GB2312" w:hAnsi="仿宋_GB2312" w:eastAsia="仿宋_GB2312" w:cs="仿宋_GB2312"/>
          <w:sz w:val="32"/>
          <w:szCs w:val="32"/>
        </w:rPr>
        <w:t>有限公司服务</w:t>
      </w:r>
      <w:r>
        <w:rPr>
          <w:rFonts w:hint="eastAsia" w:ascii="仿宋_GB2312" w:eastAsia="仿宋_GB2312"/>
          <w:sz w:val="32"/>
          <w:szCs w:val="32"/>
        </w:rPr>
        <w:t>的</w:t>
      </w:r>
      <w:r>
        <w:rPr>
          <w:rFonts w:hint="eastAsia" w:ascii="仿宋_GB2312" w:eastAsia="仿宋_GB2312"/>
          <w:sz w:val="32"/>
          <w:szCs w:val="32"/>
          <w:lang w:eastAsia="zh-CN"/>
        </w:rPr>
        <w:t>基本要求</w:t>
      </w:r>
    </w:p>
    <w:p>
      <w:pPr>
        <w:spacing w:line="4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（1）送包：我分行网点日终后，由</w:t>
      </w:r>
      <w:r>
        <w:rPr>
          <w:rFonts w:hint="eastAsia" w:ascii="仿宋_GB2312" w:hAnsi="仿宋_GB2312" w:eastAsia="仿宋_GB2312" w:cs="仿宋_GB2312"/>
          <w:sz w:val="32"/>
          <w:szCs w:val="32"/>
          <w:lang w:eastAsia="zh-CN"/>
        </w:rPr>
        <w:t>盐城市保安服务</w:t>
      </w:r>
      <w:r>
        <w:rPr>
          <w:rFonts w:hint="eastAsia" w:ascii="仿宋_GB2312" w:hAnsi="仿宋_GB2312" w:eastAsia="仿宋_GB2312" w:cs="仿宋_GB2312"/>
          <w:sz w:val="32"/>
          <w:szCs w:val="32"/>
        </w:rPr>
        <w:t>有限公司派押运车辆及提解员至我分行网点收取款箱。交接前由我分行网点人员核验提解员身份，确认无误后办理交接。交接过程由双方双人通过交接系统共同完成，一方单人交接对方可以拒绝进行。系统交接完成前款箱安全由交出方负责，交接完成后责任转移至接收方。</w:t>
      </w:r>
    </w:p>
    <w:p>
      <w:pPr>
        <w:spacing w:line="4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（2）接包：我分行网点交接人员与</w:t>
      </w:r>
      <w:r>
        <w:rPr>
          <w:rFonts w:hint="eastAsia" w:ascii="仿宋_GB2312" w:hAnsi="仿宋_GB2312" w:eastAsia="仿宋_GB2312" w:cs="仿宋_GB2312"/>
          <w:sz w:val="32"/>
          <w:szCs w:val="32"/>
          <w:lang w:eastAsia="zh-CN"/>
        </w:rPr>
        <w:t>盐城市保安服务</w:t>
      </w:r>
      <w:r>
        <w:rPr>
          <w:rFonts w:hint="eastAsia" w:ascii="仿宋_GB2312" w:hAnsi="仿宋_GB2312" w:eastAsia="仿宋_GB2312" w:cs="仿宋_GB2312"/>
          <w:sz w:val="32"/>
          <w:szCs w:val="32"/>
        </w:rPr>
        <w:t>有限公司提解员双方双人通过“平台”办理交接，交接完成后款箱安全责任转移至我分行。我分行网点应在交接后1小时内在监控下开箱核验现金实物与《现金配款单》及“平台”提交的下解申请内容是否相符，核验无误后在“平台”进行确认。如有差错立即通知中心查找原因。如未在上述时间内作相符确认或误差通知的，视同认可该笔业务无误。</w:t>
      </w:r>
    </w:p>
    <w:p>
      <w:pPr>
        <w:spacing w:line="4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（3）尾箱储存：我分行人员接到尾箱后应检查箱体有无破损、开锁等情况，无误后办理交接。双方双人通过“平台”办理交接，交接完成后责任转移至我分行。</w:t>
      </w:r>
    </w:p>
    <w:p>
      <w:pPr>
        <w:widowControl/>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3.合同订立要求</w:t>
      </w:r>
    </w:p>
    <w:p>
      <w:pPr>
        <w:widowControl/>
        <w:snapToGrid w:val="0"/>
        <w:spacing w:line="360" w:lineRule="auto"/>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rPr>
        <w:t>是否框架协</w:t>
      </w:r>
      <w:r>
        <w:rPr>
          <w:rFonts w:hint="eastAsia" w:ascii="仿宋_GB2312" w:hAnsi="仿宋_GB2312" w:eastAsia="仿宋_GB2312" w:cs="仿宋_GB2312"/>
          <w:sz w:val="32"/>
          <w:szCs w:val="32"/>
          <w:highlight w:val="none"/>
        </w:rPr>
        <w:t xml:space="preserve">议： </w:t>
      </w:r>
      <w:r>
        <w:rPr>
          <w:rFonts w:hint="eastAsia" w:ascii="仿宋_GB2312" w:hAnsi="仿宋_GB2312" w:eastAsia="仿宋_GB2312" w:cs="仿宋_GB2312"/>
          <w:sz w:val="32"/>
          <w:szCs w:val="32"/>
          <w:highlight w:val="none"/>
        </w:rPr>
        <w:sym w:font="Wingdings 2" w:char="0052"/>
      </w:r>
      <w:r>
        <w:rPr>
          <w:rFonts w:hint="eastAsia" w:ascii="仿宋_GB2312" w:hAnsi="仿宋_GB2312" w:eastAsia="仿宋_GB2312" w:cs="仿宋_GB2312"/>
          <w:sz w:val="32"/>
          <w:szCs w:val="32"/>
          <w:highlight w:val="none"/>
        </w:rPr>
        <w:t xml:space="preserve">是    </w:t>
      </w:r>
      <w:r>
        <w:rPr>
          <w:rFonts w:hint="eastAsia" w:ascii="仿宋_GB2312" w:hAnsi="仿宋_GB2312" w:eastAsia="仿宋_GB2312" w:cs="仿宋_GB2312"/>
          <w:sz w:val="32"/>
          <w:szCs w:val="32"/>
          <w:highlight w:val="none"/>
        </w:rPr>
        <w:sym w:font="Wingdings 2" w:char="00A3"/>
      </w:r>
      <w:r>
        <w:rPr>
          <w:rFonts w:hint="eastAsia" w:ascii="仿宋_GB2312" w:hAnsi="仿宋_GB2312" w:eastAsia="仿宋_GB2312" w:cs="仿宋_GB2312"/>
          <w:sz w:val="32"/>
          <w:szCs w:val="32"/>
          <w:highlight w:val="none"/>
        </w:rPr>
        <w:t>否</w:t>
      </w:r>
    </w:p>
    <w:p>
      <w:pPr>
        <w:widowControl/>
        <w:snapToGrid w:val="0"/>
        <w:spacing w:line="36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合同定价模式：</w:t>
      </w:r>
    </w:p>
    <w:p>
      <w:pPr>
        <w:widowControl/>
        <w:snapToGrid w:val="0"/>
        <w:spacing w:line="360" w:lineRule="auto"/>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sz w:val="32"/>
          <w:szCs w:val="32"/>
        </w:rPr>
        <w:sym w:font="Wingdings 2" w:char="00A3"/>
      </w:r>
      <w:r>
        <w:rPr>
          <w:rFonts w:hint="eastAsia" w:ascii="仿宋_GB2312" w:hAnsi="仿宋_GB2312" w:eastAsia="仿宋_GB2312" w:cs="仿宋_GB2312"/>
          <w:color w:val="000000"/>
          <w:kern w:val="0"/>
          <w:sz w:val="32"/>
          <w:szCs w:val="32"/>
        </w:rPr>
        <w:t xml:space="preserve">固定总价   </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kern w:val="0"/>
          <w:sz w:val="32"/>
          <w:szCs w:val="32"/>
        </w:rPr>
        <w:t>成本补偿（应明确并细化核算方式）</w:t>
      </w:r>
    </w:p>
    <w:p>
      <w:pPr>
        <w:widowControl/>
        <w:snapToGrid w:val="0"/>
        <w:spacing w:line="360" w:lineRule="auto"/>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sz w:val="32"/>
          <w:szCs w:val="32"/>
        </w:rPr>
        <w:sym w:font="Wingdings 2" w:char="0052"/>
      </w:r>
      <w:r>
        <w:rPr>
          <w:rFonts w:hint="eastAsia" w:ascii="仿宋_GB2312" w:hAnsi="仿宋_GB2312" w:eastAsia="仿宋_GB2312" w:cs="仿宋_GB2312"/>
          <w:color w:val="000000"/>
          <w:kern w:val="0"/>
          <w:sz w:val="32"/>
          <w:szCs w:val="32"/>
        </w:rPr>
        <w:t xml:space="preserve">固定单价   </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kern w:val="0"/>
          <w:sz w:val="32"/>
          <w:szCs w:val="32"/>
        </w:rPr>
        <w:t>绩效激励（应明确并细化核算方式）</w:t>
      </w:r>
    </w:p>
    <w:p>
      <w:pPr>
        <w:widowControl/>
        <w:snapToGrid w:val="0"/>
        <w:spacing w:line="360" w:lineRule="auto"/>
        <w:ind w:firstLine="640" w:firstLineChars="200"/>
        <w:rPr>
          <w:rFonts w:hint="eastAsia" w:ascii="黑体" w:hAnsi="黑体" w:eastAsia="黑体" w:cs="宋体"/>
          <w:kern w:val="0"/>
          <w:sz w:val="32"/>
          <w:szCs w:val="32"/>
        </w:rPr>
      </w:pPr>
      <w:r>
        <w:rPr>
          <w:rFonts w:hint="eastAsia" w:ascii="仿宋_GB2312" w:hAnsi="仿宋_GB2312" w:eastAsia="仿宋_GB2312" w:cs="仿宋_GB2312"/>
          <w:color w:val="000000"/>
          <w:kern w:val="0"/>
          <w:sz w:val="32"/>
          <w:szCs w:val="32"/>
        </w:rPr>
        <w:t>合同期限：</w:t>
      </w:r>
      <w:r>
        <w:rPr>
          <w:rFonts w:hint="eastAsia" w:ascii="仿宋_GB2312" w:hAnsi="仿宋_GB2312" w:eastAsia="仿宋_GB2312" w:cs="仿宋_GB2312"/>
          <w:color w:val="000000"/>
          <w:kern w:val="0"/>
          <w:sz w:val="32"/>
          <w:szCs w:val="32"/>
          <w:lang w:val="en-US" w:eastAsia="zh-CN"/>
        </w:rPr>
        <w:t>10个月</w:t>
      </w:r>
      <w:bookmarkStart w:id="0" w:name="采购需求"/>
      <w:bookmarkEnd w:id="0"/>
    </w:p>
    <w:p>
      <w:pPr>
        <w:adjustRightInd w:val="0"/>
        <w:snapToGrid w:val="0"/>
        <w:ind w:firstLine="640" w:firstLineChars="200"/>
        <w:rPr>
          <w:rFonts w:hint="eastAsia" w:ascii="黑体" w:hAnsi="黑体" w:eastAsia="黑体"/>
          <w:sz w:val="32"/>
          <w:szCs w:val="32"/>
        </w:rPr>
      </w:pPr>
      <w:r>
        <w:rPr>
          <w:rFonts w:hint="eastAsia" w:ascii="黑体" w:hAnsi="黑体" w:eastAsia="黑体"/>
          <w:sz w:val="32"/>
          <w:szCs w:val="32"/>
          <w:lang w:val="en-US" w:eastAsia="zh-CN"/>
        </w:rPr>
        <w:t>五</w:t>
      </w:r>
      <w:r>
        <w:rPr>
          <w:rFonts w:hint="eastAsia" w:ascii="黑体" w:hAnsi="黑体" w:eastAsia="黑体"/>
          <w:sz w:val="32"/>
          <w:szCs w:val="32"/>
        </w:rPr>
        <w:t>、报价一览表</w:t>
      </w:r>
    </w:p>
    <w:p>
      <w:pPr>
        <w:contextualSpacing/>
        <w:jc w:val="center"/>
        <w:rPr>
          <w:rFonts w:hint="eastAsia" w:ascii="仿宋" w:hAnsi="仿宋" w:eastAsia="仿宋"/>
          <w:b/>
          <w:bCs/>
          <w:sz w:val="32"/>
          <w:szCs w:val="32"/>
        </w:rPr>
      </w:pPr>
      <w:r>
        <w:rPr>
          <w:rFonts w:hint="eastAsia" w:ascii="仿宋" w:hAnsi="仿宋" w:eastAsia="仿宋"/>
          <w:sz w:val="32"/>
          <w:szCs w:val="32"/>
          <w:lang w:val="en-US" w:eastAsia="zh-CN"/>
        </w:rPr>
        <w:t>浙商银行南京盐城分行2026-2027年现金尾箱储存及配送业务采购</w:t>
      </w:r>
      <w:r>
        <w:rPr>
          <w:rFonts w:hint="eastAsia" w:ascii="仿宋" w:hAnsi="仿宋" w:eastAsia="仿宋"/>
          <w:b/>
          <w:bCs/>
          <w:sz w:val="32"/>
          <w:szCs w:val="32"/>
        </w:rPr>
        <w:t>报价一览表</w:t>
      </w:r>
    </w:p>
    <w:tbl>
      <w:tblPr>
        <w:tblStyle w:val="13"/>
        <w:tblW w:w="5901" w:type="pct"/>
        <w:jc w:val="center"/>
        <w:tblLayout w:type="fixed"/>
        <w:tblCellMar>
          <w:top w:w="0" w:type="dxa"/>
          <w:left w:w="108" w:type="dxa"/>
          <w:bottom w:w="0" w:type="dxa"/>
          <w:right w:w="108" w:type="dxa"/>
        </w:tblCellMar>
      </w:tblPr>
      <w:tblGrid>
        <w:gridCol w:w="986"/>
        <w:gridCol w:w="3009"/>
        <w:gridCol w:w="1273"/>
        <w:gridCol w:w="1135"/>
        <w:gridCol w:w="1418"/>
        <w:gridCol w:w="1561"/>
        <w:gridCol w:w="676"/>
      </w:tblGrid>
      <w:tr>
        <w:tblPrEx>
          <w:tblCellMar>
            <w:top w:w="0" w:type="dxa"/>
            <w:left w:w="108" w:type="dxa"/>
            <w:bottom w:w="0" w:type="dxa"/>
            <w:right w:w="108" w:type="dxa"/>
          </w:tblCellMar>
        </w:tblPrEx>
        <w:trPr>
          <w:trHeight w:val="577" w:hRule="atLeast"/>
          <w:jc w:val="center"/>
        </w:trPr>
        <w:tc>
          <w:tcPr>
            <w:tcW w:w="490"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项目类别</w:t>
            </w:r>
          </w:p>
        </w:tc>
        <w:tc>
          <w:tcPr>
            <w:tcW w:w="1495" w:type="pct"/>
            <w:tcBorders>
              <w:top w:val="single" w:color="auto" w:sz="4" w:space="0"/>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内容</w:t>
            </w:r>
          </w:p>
        </w:tc>
        <w:tc>
          <w:tcPr>
            <w:tcW w:w="6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含税金额（元）</w:t>
            </w:r>
          </w:p>
        </w:tc>
        <w:tc>
          <w:tcPr>
            <w:tcW w:w="56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增值税税率</w:t>
            </w:r>
          </w:p>
        </w:tc>
        <w:tc>
          <w:tcPr>
            <w:tcW w:w="7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不含税金额（元）</w:t>
            </w:r>
          </w:p>
        </w:tc>
        <w:tc>
          <w:tcPr>
            <w:tcW w:w="77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是否开具增值税专用发票</w:t>
            </w:r>
          </w:p>
        </w:tc>
        <w:tc>
          <w:tcPr>
            <w:tcW w:w="336"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备注</w:t>
            </w:r>
          </w:p>
        </w:tc>
      </w:tr>
      <w:tr>
        <w:tblPrEx>
          <w:tblCellMar>
            <w:top w:w="0" w:type="dxa"/>
            <w:left w:w="108" w:type="dxa"/>
            <w:bottom w:w="0" w:type="dxa"/>
            <w:right w:w="108" w:type="dxa"/>
          </w:tblCellMar>
        </w:tblPrEx>
        <w:trPr>
          <w:trHeight w:val="1115" w:hRule="atLeast"/>
          <w:jc w:val="center"/>
        </w:trPr>
        <w:tc>
          <w:tcPr>
            <w:tcW w:w="490" w:type="pct"/>
            <w:vMerge w:val="restart"/>
            <w:tcBorders>
              <w:top w:val="nil"/>
              <w:left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contextualSpacing/>
              <w:rPr>
                <w:rFonts w:hint="eastAsia" w:ascii="仿宋" w:hAnsi="仿宋" w:eastAsia="仿宋" w:cs="宋体"/>
                <w:kern w:val="0"/>
                <w:sz w:val="32"/>
                <w:szCs w:val="32"/>
              </w:rPr>
            </w:pPr>
            <w:r>
              <w:rPr>
                <w:rFonts w:hint="eastAsia" w:ascii="仿宋" w:hAnsi="仿宋" w:eastAsia="仿宋"/>
                <w:sz w:val="32"/>
                <w:szCs w:val="32"/>
                <w:lang w:val="en-US" w:eastAsia="zh-CN"/>
              </w:rPr>
              <w:t>现金尾箱储存及配送</w:t>
            </w:r>
          </w:p>
        </w:tc>
        <w:tc>
          <w:tcPr>
            <w:tcW w:w="1495"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leftChars="0" w:right="0" w:firstLine="0" w:firstLineChars="0"/>
              <w:contextualSpacing/>
              <w:jc w:val="left"/>
              <w:rPr>
                <w:rFonts w:hint="eastAsia" w:ascii="仿宋" w:hAnsi="仿宋" w:eastAsia="仿宋" w:cs="宋体"/>
                <w:kern w:val="0"/>
                <w:sz w:val="32"/>
                <w:szCs w:val="32"/>
                <w:highlight w:val="none"/>
                <w:lang w:eastAsia="zh-CN"/>
              </w:rPr>
            </w:pPr>
            <w:r>
              <w:rPr>
                <w:rFonts w:hint="eastAsia" w:ascii="仿宋" w:hAnsi="仿宋" w:eastAsia="仿宋" w:cs="宋体"/>
                <w:kern w:val="0"/>
                <w:sz w:val="32"/>
                <w:szCs w:val="32"/>
                <w:highlight w:val="none"/>
                <w:lang w:val="en-US" w:eastAsia="zh-CN"/>
              </w:rPr>
              <w:t>账务处理及现金储存费用</w:t>
            </w:r>
          </w:p>
        </w:tc>
        <w:tc>
          <w:tcPr>
            <w:tcW w:w="63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7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336"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r>
      <w:tr>
        <w:tblPrEx>
          <w:tblCellMar>
            <w:top w:w="0" w:type="dxa"/>
            <w:left w:w="108" w:type="dxa"/>
            <w:bottom w:w="0" w:type="dxa"/>
            <w:right w:w="108" w:type="dxa"/>
          </w:tblCellMar>
        </w:tblPrEx>
        <w:trPr>
          <w:trHeight w:val="998" w:hRule="atLeast"/>
          <w:jc w:val="center"/>
        </w:trPr>
        <w:tc>
          <w:tcPr>
            <w:tcW w:w="490" w:type="pct"/>
            <w:vMerge w:val="continue"/>
            <w:tcBorders>
              <w:left w:val="single" w:color="auto" w:sz="4" w:space="0"/>
              <w:right w:val="single" w:color="auto" w:sz="4" w:space="0"/>
            </w:tcBorders>
            <w:noWrap/>
            <w:vAlign w:val="center"/>
          </w:tcPr>
          <w:p>
            <w:pPr>
              <w:keepNext w:val="0"/>
              <w:keepLines w:val="0"/>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1495"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contextualSpacing/>
              <w:jc w:val="left"/>
              <w:rPr>
                <w:rFonts w:hint="eastAsia" w:ascii="仿宋" w:hAnsi="仿宋" w:eastAsia="仿宋" w:cs="宋体"/>
                <w:kern w:val="0"/>
                <w:sz w:val="32"/>
                <w:szCs w:val="32"/>
                <w:highlight w:val="none"/>
                <w:lang w:eastAsia="zh-CN"/>
              </w:rPr>
            </w:pPr>
            <w:r>
              <w:rPr>
                <w:rFonts w:hint="eastAsia" w:ascii="仿宋" w:hAnsi="仿宋" w:eastAsia="仿宋" w:cs="宋体"/>
                <w:kern w:val="0"/>
                <w:sz w:val="32"/>
                <w:szCs w:val="32"/>
                <w:highlight w:val="none"/>
                <w:lang w:eastAsia="zh-CN"/>
              </w:rPr>
              <w:t>押运寄库业务</w:t>
            </w:r>
          </w:p>
        </w:tc>
        <w:tc>
          <w:tcPr>
            <w:tcW w:w="63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7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336"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r>
      <w:tr>
        <w:tblPrEx>
          <w:tblCellMar>
            <w:top w:w="0" w:type="dxa"/>
            <w:left w:w="108" w:type="dxa"/>
            <w:bottom w:w="0" w:type="dxa"/>
            <w:right w:w="108" w:type="dxa"/>
          </w:tblCellMar>
        </w:tblPrEx>
        <w:trPr>
          <w:trHeight w:val="898" w:hRule="atLeast"/>
          <w:jc w:val="center"/>
        </w:trPr>
        <w:tc>
          <w:tcPr>
            <w:tcW w:w="490" w:type="pct"/>
            <w:vMerge w:val="continue"/>
            <w:tcBorders>
              <w:left w:val="single" w:color="auto" w:sz="4" w:space="0"/>
              <w:right w:val="single" w:color="auto" w:sz="4" w:space="0"/>
            </w:tcBorders>
            <w:noWrap/>
            <w:vAlign w:val="center"/>
          </w:tcPr>
          <w:p>
            <w:pPr>
              <w:keepNext w:val="0"/>
              <w:keepLines w:val="0"/>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1495" w:type="pct"/>
            <w:tcBorders>
              <w:top w:val="nil"/>
              <w:left w:val="nil"/>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contextualSpacing/>
              <w:jc w:val="left"/>
              <w:rPr>
                <w:rFonts w:hint="eastAsia" w:ascii="仿宋" w:hAnsi="仿宋" w:eastAsia="仿宋" w:cs="宋体"/>
                <w:kern w:val="0"/>
                <w:sz w:val="32"/>
                <w:szCs w:val="32"/>
                <w:highlight w:val="none"/>
                <w:lang w:eastAsia="zh-CN"/>
              </w:rPr>
            </w:pPr>
            <w:r>
              <w:rPr>
                <w:rFonts w:hint="eastAsia" w:ascii="仿宋" w:hAnsi="仿宋" w:eastAsia="仿宋" w:cs="宋体"/>
                <w:kern w:val="0"/>
                <w:sz w:val="32"/>
                <w:szCs w:val="32"/>
                <w:highlight w:val="none"/>
                <w:lang w:eastAsia="zh-CN"/>
              </w:rPr>
              <w:t>临时用车及其他</w:t>
            </w:r>
          </w:p>
        </w:tc>
        <w:tc>
          <w:tcPr>
            <w:tcW w:w="63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7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336"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r>
      <w:tr>
        <w:tblPrEx>
          <w:tblCellMar>
            <w:top w:w="0" w:type="dxa"/>
            <w:left w:w="108" w:type="dxa"/>
            <w:bottom w:w="0" w:type="dxa"/>
            <w:right w:w="108" w:type="dxa"/>
          </w:tblCellMar>
        </w:tblPrEx>
        <w:trPr>
          <w:trHeight w:val="375" w:hRule="atLeast"/>
          <w:jc w:val="center"/>
        </w:trPr>
        <w:tc>
          <w:tcPr>
            <w:tcW w:w="1985" w:type="pct"/>
            <w:gridSpan w:val="2"/>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r>
              <w:rPr>
                <w:rFonts w:hint="eastAsia" w:ascii="仿宋" w:hAnsi="仿宋" w:eastAsia="仿宋" w:cs="宋体"/>
                <w:kern w:val="0"/>
                <w:sz w:val="32"/>
                <w:szCs w:val="32"/>
              </w:rPr>
              <w:t>合计（元）</w:t>
            </w:r>
          </w:p>
        </w:tc>
        <w:tc>
          <w:tcPr>
            <w:tcW w:w="632"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u w:val="singl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r>
              <w:rPr>
                <w:rFonts w:hint="eastAsia" w:ascii="仿宋" w:hAnsi="仿宋" w:eastAsia="仿宋" w:cs="宋体"/>
                <w:kern w:val="0"/>
                <w:sz w:val="32"/>
                <w:szCs w:val="32"/>
              </w:rPr>
              <w:t>/</w:t>
            </w:r>
          </w:p>
        </w:tc>
        <w:tc>
          <w:tcPr>
            <w:tcW w:w="70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7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r>
              <w:rPr>
                <w:rFonts w:hint="eastAsia" w:ascii="仿宋" w:hAnsi="仿宋" w:eastAsia="仿宋" w:cs="宋体"/>
                <w:kern w:val="0"/>
                <w:sz w:val="32"/>
                <w:szCs w:val="32"/>
              </w:rPr>
              <w:t>/</w:t>
            </w:r>
          </w:p>
        </w:tc>
        <w:tc>
          <w:tcPr>
            <w:tcW w:w="336" w:type="pct"/>
            <w:tcBorders>
              <w:top w:val="single" w:color="auto" w:sz="4" w:space="0"/>
              <w:left w:val="single" w:color="auto" w:sz="4" w:space="0"/>
              <w:bottom w:val="single" w:color="auto" w:sz="4" w:space="0"/>
              <w:right w:val="single" w:color="auto" w:sz="4" w:space="0"/>
            </w:tcBorders>
            <w:noWrap/>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r>
      <w:tr>
        <w:tblPrEx>
          <w:tblCellMar>
            <w:top w:w="0" w:type="dxa"/>
            <w:left w:w="108" w:type="dxa"/>
            <w:bottom w:w="0" w:type="dxa"/>
            <w:right w:w="108" w:type="dxa"/>
          </w:tblCellMar>
        </w:tblPrEx>
        <w:trPr>
          <w:trHeight w:val="375" w:hRule="atLeast"/>
          <w:jc w:val="center"/>
        </w:trPr>
        <w:tc>
          <w:tcPr>
            <w:tcW w:w="1985" w:type="pct"/>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r>
              <w:rPr>
                <w:rFonts w:hint="eastAsia" w:ascii="仿宋" w:hAnsi="仿宋" w:eastAsia="仿宋" w:cs="宋体"/>
                <w:kern w:val="0"/>
                <w:sz w:val="32"/>
                <w:szCs w:val="32"/>
              </w:rPr>
              <w:t>其他事项说明：</w:t>
            </w:r>
          </w:p>
        </w:tc>
        <w:tc>
          <w:tcPr>
            <w:tcW w:w="3014" w:type="pct"/>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r>
    </w:tbl>
    <w:p>
      <w:pPr>
        <w:ind w:firstLine="640" w:firstLineChars="200"/>
        <w:contextualSpacing/>
        <w:rPr>
          <w:rFonts w:hint="eastAsia" w:ascii="仿宋" w:hAnsi="仿宋" w:eastAsia="仿宋"/>
          <w:bCs/>
          <w:sz w:val="32"/>
          <w:szCs w:val="32"/>
        </w:rPr>
      </w:pPr>
      <w:r>
        <w:rPr>
          <w:rFonts w:hint="eastAsia" w:ascii="仿宋" w:hAnsi="仿宋" w:eastAsia="仿宋"/>
          <w:bCs/>
          <w:sz w:val="32"/>
          <w:szCs w:val="32"/>
        </w:rPr>
        <w:t>注：1.表格中税率仅指增值税税率，不含其它税种；</w:t>
      </w:r>
    </w:p>
    <w:p>
      <w:pPr>
        <w:ind w:firstLine="640" w:firstLineChars="200"/>
        <w:contextualSpacing/>
        <w:rPr>
          <w:rFonts w:hint="eastAsia" w:ascii="仿宋" w:hAnsi="仿宋" w:eastAsia="仿宋"/>
          <w:bCs/>
          <w:sz w:val="32"/>
          <w:szCs w:val="32"/>
        </w:rPr>
      </w:pPr>
      <w:r>
        <w:rPr>
          <w:rFonts w:hint="eastAsia" w:ascii="仿宋" w:hAnsi="仿宋" w:eastAsia="仿宋"/>
          <w:bCs/>
          <w:sz w:val="32"/>
          <w:szCs w:val="32"/>
        </w:rPr>
        <w:t xml:space="preserve">    2.请加盖公章和授权代表签字（或章）。</w:t>
      </w:r>
    </w:p>
    <w:p>
      <w:pPr>
        <w:pStyle w:val="25"/>
        <w:ind w:firstLine="640" w:firstLineChars="200"/>
        <w:contextualSpacing/>
        <w:rPr>
          <w:rFonts w:hint="eastAsia" w:ascii="仿宋" w:hAnsi="仿宋" w:eastAsia="仿宋"/>
          <w:sz w:val="32"/>
          <w:szCs w:val="32"/>
          <w:highlight w:val="none"/>
        </w:rPr>
      </w:pPr>
      <w:r>
        <w:rPr>
          <w:rFonts w:hint="eastAsia" w:ascii="黑体" w:hAnsi="黑体" w:eastAsia="黑体"/>
          <w:sz w:val="32"/>
          <w:szCs w:val="32"/>
          <w:highlight w:val="none"/>
        </w:rPr>
        <w:t>六、</w:t>
      </w:r>
      <w:r>
        <w:rPr>
          <w:rFonts w:hint="eastAsia" w:ascii="黑体" w:hAnsi="黑体" w:eastAsia="黑体"/>
          <w:sz w:val="32"/>
          <w:szCs w:val="32"/>
          <w:highlight w:val="none"/>
          <w:lang w:val="en-US" w:eastAsia="zh-CN"/>
        </w:rPr>
        <w:t>响应</w:t>
      </w:r>
      <w:r>
        <w:rPr>
          <w:rFonts w:hint="eastAsia" w:ascii="黑体" w:hAnsi="黑体" w:eastAsia="黑体"/>
          <w:sz w:val="32"/>
          <w:szCs w:val="32"/>
          <w:highlight w:val="none"/>
        </w:rPr>
        <w:t>文件格式</w:t>
      </w:r>
    </w:p>
    <w:p>
      <w:pPr>
        <w:pStyle w:val="11"/>
        <w:shd w:val="clear" w:color="auto" w:fill="auto"/>
        <w:autoSpaceDE w:val="0"/>
        <w:spacing w:before="0" w:beforeAutospacing="0" w:after="0" w:afterAutospacing="0"/>
        <w:ind w:firstLine="640" w:firstLineChars="200"/>
        <w:contextualSpacing/>
        <w:jc w:val="both"/>
        <w:rPr>
          <w:rFonts w:hint="eastAsia" w:ascii="仿宋_GB2312" w:hAnsi="仿宋" w:eastAsia="仿宋_GB2312"/>
          <w:bCs/>
          <w:color w:val="1E1E1E"/>
          <w:sz w:val="32"/>
          <w:szCs w:val="32"/>
          <w:highlight w:val="none"/>
          <w:shd w:val="clear" w:color="auto" w:fill="FFFFFF"/>
        </w:rPr>
      </w:pPr>
      <w:r>
        <w:rPr>
          <w:rFonts w:hint="eastAsia" w:ascii="仿宋_GB2312" w:hAnsi="仿宋" w:eastAsia="仿宋_GB2312"/>
          <w:sz w:val="32"/>
          <w:szCs w:val="32"/>
          <w:highlight w:val="none"/>
        </w:rPr>
        <w:t>1.项目需求响应函和针对本项目的技术和服务响应方案；</w:t>
      </w:r>
    </w:p>
    <w:p>
      <w:pPr>
        <w:pStyle w:val="25"/>
        <w:shd w:val="clear" w:color="auto" w:fill="auto"/>
        <w:ind w:firstLine="640" w:firstLineChars="200"/>
        <w:contextualSpacing/>
        <w:rPr>
          <w:rFonts w:hint="eastAsia" w:ascii="仿宋_GB2312" w:hAnsi="仿宋" w:eastAsia="仿宋_GB2312"/>
          <w:sz w:val="32"/>
          <w:szCs w:val="32"/>
          <w:highlight w:val="none"/>
        </w:rPr>
      </w:pPr>
      <w:r>
        <w:rPr>
          <w:rFonts w:hint="eastAsia" w:ascii="仿宋_GB2312" w:hAnsi="仿宋" w:eastAsia="仿宋_GB2312"/>
          <w:sz w:val="32"/>
          <w:szCs w:val="32"/>
          <w:highlight w:val="none"/>
        </w:rPr>
        <w:t>2.</w:t>
      </w:r>
      <w:r>
        <w:rPr>
          <w:rFonts w:hint="eastAsia" w:ascii="仿宋_GB2312" w:hAnsi="仿宋" w:eastAsia="仿宋_GB2312"/>
          <w:sz w:val="32"/>
          <w:szCs w:val="32"/>
          <w:highlight w:val="none"/>
          <w:lang w:eastAsia="zh-CN"/>
        </w:rPr>
        <w:t>项目</w:t>
      </w:r>
      <w:r>
        <w:rPr>
          <w:rFonts w:hint="eastAsia" w:ascii="仿宋_GB2312" w:hAnsi="仿宋" w:eastAsia="仿宋_GB2312"/>
          <w:sz w:val="32"/>
          <w:szCs w:val="32"/>
          <w:highlight w:val="none"/>
        </w:rPr>
        <w:t>报价一览表，包括报价明细清单</w:t>
      </w:r>
      <w:r>
        <w:rPr>
          <w:rFonts w:hint="eastAsia" w:ascii="仿宋_GB2312" w:hAnsi="仿宋" w:eastAsia="仿宋_GB2312"/>
          <w:sz w:val="32"/>
          <w:szCs w:val="32"/>
          <w:highlight w:val="none"/>
          <w:lang w:eastAsia="zh-CN"/>
        </w:rPr>
        <w:t>（</w:t>
      </w:r>
      <w:r>
        <w:rPr>
          <w:rFonts w:hint="eastAsia" w:ascii="仿宋_GB2312" w:hAnsi="仿宋" w:eastAsia="仿宋_GB2312"/>
          <w:sz w:val="32"/>
          <w:szCs w:val="32"/>
          <w:highlight w:val="none"/>
          <w:lang w:val="en-US" w:eastAsia="zh-CN"/>
        </w:rPr>
        <w:t>须额外单独提供一份报价一览表及报价明细清单</w:t>
      </w:r>
      <w:r>
        <w:rPr>
          <w:rFonts w:hint="eastAsia" w:ascii="仿宋_GB2312" w:hAnsi="仿宋" w:eastAsia="仿宋_GB2312"/>
          <w:sz w:val="32"/>
          <w:szCs w:val="32"/>
          <w:highlight w:val="none"/>
          <w:lang w:eastAsia="zh-CN"/>
        </w:rPr>
        <w:t>）</w:t>
      </w:r>
      <w:r>
        <w:rPr>
          <w:rFonts w:hint="eastAsia" w:ascii="仿宋_GB2312" w:hAnsi="仿宋" w:eastAsia="仿宋_GB2312"/>
          <w:sz w:val="32"/>
          <w:szCs w:val="32"/>
          <w:highlight w:val="none"/>
        </w:rPr>
        <w:t>；</w:t>
      </w:r>
    </w:p>
    <w:p>
      <w:pPr>
        <w:pStyle w:val="25"/>
        <w:ind w:firstLine="640" w:firstLineChars="200"/>
        <w:contextualSpacing/>
        <w:rPr>
          <w:rFonts w:hint="eastAsia" w:ascii="仿宋_GB2312" w:hAnsi="仿宋" w:eastAsia="仿宋_GB2312"/>
          <w:sz w:val="32"/>
          <w:szCs w:val="32"/>
          <w:highlight w:val="none"/>
        </w:rPr>
      </w:pPr>
      <w:r>
        <w:rPr>
          <w:rFonts w:hint="eastAsia" w:ascii="仿宋_GB2312" w:hAnsi="仿宋" w:eastAsia="仿宋_GB2312"/>
          <w:sz w:val="32"/>
          <w:szCs w:val="32"/>
          <w:highlight w:val="none"/>
        </w:rPr>
        <w:t>3.报价单位</w:t>
      </w:r>
      <w:r>
        <w:rPr>
          <w:rFonts w:hint="eastAsia" w:ascii="仿宋_GB2312" w:hAnsi="仿宋" w:eastAsia="仿宋_GB2312"/>
          <w:b/>
          <w:sz w:val="32"/>
          <w:szCs w:val="32"/>
          <w:highlight w:val="none"/>
        </w:rPr>
        <w:t>基本情况及相关证明材料复印件（营业执照、代理人授权委托书、相关资质证明等，所有复印件必须加盖公章，后附授权委托书模板）</w:t>
      </w:r>
      <w:r>
        <w:rPr>
          <w:rFonts w:hint="eastAsia" w:ascii="仿宋_GB2312" w:hAnsi="仿宋" w:eastAsia="仿宋_GB2312"/>
          <w:sz w:val="32"/>
          <w:szCs w:val="32"/>
          <w:highlight w:val="none"/>
        </w:rPr>
        <w:t xml:space="preserve">； </w:t>
      </w:r>
    </w:p>
    <w:p>
      <w:pPr>
        <w:pStyle w:val="25"/>
        <w:ind w:firstLine="640" w:firstLineChars="200"/>
        <w:contextualSpacing/>
        <w:rPr>
          <w:rFonts w:hint="eastAsia" w:ascii="仿宋_GB2312" w:hAnsi="仿宋" w:eastAsia="仿宋_GB2312"/>
          <w:sz w:val="32"/>
          <w:szCs w:val="32"/>
          <w:highlight w:val="none"/>
        </w:rPr>
      </w:pPr>
      <w:r>
        <w:rPr>
          <w:rFonts w:hint="eastAsia" w:ascii="仿宋_GB2312" w:hAnsi="仿宋" w:eastAsia="仿宋_GB2312"/>
          <w:sz w:val="32"/>
          <w:szCs w:val="32"/>
          <w:highlight w:val="none"/>
        </w:rPr>
        <w:t>4.其他必须提供的材料</w:t>
      </w:r>
      <w:r>
        <w:rPr>
          <w:rFonts w:hint="eastAsia" w:ascii="仿宋_GB2312" w:hAnsi="仿宋" w:eastAsia="仿宋_GB2312"/>
          <w:color w:val="000000"/>
          <w:sz w:val="32"/>
          <w:szCs w:val="32"/>
          <w:highlight w:val="none"/>
        </w:rPr>
        <w:t>。</w:t>
      </w:r>
    </w:p>
    <w:p>
      <w:pPr>
        <w:ind w:firstLine="640" w:firstLineChars="200"/>
        <w:contextualSpacing/>
        <w:rPr>
          <w:rFonts w:hint="eastAsia" w:ascii="仿宋" w:hAnsi="仿宋" w:eastAsia="仿宋"/>
          <w:sz w:val="32"/>
          <w:szCs w:val="32"/>
        </w:rPr>
      </w:pPr>
      <w:r>
        <w:rPr>
          <w:rFonts w:hint="eastAsia" w:ascii="黑体" w:hAnsi="黑体" w:eastAsia="黑体"/>
          <w:sz w:val="32"/>
          <w:szCs w:val="32"/>
          <w:lang w:val="en-US" w:eastAsia="zh-CN"/>
        </w:rPr>
        <w:t>七</w:t>
      </w:r>
      <w:r>
        <w:rPr>
          <w:rFonts w:hint="eastAsia" w:ascii="黑体" w:hAnsi="黑体" w:eastAsia="黑体"/>
          <w:sz w:val="32"/>
          <w:szCs w:val="32"/>
        </w:rPr>
        <w:t>、谈判及报价文件递交时间、地点</w:t>
      </w:r>
    </w:p>
    <w:p>
      <w:pPr>
        <w:ind w:firstLine="640" w:firstLineChars="200"/>
        <w:contextualSpacing/>
        <w:rPr>
          <w:rFonts w:hint="eastAsia" w:ascii="仿宋" w:hAnsi="仿宋" w:eastAsia="仿宋"/>
          <w:color w:val="FF0000"/>
          <w:sz w:val="32"/>
          <w:szCs w:val="32"/>
          <w:lang w:val="en-US" w:eastAsia="zh-CN"/>
        </w:rPr>
      </w:pPr>
      <w:r>
        <w:rPr>
          <w:rFonts w:hint="eastAsia" w:ascii="仿宋" w:hAnsi="仿宋" w:eastAsia="仿宋"/>
          <w:sz w:val="32"/>
          <w:szCs w:val="32"/>
        </w:rPr>
        <w:t>时间：</w:t>
      </w:r>
      <w:r>
        <w:rPr>
          <w:rFonts w:hint="eastAsia" w:ascii="仿宋" w:hAnsi="仿宋" w:eastAsia="仿宋"/>
          <w:sz w:val="32"/>
          <w:szCs w:val="32"/>
          <w:lang w:val="en-US" w:eastAsia="zh-CN"/>
        </w:rPr>
        <w:t xml:space="preserve"> </w:t>
      </w:r>
      <w:r>
        <w:rPr>
          <w:rFonts w:hint="default" w:ascii="仿宋" w:hAnsi="仿宋" w:eastAsia="仿宋"/>
          <w:sz w:val="32"/>
          <w:szCs w:val="32"/>
          <w:lang w:eastAsia="zh-CN"/>
        </w:rPr>
        <w:t xml:space="preserve">2026年5月21日下午14:30分 </w:t>
      </w:r>
    </w:p>
    <w:p>
      <w:pPr>
        <w:ind w:firstLine="640" w:firstLineChars="200"/>
        <w:contextualSpacing/>
        <w:rPr>
          <w:rFonts w:hint="eastAsia" w:ascii="仿宋" w:hAnsi="仿宋" w:eastAsia="仿宋"/>
          <w:sz w:val="32"/>
          <w:szCs w:val="32"/>
          <w:lang w:val="en-US" w:eastAsia="zh-CN"/>
        </w:rPr>
      </w:pPr>
      <w:r>
        <w:rPr>
          <w:rFonts w:hint="eastAsia" w:ascii="仿宋" w:hAnsi="仿宋" w:eastAsia="仿宋"/>
          <w:sz w:val="32"/>
          <w:szCs w:val="32"/>
        </w:rPr>
        <w:t>地点：</w:t>
      </w:r>
      <w:r>
        <w:rPr>
          <w:rFonts w:hint="default" w:ascii="仿宋" w:hAnsi="仿宋" w:eastAsia="仿宋"/>
          <w:sz w:val="32"/>
          <w:szCs w:val="32"/>
        </w:rPr>
        <w:t>南京市鼓楼区中山北路9号浙商银行股份有限公司二楼集采开（评）标室</w:t>
      </w:r>
      <w:r>
        <w:rPr>
          <w:rFonts w:hint="eastAsia" w:ascii="仿宋" w:hAnsi="仿宋" w:eastAsia="仿宋"/>
          <w:sz w:val="32"/>
          <w:szCs w:val="32"/>
          <w:lang w:val="en-US" w:eastAsia="zh-CN"/>
        </w:rPr>
        <w:t xml:space="preserve"> </w:t>
      </w:r>
      <w:r>
        <w:rPr>
          <w:rFonts w:hint="default" w:ascii="仿宋" w:hAnsi="仿宋" w:eastAsia="仿宋"/>
          <w:sz w:val="32"/>
          <w:szCs w:val="32"/>
          <w:lang w:eastAsia="zh-CN"/>
        </w:rPr>
        <w:t xml:space="preserve"> </w:t>
      </w:r>
    </w:p>
    <w:p>
      <w:pPr>
        <w:ind w:firstLine="640" w:firstLineChars="200"/>
        <w:contextualSpacing/>
        <w:rPr>
          <w:rFonts w:hint="eastAsia" w:ascii="仿宋_GB2312" w:hAnsi="仿宋" w:eastAsia="仿宋_GB2312"/>
          <w:sz w:val="32"/>
          <w:szCs w:val="32"/>
          <w:highlight w:val="none"/>
        </w:rPr>
      </w:pPr>
      <w:r>
        <w:rPr>
          <w:rFonts w:hint="eastAsia" w:ascii="仿宋" w:hAnsi="仿宋" w:eastAsia="仿宋"/>
          <w:sz w:val="32"/>
          <w:szCs w:val="32"/>
          <w:lang w:val="en-US" w:eastAsia="zh-CN"/>
        </w:rPr>
        <w:t>八</w:t>
      </w:r>
      <w:r>
        <w:rPr>
          <w:rFonts w:hint="eastAsia" w:ascii="仿宋" w:hAnsi="仿宋" w:eastAsia="仿宋"/>
          <w:sz w:val="32"/>
          <w:szCs w:val="32"/>
        </w:rPr>
        <w:t>、</w:t>
      </w:r>
      <w:r>
        <w:rPr>
          <w:rFonts w:hint="eastAsia" w:ascii="仿宋_GB2312" w:hAnsi="仿宋" w:eastAsia="仿宋_GB2312"/>
          <w:sz w:val="32"/>
          <w:szCs w:val="32"/>
          <w:highlight w:val="none"/>
        </w:rPr>
        <w:t>如有疑问，请</w:t>
      </w:r>
      <w:r>
        <w:rPr>
          <w:rFonts w:hint="eastAsia" w:ascii="仿宋_GB2312" w:hAnsi="仿宋" w:eastAsia="仿宋_GB2312"/>
          <w:bCs/>
          <w:sz w:val="32"/>
          <w:szCs w:val="32"/>
          <w:highlight w:val="none"/>
        </w:rPr>
        <w:t>通过</w:t>
      </w:r>
      <w:r>
        <w:rPr>
          <w:rFonts w:hint="default" w:ascii="仿宋_GB2312" w:hAnsi="仿宋" w:eastAsia="仿宋_GB2312"/>
          <w:bCs/>
          <w:sz w:val="32"/>
          <w:szCs w:val="32"/>
          <w:highlight w:val="none"/>
        </w:rPr>
        <w:t>0515-89088807</w:t>
      </w:r>
      <w:r>
        <w:rPr>
          <w:rFonts w:hint="eastAsia" w:ascii="仿宋_GB2312" w:hAnsi="仿宋" w:eastAsia="仿宋_GB2312"/>
          <w:sz w:val="32"/>
          <w:szCs w:val="32"/>
          <w:highlight w:val="none"/>
        </w:rPr>
        <w:t xml:space="preserve">联系。                            </w:t>
      </w:r>
    </w:p>
    <w:p>
      <w:pPr>
        <w:spacing w:line="360" w:lineRule="auto"/>
        <w:jc w:val="right"/>
        <w:rPr>
          <w:rFonts w:hint="default" w:ascii="仿宋_GB2312" w:hAnsi="仿宋" w:eastAsia="仿宋_GB2312"/>
          <w:sz w:val="32"/>
          <w:szCs w:val="32"/>
          <w:highlight w:val="none"/>
        </w:rPr>
      </w:pPr>
      <w:r>
        <w:rPr>
          <w:rFonts w:hint="eastAsia" w:ascii="仿宋_GB2312" w:hAnsi="仿宋" w:eastAsia="仿宋_GB2312"/>
          <w:sz w:val="32"/>
          <w:szCs w:val="32"/>
          <w:highlight w:val="none"/>
        </w:rPr>
        <w:t>采购人：浙商银行股份有限公司</w:t>
      </w:r>
      <w:r>
        <w:rPr>
          <w:rFonts w:hint="default" w:ascii="仿宋_GB2312" w:hAnsi="仿宋" w:eastAsia="仿宋_GB2312"/>
          <w:sz w:val="32"/>
          <w:szCs w:val="32"/>
          <w:highlight w:val="none"/>
        </w:rPr>
        <w:t>盐城分行</w:t>
      </w:r>
    </w:p>
    <w:p>
      <w:pPr>
        <w:spacing w:line="360" w:lineRule="auto"/>
        <w:jc w:val="right"/>
        <w:rPr>
          <w:rFonts w:hint="eastAsia" w:ascii="仿宋" w:hAnsi="仿宋" w:eastAsia="仿宋"/>
          <w:sz w:val="32"/>
          <w:szCs w:val="32"/>
        </w:rPr>
      </w:pPr>
      <w:r>
        <w:rPr>
          <w:rFonts w:hint="eastAsia" w:ascii="仿宋_GB2312" w:hAnsi="仿宋" w:eastAsia="仿宋_GB2312"/>
          <w:sz w:val="32"/>
          <w:szCs w:val="32"/>
          <w:highlight w:val="none"/>
        </w:rPr>
        <w:t xml:space="preserve">             </w:t>
      </w:r>
      <w:r>
        <w:rPr>
          <w:rFonts w:hint="eastAsia" w:ascii="仿宋_GB2312" w:hAnsi="仿宋" w:eastAsia="仿宋_GB2312"/>
          <w:color w:val="FF0000"/>
          <w:sz w:val="32"/>
          <w:szCs w:val="32"/>
          <w:highlight w:val="none"/>
        </w:rPr>
        <w:t xml:space="preserve">      </w:t>
      </w:r>
      <w:r>
        <w:rPr>
          <w:rFonts w:hint="eastAsia" w:ascii="仿宋_GB2312" w:hAnsi="仿宋" w:eastAsia="仿宋_GB2312"/>
          <w:sz w:val="32"/>
          <w:szCs w:val="32"/>
          <w:highlight w:val="none"/>
        </w:rPr>
        <w:t>202</w:t>
      </w:r>
      <w:r>
        <w:rPr>
          <w:rFonts w:hint="default" w:ascii="仿宋_GB2312" w:hAnsi="仿宋" w:eastAsia="仿宋_GB2312"/>
          <w:sz w:val="32"/>
          <w:szCs w:val="32"/>
          <w:highlight w:val="none"/>
        </w:rPr>
        <w:t>6</w:t>
      </w:r>
      <w:r>
        <w:rPr>
          <w:rFonts w:hint="eastAsia" w:ascii="仿宋_GB2312" w:hAnsi="仿宋" w:eastAsia="仿宋_GB2312"/>
          <w:sz w:val="32"/>
          <w:szCs w:val="32"/>
          <w:highlight w:val="none"/>
        </w:rPr>
        <w:t>年</w:t>
      </w:r>
      <w:r>
        <w:rPr>
          <w:rFonts w:hint="default" w:ascii="仿宋_GB2312" w:hAnsi="仿宋" w:eastAsia="仿宋_GB2312"/>
          <w:sz w:val="32"/>
          <w:szCs w:val="32"/>
          <w:highlight w:val="none"/>
        </w:rPr>
        <w:t>4</w:t>
      </w:r>
      <w:r>
        <w:rPr>
          <w:rFonts w:hint="eastAsia" w:ascii="仿宋_GB2312" w:hAnsi="仿宋" w:eastAsia="仿宋_GB2312"/>
          <w:sz w:val="32"/>
          <w:szCs w:val="32"/>
          <w:highlight w:val="none"/>
        </w:rPr>
        <w:t>月</w:t>
      </w:r>
      <w:r>
        <w:rPr>
          <w:rFonts w:hint="default" w:ascii="仿宋_GB2312" w:hAnsi="仿宋" w:eastAsia="仿宋_GB2312"/>
          <w:sz w:val="32"/>
          <w:szCs w:val="32"/>
          <w:highlight w:val="none"/>
        </w:rPr>
        <w:t>30</w:t>
      </w:r>
      <w:bookmarkStart w:id="1" w:name="_GoBack"/>
      <w:bookmarkEnd w:id="1"/>
      <w:r>
        <w:rPr>
          <w:rFonts w:hint="eastAsia" w:ascii="仿宋_GB2312" w:hAnsi="仿宋" w:eastAsia="仿宋_GB2312"/>
          <w:sz w:val="32"/>
          <w:szCs w:val="32"/>
          <w:highlight w:val="none"/>
        </w:rPr>
        <w:t>日</w:t>
      </w:r>
      <w:r>
        <w:rPr>
          <w:rFonts w:hint="eastAsia" w:ascii="仿宋_GB2312" w:hAnsi="仿宋" w:eastAsia="仿宋_GB2312"/>
          <w:color w:val="FF0000"/>
          <w:sz w:val="32"/>
          <w:szCs w:val="32"/>
          <w:highlight w:val="none"/>
        </w:rPr>
        <w:t xml:space="preserve">  </w:t>
      </w:r>
    </w:p>
    <w:p>
      <w:pPr>
        <w:jc w:val="right"/>
        <w:rPr>
          <w:rFonts w:hint="eastAsia" w:ascii="仿宋" w:hAnsi="仿宋" w:eastAsia="仿宋"/>
          <w:color w:val="FF0000"/>
          <w:sz w:val="32"/>
          <w:szCs w:val="32"/>
          <w:u w:val="single"/>
        </w:rPr>
      </w:pPr>
      <w:r>
        <w:rPr>
          <w:rFonts w:hint="eastAsia" w:ascii="仿宋" w:hAnsi="仿宋" w:eastAsia="仿宋"/>
          <w:sz w:val="32"/>
          <w:szCs w:val="32"/>
        </w:rPr>
        <w:t xml:space="preserve">                   </w:t>
      </w:r>
      <w:r>
        <w:rPr>
          <w:rFonts w:hint="eastAsia" w:ascii="仿宋" w:hAnsi="仿宋" w:eastAsia="仿宋"/>
          <w:color w:val="auto"/>
          <w:sz w:val="32"/>
          <w:szCs w:val="32"/>
          <w:u w:val="none"/>
        </w:rPr>
        <w:t xml:space="preserve">   </w:t>
      </w:r>
    </w:p>
    <w:p>
      <w:pPr>
        <w:jc w:val="left"/>
        <w:outlineLvl w:val="0"/>
        <w:rPr>
          <w:rFonts w:hint="eastAsia" w:ascii="方正小标宋简体" w:hAnsi="方正小标宋简体" w:eastAsia="方正小标宋简体" w:cs="方正小标宋简体"/>
          <w:b w:val="0"/>
          <w:bCs/>
          <w:kern w:val="2"/>
          <w:sz w:val="44"/>
          <w:szCs w:val="44"/>
          <w:highlight w:val="none"/>
          <w:lang w:val="en-US" w:eastAsia="zh-CN" w:bidi="ar-SA"/>
        </w:rPr>
      </w:pPr>
      <w:r>
        <w:rPr>
          <w:rFonts w:ascii="仿宋" w:hAnsi="仿宋" w:eastAsia="仿宋"/>
          <w:color w:val="FF0000"/>
          <w:sz w:val="32"/>
          <w:szCs w:val="32"/>
        </w:rPr>
        <w:br w:type="page"/>
      </w:r>
      <w:r>
        <w:rPr>
          <w:rFonts w:hint="eastAsia" w:ascii="仿宋" w:hAnsi="仿宋" w:eastAsia="仿宋"/>
          <w:b/>
          <w:sz w:val="32"/>
          <w:szCs w:val="32"/>
        </w:rPr>
        <w:t xml:space="preserve"> </w:t>
      </w:r>
      <w:r>
        <w:rPr>
          <w:rFonts w:hint="default" w:ascii="黑体" w:hAnsi="宋体" w:eastAsia="黑体" w:cs="黑体"/>
          <w:kern w:val="2"/>
          <w:sz w:val="32"/>
          <w:szCs w:val="32"/>
          <w:lang w:val="en-US" w:eastAsia="zh-CN" w:bidi="ar"/>
        </w:rPr>
        <w:t>附件</w:t>
      </w:r>
      <w:r>
        <w:rPr>
          <w:rFonts w:hint="eastAsia" w:ascii="黑体" w:hAnsi="宋体" w:eastAsia="黑体" w:cs="黑体"/>
          <w:kern w:val="2"/>
          <w:sz w:val="32"/>
          <w:szCs w:val="32"/>
          <w:lang w:val="en-US" w:eastAsia="zh-CN" w:bidi="ar"/>
        </w:rPr>
        <w:t>1</w:t>
      </w:r>
    </w:p>
    <w:p>
      <w:pPr>
        <w:jc w:val="center"/>
        <w:outlineLvl w:val="0"/>
        <w:rPr>
          <w:rFonts w:ascii="宋体" w:hAnsi="宋体"/>
          <w:b/>
          <w:i w:val="0"/>
          <w:iCs w:val="0"/>
          <w:sz w:val="24"/>
          <w:highlight w:val="none"/>
        </w:rPr>
      </w:pPr>
      <w:r>
        <w:rPr>
          <w:rFonts w:hint="eastAsia" w:ascii="华文楷体" w:hAnsi="华文楷体" w:eastAsia="华文楷体"/>
          <w:b/>
          <w:i w:val="0"/>
          <w:iCs w:val="0"/>
          <w:sz w:val="30"/>
          <w:szCs w:val="30"/>
          <w:highlight w:val="none"/>
        </w:rPr>
        <w:t>授权委托书</w:t>
      </w:r>
    </w:p>
    <w:p>
      <w:pPr>
        <w:adjustRightInd w:val="0"/>
        <w:snapToGrid w:val="0"/>
        <w:spacing w:line="276" w:lineRule="auto"/>
        <w:ind w:firstLine="480" w:firstLineChars="200"/>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本授权书声明：</w:t>
      </w:r>
      <w:r>
        <w:rPr>
          <w:rFonts w:hint="eastAsia" w:ascii="华文楷体" w:hAnsi="华文楷体" w:eastAsia="华文楷体"/>
          <w:i w:val="0"/>
          <w:iCs w:val="0"/>
          <w:sz w:val="24"/>
          <w:highlight w:val="none"/>
          <w:u w:val="single"/>
        </w:rPr>
        <w:t xml:space="preserve"> （供应商名称） </w:t>
      </w:r>
      <w:r>
        <w:rPr>
          <w:rFonts w:hint="eastAsia" w:ascii="华文楷体" w:hAnsi="华文楷体" w:eastAsia="华文楷体"/>
          <w:i w:val="0"/>
          <w:iCs w:val="0"/>
          <w:sz w:val="24"/>
          <w:highlight w:val="none"/>
        </w:rPr>
        <w:t>公司，由法定代表人</w:t>
      </w:r>
      <w:r>
        <w:rPr>
          <w:rFonts w:hint="eastAsia" w:ascii="华文楷体" w:hAnsi="华文楷体" w:eastAsia="华文楷体"/>
          <w:i w:val="0"/>
          <w:iCs w:val="0"/>
          <w:sz w:val="24"/>
          <w:highlight w:val="none"/>
          <w:u w:val="single"/>
        </w:rPr>
        <w:t xml:space="preserve"> （法定代表人姓名）</w:t>
      </w:r>
      <w:r>
        <w:rPr>
          <w:rFonts w:hint="eastAsia" w:ascii="华文楷体" w:hAnsi="华文楷体" w:eastAsia="华文楷体"/>
          <w:i w:val="0"/>
          <w:iCs w:val="0"/>
          <w:sz w:val="24"/>
          <w:highlight w:val="none"/>
        </w:rPr>
        <w:t>代表本公司授权</w:t>
      </w:r>
      <w:r>
        <w:rPr>
          <w:rFonts w:hint="eastAsia" w:ascii="华文楷体" w:hAnsi="华文楷体" w:eastAsia="华文楷体"/>
          <w:i w:val="0"/>
          <w:iCs w:val="0"/>
          <w:sz w:val="24"/>
          <w:highlight w:val="none"/>
          <w:u w:val="single"/>
        </w:rPr>
        <w:t>（被授权人姓名）</w:t>
      </w:r>
      <w:r>
        <w:rPr>
          <w:rFonts w:hint="eastAsia" w:ascii="华文楷体" w:hAnsi="华文楷体" w:eastAsia="华文楷体"/>
          <w:i w:val="0"/>
          <w:iCs w:val="0"/>
          <w:sz w:val="24"/>
          <w:highlight w:val="none"/>
        </w:rPr>
        <w:t>为本公司的合法代理人，就浙商银行股份有限公司</w:t>
      </w:r>
      <w:r>
        <w:rPr>
          <w:rFonts w:hint="eastAsia" w:ascii="华文楷体" w:hAnsi="华文楷体" w:eastAsia="华文楷体"/>
          <w:i w:val="0"/>
          <w:iCs w:val="0"/>
          <w:sz w:val="24"/>
          <w:highlight w:val="none"/>
          <w:u w:val="single"/>
        </w:rPr>
        <w:t>　XXXXX</w:t>
      </w:r>
      <w:r>
        <w:rPr>
          <w:rFonts w:hint="eastAsia" w:ascii="华文楷体" w:hAnsi="华文楷体" w:eastAsia="华文楷体"/>
          <w:i w:val="0"/>
          <w:iCs w:val="0"/>
          <w:sz w:val="24"/>
          <w:highlight w:val="none"/>
        </w:rPr>
        <w:t>项目的谈判，以本公司名义处理一切与之有关的事务。</w:t>
      </w:r>
    </w:p>
    <w:p>
      <w:pPr>
        <w:adjustRightInd w:val="0"/>
        <w:snapToGrid w:val="0"/>
        <w:spacing w:line="276" w:lineRule="auto"/>
        <w:ind w:firstLine="480" w:firstLineChars="200"/>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本授权书于　年　月　日签字生效，特此声明。</w:t>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outlineLvl w:val="1"/>
        <w:rPr>
          <w:rFonts w:ascii="华文楷体" w:hAnsi="华文楷体" w:eastAsia="华文楷体" w:cs="楷体_GB2312"/>
          <w:b/>
          <w:i w:val="0"/>
          <w:iCs w:val="0"/>
          <w:sz w:val="24"/>
          <w:highlight w:val="none"/>
          <w:u w:val="single"/>
        </w:rPr>
      </w:pPr>
      <w:r>
        <w:rPr>
          <w:rFonts w:hint="eastAsia" w:ascii="华文楷体" w:hAnsi="华文楷体" w:eastAsia="华文楷体"/>
          <w:b/>
          <w:i w:val="0"/>
          <w:iCs w:val="0"/>
          <w:sz w:val="24"/>
          <w:highlight w:val="none"/>
        </w:rPr>
        <w:t>法定代表人签字或签章</w:t>
      </w:r>
      <w:r>
        <w:rPr>
          <w:rFonts w:hint="eastAsia" w:ascii="华文楷体" w:hAnsi="华文楷体" w:eastAsia="华文楷体" w:cs="楷体_GB2312"/>
          <w:b/>
          <w:i w:val="0"/>
          <w:iCs w:val="0"/>
          <w:sz w:val="24"/>
          <w:highlight w:val="none"/>
          <w:u w:val="single"/>
        </w:rPr>
        <w:tab/>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rPr>
      </w:pPr>
      <w:r>
        <w:rPr>
          <w:rFonts w:hint="eastAsia" w:ascii="华文楷体" w:hAnsi="华文楷体" w:eastAsia="华文楷体" w:cs="楷体_GB2312"/>
          <w:i w:val="0"/>
          <w:iCs w:val="0"/>
          <w:sz w:val="24"/>
          <w:highlight w:val="none"/>
        </w:rPr>
        <w:t>法定代表人身份证号码：</w:t>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outlineLvl w:val="1"/>
        <w:rPr>
          <w:rFonts w:ascii="华文楷体" w:hAnsi="华文楷体" w:eastAsia="华文楷体" w:cs="楷体_GB2312"/>
          <w:b/>
          <w:i w:val="0"/>
          <w:iCs w:val="0"/>
          <w:sz w:val="24"/>
          <w:highlight w:val="none"/>
        </w:rPr>
      </w:pPr>
      <w:r>
        <w:rPr>
          <w:rFonts w:hint="eastAsia" w:ascii="华文楷体" w:hAnsi="华文楷体" w:eastAsia="华文楷体" w:cs="楷体_GB2312"/>
          <w:b/>
          <w:i w:val="0"/>
          <w:iCs w:val="0"/>
          <w:sz w:val="24"/>
          <w:highlight w:val="none"/>
        </w:rPr>
        <w:t>被授权人签字</w:t>
      </w:r>
      <w:r>
        <w:rPr>
          <w:rFonts w:hint="eastAsia" w:ascii="华文楷体" w:hAnsi="华文楷体" w:eastAsia="华文楷体" w:cs="楷体_GB2312"/>
          <w:b/>
          <w:i w:val="0"/>
          <w:iCs w:val="0"/>
          <w:sz w:val="24"/>
          <w:highlight w:val="none"/>
          <w:u w:val="single"/>
        </w:rPr>
        <w:tab/>
      </w:r>
      <w:r>
        <w:rPr>
          <w:rFonts w:hint="eastAsia" w:ascii="华文楷体" w:hAnsi="华文楷体" w:eastAsia="华文楷体" w:cs="楷体_GB2312"/>
          <w:b/>
          <w:i w:val="0"/>
          <w:iCs w:val="0"/>
          <w:sz w:val="24"/>
          <w:highlight w:val="none"/>
        </w:rPr>
        <w:tab/>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rPr>
      </w:pPr>
      <w:r>
        <w:rPr>
          <w:rFonts w:hint="eastAsia" w:ascii="华文楷体" w:hAnsi="华文楷体" w:eastAsia="华文楷体" w:cs="楷体_GB2312"/>
          <w:i w:val="0"/>
          <w:iCs w:val="0"/>
          <w:sz w:val="24"/>
          <w:highlight w:val="none"/>
        </w:rPr>
        <w:t>被授权人身份证号码：</w:t>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u w:val="single"/>
        </w:rPr>
      </w:pPr>
      <w:r>
        <w:rPr>
          <w:rFonts w:hint="eastAsia" w:ascii="华文楷体" w:hAnsi="华文楷体" w:eastAsia="华文楷体" w:cs="楷体_GB2312"/>
          <w:i w:val="0"/>
          <w:iCs w:val="0"/>
          <w:sz w:val="24"/>
          <w:highlight w:val="none"/>
        </w:rPr>
        <w:t>单位名称</w:t>
      </w:r>
      <w:r>
        <w:rPr>
          <w:rFonts w:hint="eastAsia" w:ascii="华文楷体" w:hAnsi="华文楷体" w:eastAsia="华文楷体" w:cs="楷体_GB2312"/>
          <w:i w:val="0"/>
          <w:iCs w:val="0"/>
          <w:sz w:val="24"/>
          <w:highlight w:val="none"/>
          <w:u w:val="single"/>
        </w:rPr>
        <w:tab/>
      </w:r>
      <w:r>
        <w:rPr>
          <w:rFonts w:hint="eastAsia" w:ascii="华文楷体" w:hAnsi="华文楷体" w:eastAsia="华文楷体" w:cs="楷体_GB2312"/>
          <w:i w:val="0"/>
          <w:iCs w:val="0"/>
          <w:sz w:val="24"/>
          <w:highlight w:val="none"/>
          <w:u w:val="single"/>
        </w:rPr>
        <w:t>（签章）</w:t>
      </w:r>
    </w:p>
    <w:p>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i w:val="0"/>
          <w:iCs w:val="0"/>
          <w:sz w:val="24"/>
          <w:highlight w:val="none"/>
          <w:u w:val="single"/>
        </w:rPr>
      </w:pPr>
      <w:r>
        <w:rPr>
          <w:rFonts w:hint="eastAsia" w:ascii="华文楷体" w:hAnsi="华文楷体" w:eastAsia="华文楷体" w:cs="楷体_GB2312"/>
          <w:i w:val="0"/>
          <w:iCs w:val="0"/>
          <w:sz w:val="24"/>
          <w:highlight w:val="none"/>
        </w:rPr>
        <w:t>地址</w:t>
      </w:r>
      <w:r>
        <w:rPr>
          <w:rFonts w:hint="eastAsia" w:ascii="华文楷体" w:hAnsi="华文楷体" w:eastAsia="华文楷体" w:cs="楷体_GB2312"/>
          <w:i w:val="0"/>
          <w:iCs w:val="0"/>
          <w:sz w:val="24"/>
          <w:highlight w:val="none"/>
          <w:u w:val="single"/>
        </w:rPr>
        <w:tab/>
      </w:r>
    </w:p>
    <w:tbl>
      <w:tblPr>
        <w:tblStyle w:val="13"/>
        <w:tblpPr w:leftFromText="180" w:rightFromText="180" w:vertAnchor="text" w:horzAnchor="margin" w:tblpXSpec="center" w:tblpY="14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7"/>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trPr>
        <w:tc>
          <w:tcPr>
            <w:tcW w:w="492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法定代表人身份证复印件（正面）</w:t>
            </w: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c>
          <w:tcPr>
            <w:tcW w:w="492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被授权人身份证复印件（正面）</w:t>
            </w: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trPr>
        <w:tc>
          <w:tcPr>
            <w:tcW w:w="492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法定代表人身份证复印件（反面）</w:t>
            </w: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c>
          <w:tcPr>
            <w:tcW w:w="4927" w:type="dxa"/>
            <w:tcBorders>
              <w:top w:val="single" w:color="auto" w:sz="4" w:space="0"/>
              <w:left w:val="single" w:color="auto" w:sz="4" w:space="0"/>
              <w:bottom w:val="single" w:color="auto" w:sz="4" w:space="0"/>
              <w:right w:val="single" w:color="auto" w:sz="4" w:space="0"/>
            </w:tcBorders>
            <w:noWrap w:val="0"/>
            <w:vAlign w:val="top"/>
          </w:tcPr>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被授权人身份证复印件（反面）</w:t>
            </w:r>
          </w:p>
          <w:p>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r>
    </w:tbl>
    <w:p>
      <w:pPr>
        <w:keepNext w:val="0"/>
        <w:keepLines w:val="0"/>
        <w:pageBreakBefore w:val="0"/>
        <w:widowControl w:val="0"/>
        <w:kinsoku/>
        <w:wordWrap/>
        <w:overflowPunct/>
        <w:topLinePunct w:val="0"/>
        <w:autoSpaceDE/>
        <w:autoSpaceDN/>
        <w:bidi w:val="0"/>
        <w:adjustRightInd/>
        <w:snapToGrid/>
        <w:spacing w:line="120" w:lineRule="auto"/>
        <w:textAlignment w:val="auto"/>
        <w:outlineLvl w:val="1"/>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注：</w:t>
      </w:r>
      <w:r>
        <w:rPr>
          <w:rFonts w:hint="eastAsia" w:ascii="华文楷体" w:hAnsi="华文楷体" w:eastAsia="华文楷体"/>
          <w:b/>
          <w:i w:val="0"/>
          <w:iCs w:val="0"/>
          <w:sz w:val="24"/>
          <w:highlight w:val="none"/>
        </w:rPr>
        <w:t xml:space="preserve">1、须在两张复印件交接处加盖公章。 </w:t>
      </w:r>
    </w:p>
    <w:p>
      <w:pPr>
        <w:keepNext w:val="0"/>
        <w:keepLines w:val="0"/>
        <w:pageBreakBefore w:val="0"/>
        <w:widowControl w:val="0"/>
        <w:kinsoku/>
        <w:wordWrap/>
        <w:overflowPunct/>
        <w:topLinePunct w:val="0"/>
        <w:autoSpaceDE/>
        <w:autoSpaceDN/>
        <w:bidi w:val="0"/>
        <w:adjustRightInd/>
        <w:snapToGrid/>
        <w:spacing w:line="120" w:lineRule="auto"/>
        <w:ind w:firstLine="480" w:firstLineChars="200"/>
        <w:textAlignment w:val="auto"/>
        <w:rPr>
          <w:rFonts w:ascii="华文楷体" w:hAnsi="华文楷体" w:eastAsia="华文楷体"/>
          <w:b/>
          <w:i w:val="0"/>
          <w:iCs w:val="0"/>
          <w:sz w:val="24"/>
          <w:highlight w:val="none"/>
        </w:rPr>
      </w:pPr>
      <w:r>
        <w:rPr>
          <w:rFonts w:hint="eastAsia" w:ascii="华文楷体" w:hAnsi="华文楷体" w:eastAsia="华文楷体"/>
          <w:b/>
          <w:i w:val="0"/>
          <w:iCs w:val="0"/>
          <w:sz w:val="24"/>
          <w:highlight w:val="none"/>
        </w:rPr>
        <w:t>2、参加现场谈判的法定代表人或被授权人须携带有效身份证原件。</w:t>
      </w:r>
    </w:p>
    <w:p>
      <w:pPr>
        <w:keepNext w:val="0"/>
        <w:keepLines w:val="0"/>
        <w:widowControl w:val="0"/>
        <w:suppressLineNumbers w:val="0"/>
        <w:spacing w:before="0" w:beforeAutospacing="0" w:after="0" w:afterAutospacing="0"/>
        <w:ind w:left="0" w:right="0"/>
        <w:jc w:val="both"/>
        <w:outlineLvl w:val="0"/>
        <w:rPr>
          <w:rFonts w:hint="default" w:ascii="宋体" w:hAnsi="宋体" w:eastAsia="黑体" w:cs="Times New Roman"/>
          <w:kern w:val="2"/>
          <w:sz w:val="28"/>
          <w:szCs w:val="28"/>
          <w:lang w:val="en-US"/>
        </w:rPr>
      </w:pPr>
      <w:r>
        <w:rPr>
          <w:rFonts w:hint="eastAsia" w:ascii="宋体" w:hAnsi="宋体"/>
          <w:b/>
          <w:i w:val="0"/>
          <w:iCs w:val="0"/>
          <w:sz w:val="24"/>
          <w:highlight w:val="none"/>
        </w:rPr>
        <w:t xml:space="preserve">                                              </w:t>
      </w:r>
      <w:r>
        <w:rPr>
          <w:rFonts w:ascii="宋体" w:hAnsi="宋体"/>
          <w:b/>
          <w:i w:val="0"/>
          <w:iCs w:val="0"/>
          <w:sz w:val="24"/>
          <w:highlight w:val="none"/>
        </w:rPr>
        <w:t>20</w:t>
      </w:r>
      <w:r>
        <w:rPr>
          <w:rFonts w:hint="eastAsia" w:ascii="宋体" w:hAnsi="宋体"/>
          <w:b/>
          <w:i w:val="0"/>
          <w:iCs w:val="0"/>
          <w:sz w:val="24"/>
          <w:highlight w:val="none"/>
        </w:rPr>
        <w:t>XX年XX月XX日</w:t>
      </w:r>
      <w:r>
        <w:rPr>
          <w:rFonts w:hint="eastAsia" w:ascii="华文楷体" w:hAnsi="华文楷体" w:eastAsia="华文楷体" w:cs="Times New Roman"/>
          <w:b/>
          <w:i w:val="0"/>
          <w:iCs w:val="0"/>
          <w:sz w:val="30"/>
          <w:szCs w:val="30"/>
          <w:highlight w:val="none"/>
          <w:lang w:val="en-US" w:eastAsia="zh-CN"/>
        </w:rPr>
        <w:br w:type="page"/>
      </w:r>
      <w:r>
        <w:rPr>
          <w:rFonts w:hint="default" w:ascii="黑体" w:hAnsi="宋体" w:eastAsia="黑体" w:cs="黑体"/>
          <w:kern w:val="2"/>
          <w:sz w:val="32"/>
          <w:szCs w:val="32"/>
          <w:lang w:val="en-US" w:eastAsia="zh-CN" w:bidi="ar"/>
        </w:rPr>
        <w:t>附件</w:t>
      </w:r>
      <w:r>
        <w:rPr>
          <w:rFonts w:hint="eastAsia" w:ascii="黑体" w:hAnsi="宋体" w:eastAsia="黑体" w:cs="黑体"/>
          <w:kern w:val="2"/>
          <w:sz w:val="32"/>
          <w:szCs w:val="32"/>
          <w:lang w:val="en-US" w:eastAsia="zh-CN" w:bidi="ar"/>
        </w:rPr>
        <w:t>2</w:t>
      </w:r>
    </w:p>
    <w:p>
      <w:pPr>
        <w:keepNext w:val="0"/>
        <w:keepLines w:val="0"/>
        <w:widowControl w:val="0"/>
        <w:suppressLineNumbers w:val="0"/>
        <w:spacing w:before="0" w:beforeAutospacing="0" w:after="0" w:afterAutospacing="0" w:line="720" w:lineRule="auto"/>
        <w:ind w:left="0" w:right="0"/>
        <w:jc w:val="center"/>
        <w:outlineLvl w:val="2"/>
        <w:rPr>
          <w:rFonts w:hint="default" w:ascii="方正小标宋简体" w:hAnsi="宋体" w:eastAsia="方正小标宋简体" w:cs="Times New Roman"/>
          <w:kern w:val="2"/>
          <w:sz w:val="44"/>
          <w:szCs w:val="44"/>
        </w:rPr>
      </w:pPr>
      <w:r>
        <w:rPr>
          <w:rFonts w:hint="default" w:ascii="方正小标宋简体" w:hAnsi="方正小标宋简体" w:eastAsia="方正小标宋简体" w:cs="方正小标宋简体"/>
          <w:kern w:val="2"/>
          <w:sz w:val="44"/>
          <w:szCs w:val="44"/>
          <w:lang w:val="en-US" w:eastAsia="zh-CN" w:bidi="ar"/>
        </w:rPr>
        <w:t>领取采购文件供应商登记表</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5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项目名称</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项目编号</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供应商名称</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Arial"/>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原厂商</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（选填）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供应商领取人</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职  务</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联系电话</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传   真</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邮   箱</w:t>
            </w:r>
          </w:p>
        </w:tc>
        <w:tc>
          <w:tcPr>
            <w:tcW w:w="5720" w:type="dxa"/>
            <w:tcBorders>
              <w:top w:val="single" w:color="auto" w:sz="4" w:space="0"/>
              <w:left w:val="nil"/>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8"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备  注</w:t>
            </w:r>
          </w:p>
        </w:tc>
        <w:tc>
          <w:tcPr>
            <w:tcW w:w="5720" w:type="dxa"/>
            <w:tcBorders>
              <w:top w:val="single" w:color="auto" w:sz="4" w:space="0"/>
              <w:left w:val="nil"/>
              <w:bottom w:val="single" w:color="auto" w:sz="4" w:space="0"/>
              <w:right w:val="single" w:color="auto" w:sz="4" w:space="0"/>
            </w:tcBorders>
            <w:noWrap w:val="0"/>
            <w:vAlign w:val="top"/>
          </w:tcPr>
          <w:p>
            <w:pPr>
              <w:keepNext w:val="0"/>
              <w:keepLines w:val="0"/>
              <w:widowControl w:val="0"/>
              <w:suppressLineNumbers w:val="0"/>
              <w:spacing w:before="0" w:beforeAutospacing="0" w:after="120" w:afterAutospacing="0"/>
              <w:ind w:left="0" w:right="0"/>
              <w:jc w:val="both"/>
              <w:rPr>
                <w:rFonts w:hint="eastAsia" w:ascii="宋体" w:hAnsi="宋体" w:eastAsia="宋体" w:cs="Times New Roman"/>
                <w:kern w:val="2"/>
                <w:sz w:val="24"/>
                <w:szCs w:val="24"/>
              </w:rPr>
            </w:pPr>
          </w:p>
          <w:p>
            <w:pPr>
              <w:keepNext w:val="0"/>
              <w:keepLines w:val="0"/>
              <w:widowControl w:val="0"/>
              <w:suppressLineNumbers w:val="0"/>
              <w:spacing w:before="0" w:beforeAutospacing="0" w:after="120" w:afterAutospacing="0"/>
              <w:ind w:left="0" w:right="0"/>
              <w:jc w:val="both"/>
              <w:rPr>
                <w:rFonts w:hint="eastAsia" w:ascii="宋体" w:hAnsi="宋体" w:eastAsia="宋体" w:cs="Times New Roman"/>
                <w:kern w:val="2"/>
                <w:sz w:val="24"/>
                <w:szCs w:val="24"/>
              </w:rPr>
            </w:pPr>
          </w:p>
          <w:p>
            <w:pPr>
              <w:keepNext w:val="0"/>
              <w:keepLines w:val="0"/>
              <w:widowControl w:val="0"/>
              <w:suppressLineNumbers w:val="0"/>
              <w:spacing w:before="0" w:beforeAutospacing="0" w:after="120" w:afterAutospacing="0"/>
              <w:ind w:left="0" w:right="0" w:firstLine="600" w:firstLineChars="250"/>
              <w:jc w:val="both"/>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我单位同意按采购文件要求参加投标（磋商、谈判）并提交资料。</w:t>
            </w:r>
          </w:p>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bCs/>
                <w:kern w:val="2"/>
                <w:sz w:val="24"/>
                <w:szCs w:val="24"/>
              </w:rPr>
            </w:pPr>
          </w:p>
          <w:p>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bCs/>
                <w:kern w:val="2"/>
                <w:sz w:val="24"/>
                <w:szCs w:val="24"/>
              </w:rPr>
            </w:pPr>
          </w:p>
          <w:p>
            <w:pPr>
              <w:keepNext w:val="0"/>
              <w:keepLines w:val="0"/>
              <w:widowControl w:val="0"/>
              <w:suppressLineNumbers w:val="0"/>
              <w:spacing w:before="0" w:beforeAutospacing="0" w:after="0" w:afterAutospacing="0" w:line="480" w:lineRule="auto"/>
              <w:ind w:left="0" w:right="0" w:firstLine="2880" w:firstLineChars="1200"/>
              <w:jc w:val="both"/>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供应商单位公章</w:t>
            </w:r>
          </w:p>
          <w:p>
            <w:pPr>
              <w:keepNext w:val="0"/>
              <w:keepLines w:val="0"/>
              <w:widowControl w:val="0"/>
              <w:suppressLineNumbers w:val="0"/>
              <w:spacing w:before="0" w:beforeAutospacing="0" w:after="0" w:afterAutospacing="0" w:line="480" w:lineRule="auto"/>
              <w:ind w:left="0" w:right="0" w:firstLine="3360" w:firstLineChars="1400"/>
              <w:jc w:val="both"/>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年  月  日</w:t>
            </w:r>
          </w:p>
        </w:tc>
      </w:tr>
    </w:tbl>
    <w:p>
      <w:pPr>
        <w:snapToGrid w:val="0"/>
        <w:spacing w:line="360" w:lineRule="auto"/>
        <w:ind w:firstLine="600" w:firstLineChars="200"/>
        <w:rPr>
          <w:rFonts w:hint="eastAsia" w:ascii="黑体" w:hAnsi="黑体" w:eastAsia="黑体" w:cs="Times New Roman"/>
          <w:sz w:val="32"/>
          <w:szCs w:val="32"/>
          <w:highlight w:val="none"/>
          <w:lang w:val="en-US" w:eastAsia="zh-CN"/>
        </w:rPr>
      </w:pPr>
      <w:r>
        <w:rPr>
          <w:rFonts w:hint="eastAsia" w:ascii="华文楷体" w:hAnsi="华文楷体" w:eastAsia="华文楷体" w:cs="Times New Roman"/>
          <w:b/>
          <w:i w:val="0"/>
          <w:iCs w:val="0"/>
          <w:sz w:val="30"/>
          <w:szCs w:val="30"/>
          <w:highlight w:val="none"/>
          <w:lang w:val="en-US" w:eastAsia="zh-CN"/>
        </w:rPr>
        <w:br w:type="page"/>
      </w:r>
      <w:r>
        <w:rPr>
          <w:rFonts w:hint="eastAsia" w:ascii="黑体" w:hAnsi="黑体" w:eastAsia="黑体" w:cs="Times New Roman"/>
          <w:sz w:val="32"/>
          <w:szCs w:val="32"/>
          <w:highlight w:val="none"/>
          <w:lang w:val="en-US" w:eastAsia="zh-CN"/>
        </w:rPr>
        <w:t>附件3：</w:t>
      </w:r>
    </w:p>
    <w:p>
      <w:pPr>
        <w:snapToGrid w:val="0"/>
        <w:spacing w:line="360" w:lineRule="auto"/>
        <w:ind w:firstLine="640" w:firstLineChars="200"/>
        <w:jc w:val="cente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t>合同模板</w:t>
      </w:r>
    </w:p>
    <w:p>
      <w:pPr>
        <w:keepNext w:val="0"/>
        <w:keepLines w:val="0"/>
        <w:widowControl w:val="0"/>
        <w:suppressLineNumbers w:val="0"/>
        <w:wordWrap w:val="0"/>
        <w:spacing w:before="120" w:beforeAutospacing="0" w:after="120" w:afterAutospacing="0"/>
        <w:ind w:left="0" w:right="0"/>
        <w:jc w:val="right"/>
        <w:rPr>
          <w:rFonts w:hint="default" w:ascii="仿宋_GB2312" w:hAnsi="Times New Roman" w:eastAsia="仿宋_GB2312" w:cs="宋体"/>
          <w:b/>
          <w:bCs/>
          <w:kern w:val="2"/>
          <w:sz w:val="28"/>
          <w:szCs w:val="28"/>
        </w:rPr>
      </w:pPr>
      <w:r>
        <w:rPr>
          <w:rFonts w:hint="default" w:ascii="仿宋_GB2312" w:hAnsi="Times New Roman" w:eastAsia="仿宋_GB2312" w:cs="仿宋_GB2312"/>
          <w:kern w:val="2"/>
          <w:sz w:val="28"/>
          <w:szCs w:val="28"/>
          <w:lang w:val="en-US" w:eastAsia="zh-CN" w:bidi="ar"/>
        </w:rPr>
        <w:t>合同编号：</w:t>
      </w:r>
      <w:r>
        <w:rPr>
          <w:rFonts w:hint="default" w:ascii="仿宋_GB2312" w:hAnsi="Times New Roman" w:eastAsia="仿宋_GB2312" w:cs="Times New Roman"/>
          <w:kern w:val="2"/>
          <w:sz w:val="28"/>
          <w:szCs w:val="28"/>
          <w:lang w:val="en-US" w:eastAsia="zh-CN" w:bidi="ar"/>
        </w:rPr>
        <w:t xml:space="preserve">         </w:t>
      </w:r>
    </w:p>
    <w:p>
      <w:pPr>
        <w:keepNext w:val="0"/>
        <w:keepLines w:val="0"/>
        <w:widowControl w:val="0"/>
        <w:suppressLineNumbers w:val="0"/>
        <w:spacing w:before="120" w:beforeAutospacing="0" w:after="120" w:afterAutospacing="0"/>
        <w:ind w:left="0" w:right="0"/>
        <w:jc w:val="center"/>
        <w:rPr>
          <w:rFonts w:hint="default" w:ascii="黑体" w:hAnsi="宋体" w:eastAsia="黑体" w:cs="宋体"/>
          <w:b/>
          <w:bCs/>
          <w:kern w:val="2"/>
          <w:sz w:val="52"/>
          <w:szCs w:val="52"/>
        </w:rPr>
      </w:pPr>
      <w:r>
        <w:rPr>
          <w:rFonts w:hint="default" w:ascii="黑体" w:hAnsi="宋体" w:eastAsia="黑体" w:cs="黑体"/>
          <w:b/>
          <w:bCs/>
          <w:kern w:val="2"/>
          <w:sz w:val="52"/>
          <w:szCs w:val="52"/>
          <w:lang w:val="en-US" w:eastAsia="zh-CN" w:bidi="ar"/>
        </w:rPr>
        <w:t>盐城区域现金处理中心</w:t>
      </w:r>
    </w:p>
    <w:p>
      <w:pPr>
        <w:keepNext w:val="0"/>
        <w:keepLines w:val="0"/>
        <w:widowControl w:val="0"/>
        <w:suppressLineNumbers w:val="0"/>
        <w:spacing w:before="120" w:beforeAutospacing="0" w:after="120" w:afterAutospacing="0"/>
        <w:ind w:left="0" w:right="0"/>
        <w:jc w:val="center"/>
        <w:rPr>
          <w:rFonts w:hint="default" w:ascii="仿宋" w:hAnsi="仿宋" w:eastAsia="仿宋" w:cs="仿宋"/>
          <w:b w:val="0"/>
          <w:bCs w:val="0"/>
          <w:kern w:val="2"/>
          <w:sz w:val="30"/>
          <w:szCs w:val="30"/>
        </w:rPr>
      </w:pPr>
      <w:r>
        <w:rPr>
          <w:rFonts w:hint="default" w:ascii="黑体" w:hAnsi="宋体" w:eastAsia="黑体" w:cs="黑体"/>
          <w:b/>
          <w:bCs/>
          <w:kern w:val="2"/>
          <w:sz w:val="52"/>
          <w:szCs w:val="52"/>
          <w:lang w:val="en-US" w:eastAsia="zh-CN" w:bidi="ar"/>
        </w:rPr>
        <w:t>人民币业务服务协议</w:t>
      </w:r>
    </w:p>
    <w:p>
      <w:pPr>
        <w:keepNext w:val="0"/>
        <w:keepLines w:val="0"/>
        <w:widowControl w:val="0"/>
        <w:suppressLineNumbers w:val="0"/>
        <w:spacing w:before="120" w:beforeAutospacing="0" w:after="120" w:afterAutospacing="0"/>
        <w:ind w:left="0" w:right="0"/>
        <w:jc w:val="both"/>
        <w:rPr>
          <w:rFonts w:hint="default" w:ascii="仿宋" w:hAnsi="仿宋" w:eastAsia="仿宋" w:cs="仿宋"/>
          <w:b w:val="0"/>
          <w:bCs w:val="0"/>
          <w:kern w:val="2"/>
          <w:sz w:val="30"/>
          <w:szCs w:val="30"/>
        </w:rPr>
      </w:pPr>
      <w:r>
        <w:rPr>
          <w:rFonts w:hint="default" w:ascii="仿宋" w:hAnsi="仿宋" w:eastAsia="仿宋" w:cs="仿宋"/>
          <w:b w:val="0"/>
          <w:bCs w:val="0"/>
          <w:kern w:val="2"/>
          <w:sz w:val="30"/>
          <w:szCs w:val="30"/>
          <w:lang w:val="en-US" w:eastAsia="zh-CN" w:bidi="ar"/>
        </w:rPr>
        <w:t xml:space="preserve"> </w:t>
      </w:r>
    </w:p>
    <w:p>
      <w:pPr>
        <w:keepNext w:val="0"/>
        <w:keepLines w:val="0"/>
        <w:widowControl w:val="0"/>
        <w:suppressLineNumbers w:val="0"/>
        <w:spacing w:before="120" w:beforeAutospacing="0" w:after="120" w:afterAutospacing="0"/>
        <w:ind w:left="0" w:right="0"/>
        <w:jc w:val="both"/>
        <w:rPr>
          <w:rFonts w:hint="default" w:ascii="仿宋_GB2312" w:eastAsia="仿宋_GB2312" w:cs="仿宋_GB2312"/>
          <w:color w:val="000000"/>
          <w:kern w:val="2"/>
          <w:sz w:val="28"/>
          <w:szCs w:val="28"/>
          <w:u w:val="single"/>
        </w:rPr>
      </w:pPr>
      <w:r>
        <w:rPr>
          <w:rFonts w:hint="default" w:ascii="仿宋" w:hAnsi="仿宋" w:eastAsia="仿宋" w:cs="仿宋"/>
          <w:b w:val="0"/>
          <w:bCs w:val="0"/>
          <w:kern w:val="2"/>
          <w:sz w:val="28"/>
          <w:szCs w:val="28"/>
          <w:lang w:val="en-US" w:eastAsia="zh-CN" w:bidi="ar"/>
        </w:rPr>
        <w:t>甲方：</w:t>
      </w:r>
      <w:r>
        <w:rPr>
          <w:rFonts w:hint="default" w:ascii="仿宋" w:hAnsi="仿宋" w:eastAsia="仿宋" w:cs="仿宋"/>
          <w:b w:val="0"/>
          <w:bCs w:val="0"/>
          <w:kern w:val="2"/>
          <w:sz w:val="28"/>
          <w:szCs w:val="28"/>
          <w:u w:val="single"/>
          <w:lang w:val="en-US" w:eastAsia="zh-CN" w:bidi="ar"/>
        </w:rPr>
        <w:t xml:space="preserve"> </w:t>
      </w:r>
      <w:r>
        <w:rPr>
          <w:rFonts w:hint="default" w:ascii="仿宋_GB2312" w:hAnsi="Times New Roman" w:eastAsia="仿宋_GB2312" w:cs="仿宋_GB2312"/>
          <w:color w:val="000000"/>
          <w:kern w:val="2"/>
          <w:sz w:val="28"/>
          <w:szCs w:val="28"/>
          <w:u w:val="single"/>
          <w:lang w:val="en-US" w:eastAsia="zh-CN" w:bidi="ar"/>
        </w:rPr>
        <w:t>浙商银行股份有限公司盐城分行</w:t>
      </w:r>
    </w:p>
    <w:p>
      <w:pPr>
        <w:keepNext w:val="0"/>
        <w:keepLines w:val="0"/>
        <w:widowControl w:val="0"/>
        <w:suppressLineNumbers w:val="0"/>
        <w:spacing w:before="120" w:beforeAutospacing="0" w:after="120" w:afterAutospacing="0"/>
        <w:ind w:left="0" w:right="0"/>
        <w:jc w:val="both"/>
        <w:rPr>
          <w:rFonts w:hint="default" w:ascii="仿宋" w:hAnsi="仿宋" w:eastAsia="仿宋" w:cs="仿宋"/>
          <w:b w:val="0"/>
          <w:bCs w:val="0"/>
          <w:kern w:val="2"/>
          <w:sz w:val="28"/>
          <w:szCs w:val="28"/>
        </w:rPr>
      </w:pPr>
      <w:r>
        <w:rPr>
          <w:rFonts w:hint="default" w:ascii="仿宋" w:hAnsi="仿宋" w:eastAsia="仿宋" w:cs="仿宋"/>
          <w:b w:val="0"/>
          <w:bCs w:val="0"/>
          <w:kern w:val="2"/>
          <w:sz w:val="28"/>
          <w:szCs w:val="28"/>
          <w:lang w:val="en-US" w:eastAsia="zh-CN" w:bidi="ar"/>
        </w:rPr>
        <w:t>法人代表：</w:t>
      </w:r>
      <w:r>
        <w:rPr>
          <w:rFonts w:hint="default" w:ascii="仿宋" w:hAnsi="仿宋" w:eastAsia="仿宋" w:cs="仿宋"/>
          <w:b w:val="0"/>
          <w:bCs w:val="0"/>
          <w:kern w:val="2"/>
          <w:sz w:val="28"/>
          <w:szCs w:val="28"/>
          <w:u w:val="single"/>
          <w:lang w:val="en-US" w:eastAsia="zh-CN" w:bidi="ar"/>
        </w:rPr>
        <w:t xml:space="preserve">  王存林             </w:t>
      </w:r>
    </w:p>
    <w:p>
      <w:pPr>
        <w:keepNext w:val="0"/>
        <w:keepLines w:val="0"/>
        <w:widowControl w:val="0"/>
        <w:suppressLineNumbers w:val="0"/>
        <w:spacing w:before="0" w:beforeAutospacing="0" w:after="0" w:afterAutospacing="0"/>
        <w:ind w:left="0" w:right="0"/>
        <w:jc w:val="both"/>
        <w:rPr>
          <w:rFonts w:hint="default" w:ascii="仿宋" w:hAnsi="仿宋" w:eastAsia="仿宋" w:cs="仿宋"/>
          <w:b w:val="0"/>
          <w:bCs w:val="0"/>
          <w:kern w:val="2"/>
          <w:sz w:val="28"/>
          <w:szCs w:val="28"/>
          <w:u w:val="single"/>
        </w:rPr>
      </w:pPr>
      <w:r>
        <w:rPr>
          <w:rFonts w:hint="default" w:ascii="仿宋" w:hAnsi="仿宋" w:eastAsia="仿宋" w:cs="仿宋"/>
          <w:b w:val="0"/>
          <w:bCs w:val="0"/>
          <w:kern w:val="2"/>
          <w:sz w:val="28"/>
          <w:szCs w:val="28"/>
          <w:lang w:val="en-US" w:eastAsia="zh-CN" w:bidi="ar"/>
        </w:rPr>
        <w:t>单位地址：</w:t>
      </w:r>
      <w:r>
        <w:rPr>
          <w:rFonts w:hint="default" w:ascii="仿宋" w:hAnsi="仿宋" w:eastAsia="仿宋" w:cs="仿宋"/>
          <w:b w:val="0"/>
          <w:bCs w:val="0"/>
          <w:kern w:val="2"/>
          <w:sz w:val="28"/>
          <w:szCs w:val="28"/>
          <w:u w:val="single"/>
          <w:lang w:val="en-US" w:eastAsia="zh-CN" w:bidi="ar"/>
        </w:rPr>
        <w:t xml:space="preserve">  </w:t>
      </w:r>
      <w:r>
        <w:rPr>
          <w:rFonts w:hint="default" w:ascii="仿宋_GB2312" w:hAnsi="Times New Roman" w:eastAsia="仿宋_GB2312" w:cs="仿宋_GB2312"/>
          <w:kern w:val="2"/>
          <w:sz w:val="28"/>
          <w:szCs w:val="28"/>
          <w:u w:val="single"/>
          <w:lang w:val="en-US" w:eastAsia="zh-CN" w:bidi="ar"/>
        </w:rPr>
        <w:t xml:space="preserve">盐城市开放大道中路6号 悦珑湾花园38幢101-103室 </w:t>
      </w:r>
      <w:r>
        <w:rPr>
          <w:rFonts w:hint="default" w:ascii="仿宋" w:hAnsi="仿宋" w:eastAsia="仿宋" w:cs="仿宋"/>
          <w:b w:val="0"/>
          <w:bCs w:val="0"/>
          <w:kern w:val="2"/>
          <w:sz w:val="28"/>
          <w:szCs w:val="28"/>
          <w:u w:val="single"/>
          <w:lang w:val="en-US" w:eastAsia="zh-CN" w:bidi="ar"/>
        </w:rPr>
        <w:t xml:space="preserve">                    </w:t>
      </w:r>
    </w:p>
    <w:p>
      <w:pPr>
        <w:keepNext w:val="0"/>
        <w:keepLines w:val="0"/>
        <w:widowControl w:val="0"/>
        <w:suppressLineNumbers w:val="0"/>
        <w:spacing w:before="120" w:beforeAutospacing="0" w:after="120" w:afterAutospacing="0"/>
        <w:ind w:left="0" w:right="0"/>
        <w:jc w:val="both"/>
        <w:rPr>
          <w:rFonts w:hint="default" w:ascii="仿宋" w:hAnsi="仿宋" w:eastAsia="仿宋" w:cs="仿宋"/>
          <w:b w:val="0"/>
          <w:bCs w:val="0"/>
          <w:kern w:val="2"/>
          <w:sz w:val="28"/>
          <w:szCs w:val="28"/>
          <w:u w:val="single"/>
        </w:rPr>
      </w:pPr>
      <w:r>
        <w:rPr>
          <w:rFonts w:hint="default" w:ascii="仿宋" w:hAnsi="仿宋" w:eastAsia="仿宋" w:cs="仿宋"/>
          <w:b w:val="0"/>
          <w:bCs w:val="0"/>
          <w:kern w:val="2"/>
          <w:sz w:val="28"/>
          <w:szCs w:val="28"/>
          <w:lang w:val="en-US" w:eastAsia="zh-CN" w:bidi="ar"/>
        </w:rPr>
        <w:t>联系电话：</w:t>
      </w:r>
      <w:r>
        <w:rPr>
          <w:rFonts w:hint="default" w:ascii="仿宋" w:hAnsi="仿宋" w:eastAsia="仿宋" w:cs="仿宋"/>
          <w:b w:val="0"/>
          <w:bCs w:val="0"/>
          <w:kern w:val="2"/>
          <w:sz w:val="28"/>
          <w:szCs w:val="28"/>
          <w:u w:val="single"/>
          <w:lang w:val="en-US" w:eastAsia="zh-CN" w:bidi="ar"/>
        </w:rPr>
        <w:t xml:space="preserve">     0515-89088800                              </w:t>
      </w:r>
    </w:p>
    <w:p>
      <w:pPr>
        <w:keepNext w:val="0"/>
        <w:keepLines w:val="0"/>
        <w:widowControl w:val="0"/>
        <w:suppressLineNumbers w:val="0"/>
        <w:spacing w:before="120" w:beforeAutospacing="0" w:after="120" w:afterAutospacing="0"/>
        <w:ind w:left="0" w:right="0"/>
        <w:jc w:val="both"/>
        <w:rPr>
          <w:rFonts w:hint="default" w:ascii="仿宋_GB2312" w:hAnsi="Times New Roman" w:eastAsia="仿宋_GB2312" w:cs="宋体"/>
          <w:b/>
          <w:bCs/>
          <w:kern w:val="2"/>
          <w:sz w:val="28"/>
          <w:szCs w:val="28"/>
        </w:rPr>
      </w:pPr>
      <w:r>
        <w:rPr>
          <w:rFonts w:hint="default" w:ascii="仿宋" w:hAnsi="仿宋" w:eastAsia="仿宋" w:cs="仿宋"/>
          <w:b w:val="0"/>
          <w:bCs w:val="0"/>
          <w:kern w:val="2"/>
          <w:sz w:val="28"/>
          <w:szCs w:val="28"/>
          <w:lang w:val="en-US" w:eastAsia="zh-CN" w:bidi="ar"/>
        </w:rPr>
        <w:t>乙方：</w:t>
      </w:r>
      <w:r>
        <w:rPr>
          <w:rFonts w:hint="default" w:ascii="仿宋" w:hAnsi="仿宋" w:eastAsia="仿宋" w:cs="仿宋"/>
          <w:b w:val="0"/>
          <w:bCs w:val="0"/>
          <w:kern w:val="2"/>
          <w:sz w:val="28"/>
          <w:szCs w:val="28"/>
          <w:u w:val="single"/>
          <w:lang w:val="en-US" w:eastAsia="zh-CN" w:bidi="ar"/>
        </w:rPr>
        <w:t xml:space="preserve">                  </w:t>
      </w:r>
    </w:p>
    <w:p>
      <w:pPr>
        <w:keepNext w:val="0"/>
        <w:keepLines w:val="0"/>
        <w:widowControl w:val="0"/>
        <w:suppressLineNumbers w:val="0"/>
        <w:spacing w:before="120" w:beforeAutospacing="0" w:after="120" w:afterAutospacing="0"/>
        <w:ind w:left="0" w:right="0"/>
        <w:jc w:val="both"/>
        <w:rPr>
          <w:rFonts w:hint="default" w:ascii="仿宋" w:hAnsi="仿宋" w:eastAsia="仿宋" w:cs="仿宋"/>
          <w:b w:val="0"/>
          <w:bCs w:val="0"/>
          <w:kern w:val="2"/>
          <w:sz w:val="28"/>
          <w:szCs w:val="28"/>
        </w:rPr>
      </w:pPr>
      <w:r>
        <w:rPr>
          <w:rFonts w:hint="default" w:ascii="仿宋" w:hAnsi="仿宋" w:eastAsia="仿宋" w:cs="仿宋"/>
          <w:b w:val="0"/>
          <w:bCs w:val="0"/>
          <w:kern w:val="2"/>
          <w:sz w:val="28"/>
          <w:szCs w:val="28"/>
          <w:lang w:val="en-US" w:eastAsia="zh-CN" w:bidi="ar"/>
        </w:rPr>
        <w:t>法人代表：</w:t>
      </w:r>
      <w:r>
        <w:rPr>
          <w:rFonts w:hint="default" w:ascii="仿宋" w:hAnsi="仿宋" w:eastAsia="仿宋" w:cs="仿宋"/>
          <w:b w:val="0"/>
          <w:bCs w:val="0"/>
          <w:kern w:val="2"/>
          <w:sz w:val="28"/>
          <w:szCs w:val="28"/>
          <w:u w:val="single"/>
          <w:lang w:val="en-US" w:eastAsia="zh-CN" w:bidi="ar"/>
        </w:rPr>
        <w:t xml:space="preserve">                            </w:t>
      </w:r>
    </w:p>
    <w:p>
      <w:pPr>
        <w:keepNext w:val="0"/>
        <w:keepLines w:val="0"/>
        <w:widowControl w:val="0"/>
        <w:suppressLineNumbers w:val="0"/>
        <w:spacing w:before="120" w:beforeAutospacing="0" w:after="120" w:afterAutospacing="0"/>
        <w:ind w:left="0" w:right="0"/>
        <w:jc w:val="both"/>
        <w:rPr>
          <w:rFonts w:hint="default" w:ascii="仿宋" w:hAnsi="仿宋" w:eastAsia="仿宋" w:cs="仿宋"/>
          <w:b w:val="0"/>
          <w:bCs w:val="0"/>
          <w:kern w:val="2"/>
          <w:sz w:val="28"/>
          <w:szCs w:val="28"/>
          <w:u w:val="single"/>
        </w:rPr>
      </w:pPr>
      <w:r>
        <w:rPr>
          <w:rFonts w:hint="default" w:ascii="仿宋" w:hAnsi="仿宋" w:eastAsia="仿宋" w:cs="仿宋"/>
          <w:b w:val="0"/>
          <w:bCs w:val="0"/>
          <w:kern w:val="2"/>
          <w:sz w:val="28"/>
          <w:szCs w:val="28"/>
          <w:lang w:val="en-US" w:eastAsia="zh-CN" w:bidi="ar"/>
        </w:rPr>
        <w:t>地址：</w:t>
      </w:r>
      <w:r>
        <w:rPr>
          <w:rFonts w:hint="default" w:ascii="仿宋" w:hAnsi="仿宋" w:eastAsia="仿宋" w:cs="仿宋"/>
          <w:b w:val="0"/>
          <w:bCs w:val="0"/>
          <w:kern w:val="2"/>
          <w:sz w:val="28"/>
          <w:szCs w:val="28"/>
          <w:u w:val="single"/>
          <w:lang w:val="en-US" w:eastAsia="zh-CN" w:bidi="ar"/>
        </w:rPr>
        <w:t xml:space="preserve">              </w:t>
      </w:r>
    </w:p>
    <w:p>
      <w:pPr>
        <w:keepNext w:val="0"/>
        <w:keepLines w:val="0"/>
        <w:widowControl w:val="0"/>
        <w:suppressLineNumbers w:val="0"/>
        <w:spacing w:before="120" w:beforeAutospacing="0" w:after="120" w:afterAutospacing="0"/>
        <w:ind w:left="0" w:right="0"/>
        <w:jc w:val="both"/>
        <w:rPr>
          <w:rFonts w:hint="default" w:ascii="仿宋" w:hAnsi="仿宋" w:eastAsia="仿宋" w:cs="仿宋"/>
          <w:b w:val="0"/>
          <w:bCs w:val="0"/>
          <w:kern w:val="2"/>
          <w:sz w:val="28"/>
          <w:szCs w:val="28"/>
          <w:u w:val="single"/>
        </w:rPr>
      </w:pPr>
      <w:r>
        <w:rPr>
          <w:rFonts w:hint="default" w:ascii="仿宋" w:hAnsi="仿宋" w:eastAsia="仿宋" w:cs="仿宋"/>
          <w:b w:val="0"/>
          <w:bCs w:val="0"/>
          <w:kern w:val="2"/>
          <w:sz w:val="28"/>
          <w:szCs w:val="28"/>
          <w:lang w:val="en-US" w:eastAsia="zh-CN" w:bidi="ar"/>
        </w:rPr>
        <w:t>联系电话：</w:t>
      </w:r>
      <w:r>
        <w:rPr>
          <w:rFonts w:hint="default" w:ascii="仿宋" w:hAnsi="仿宋" w:eastAsia="仿宋" w:cs="仿宋"/>
          <w:b w:val="0"/>
          <w:bCs w:val="0"/>
          <w:kern w:val="2"/>
          <w:sz w:val="28"/>
          <w:szCs w:val="28"/>
          <w:u w:val="single"/>
          <w:lang w:val="en-US" w:eastAsia="zh-CN" w:bidi="ar"/>
        </w:rPr>
        <w:t xml:space="preserve">                      </w:t>
      </w:r>
    </w:p>
    <w:p>
      <w:pPr>
        <w:keepNext w:val="0"/>
        <w:keepLines w:val="0"/>
        <w:widowControl w:val="0"/>
        <w:suppressLineNumbers w:val="0"/>
        <w:spacing w:before="120" w:beforeAutospacing="0" w:after="120" w:afterAutospacing="0"/>
        <w:ind w:left="0" w:right="0"/>
        <w:jc w:val="both"/>
        <w:rPr>
          <w:rFonts w:hint="default" w:ascii="仿宋_GB2312" w:hAnsi="Times New Roman" w:eastAsia="仿宋_GB2312" w:cs="宋体"/>
          <w:b/>
          <w:bCs/>
          <w:kern w:val="2"/>
          <w:sz w:val="28"/>
          <w:szCs w:val="28"/>
        </w:rPr>
      </w:pPr>
      <w:r>
        <w:rPr>
          <w:rFonts w:hint="default" w:ascii="仿宋" w:hAnsi="仿宋" w:eastAsia="仿宋" w:cs="仿宋"/>
          <w:b w:val="0"/>
          <w:bCs w:val="0"/>
          <w:kern w:val="2"/>
          <w:sz w:val="28"/>
          <w:szCs w:val="28"/>
          <w:lang w:val="en-US" w:eastAsia="zh-CN" w:bidi="ar"/>
        </w:rPr>
        <w:t>丙方：</w:t>
      </w:r>
      <w:r>
        <w:rPr>
          <w:rFonts w:hint="default" w:ascii="仿宋_GB2312" w:hAnsi="Times New Roman" w:eastAsia="仿宋_GB2312" w:cs="宋体"/>
          <w:b/>
          <w:bCs/>
          <w:kern w:val="2"/>
          <w:sz w:val="28"/>
          <w:szCs w:val="28"/>
          <w:u w:val="single"/>
          <w:lang w:val="en-US" w:eastAsia="zh-CN" w:bidi="ar"/>
        </w:rPr>
        <w:t xml:space="preserve"> </w:t>
      </w:r>
      <w:r>
        <w:rPr>
          <w:rFonts w:hint="default" w:ascii="仿宋_GB2312" w:hAnsi="Times New Roman" w:eastAsia="仿宋_GB2312" w:cs="宋体"/>
          <w:b w:val="0"/>
          <w:bCs w:val="0"/>
          <w:kern w:val="2"/>
          <w:sz w:val="28"/>
          <w:szCs w:val="28"/>
          <w:u w:val="single"/>
          <w:lang w:val="en-US" w:eastAsia="zh-CN" w:bidi="ar"/>
        </w:rPr>
        <w:t xml:space="preserve">             </w:t>
      </w:r>
    </w:p>
    <w:p>
      <w:pPr>
        <w:keepNext w:val="0"/>
        <w:keepLines w:val="0"/>
        <w:widowControl w:val="0"/>
        <w:suppressLineNumbers w:val="0"/>
        <w:spacing w:before="120" w:beforeAutospacing="0" w:after="120" w:afterAutospacing="0"/>
        <w:ind w:left="0" w:right="0"/>
        <w:jc w:val="both"/>
        <w:rPr>
          <w:rFonts w:hint="default" w:ascii="仿宋" w:hAnsi="仿宋" w:eastAsia="仿宋" w:cs="仿宋"/>
          <w:b w:val="0"/>
          <w:bCs w:val="0"/>
          <w:kern w:val="2"/>
          <w:sz w:val="28"/>
          <w:szCs w:val="28"/>
        </w:rPr>
      </w:pPr>
      <w:r>
        <w:rPr>
          <w:rFonts w:hint="default" w:ascii="仿宋" w:hAnsi="仿宋" w:eastAsia="仿宋" w:cs="仿宋"/>
          <w:b w:val="0"/>
          <w:bCs w:val="0"/>
          <w:kern w:val="2"/>
          <w:sz w:val="28"/>
          <w:szCs w:val="28"/>
          <w:lang w:val="en-US" w:eastAsia="zh-CN" w:bidi="ar"/>
        </w:rPr>
        <w:t>法人代表：</w:t>
      </w:r>
      <w:r>
        <w:rPr>
          <w:rFonts w:hint="default" w:ascii="仿宋" w:hAnsi="仿宋" w:eastAsia="仿宋" w:cs="仿宋"/>
          <w:b w:val="0"/>
          <w:bCs w:val="0"/>
          <w:kern w:val="2"/>
          <w:sz w:val="28"/>
          <w:szCs w:val="28"/>
          <w:u w:val="single"/>
          <w:lang w:val="en-US" w:eastAsia="zh-CN" w:bidi="ar"/>
        </w:rPr>
        <w:t xml:space="preserve">                            </w:t>
      </w:r>
    </w:p>
    <w:p>
      <w:pPr>
        <w:keepNext w:val="0"/>
        <w:keepLines w:val="0"/>
        <w:widowControl w:val="0"/>
        <w:suppressLineNumbers w:val="0"/>
        <w:spacing w:before="120" w:beforeAutospacing="0" w:after="120" w:afterAutospacing="0"/>
        <w:ind w:left="0" w:right="0"/>
        <w:jc w:val="both"/>
        <w:rPr>
          <w:rFonts w:hint="default" w:ascii="仿宋" w:hAnsi="仿宋" w:eastAsia="仿宋" w:cs="仿宋"/>
          <w:b w:val="0"/>
          <w:bCs w:val="0"/>
          <w:kern w:val="2"/>
          <w:sz w:val="28"/>
          <w:szCs w:val="28"/>
          <w:u w:val="single"/>
        </w:rPr>
      </w:pPr>
      <w:r>
        <w:rPr>
          <w:rFonts w:hint="default" w:ascii="仿宋" w:hAnsi="仿宋" w:eastAsia="仿宋" w:cs="仿宋"/>
          <w:b w:val="0"/>
          <w:bCs w:val="0"/>
          <w:kern w:val="2"/>
          <w:sz w:val="28"/>
          <w:szCs w:val="28"/>
          <w:lang w:val="en-US" w:eastAsia="zh-CN" w:bidi="ar"/>
        </w:rPr>
        <w:t>地址：</w:t>
      </w:r>
      <w:r>
        <w:rPr>
          <w:rFonts w:hint="default" w:ascii="仿宋" w:hAnsi="仿宋" w:eastAsia="仿宋" w:cs="仿宋"/>
          <w:b w:val="0"/>
          <w:bCs w:val="0"/>
          <w:kern w:val="2"/>
          <w:sz w:val="28"/>
          <w:szCs w:val="28"/>
          <w:u w:val="single"/>
          <w:lang w:val="en-US" w:eastAsia="zh-CN" w:bidi="ar"/>
        </w:rPr>
        <w:t xml:space="preserve">              </w:t>
      </w:r>
    </w:p>
    <w:p>
      <w:pPr>
        <w:keepNext w:val="0"/>
        <w:keepLines w:val="0"/>
        <w:widowControl w:val="0"/>
        <w:suppressLineNumbers w:val="0"/>
        <w:spacing w:before="120" w:beforeAutospacing="0" w:after="120" w:afterAutospacing="0"/>
        <w:ind w:left="0" w:right="0"/>
        <w:jc w:val="both"/>
        <w:rPr>
          <w:rFonts w:hint="default" w:ascii="仿宋" w:hAnsi="仿宋" w:eastAsia="仿宋" w:cs="仿宋"/>
          <w:b w:val="0"/>
          <w:bCs w:val="0"/>
          <w:kern w:val="2"/>
          <w:sz w:val="28"/>
          <w:szCs w:val="28"/>
          <w:u w:val="single"/>
        </w:rPr>
      </w:pPr>
      <w:r>
        <w:rPr>
          <w:rFonts w:hint="default" w:ascii="仿宋" w:hAnsi="仿宋" w:eastAsia="仿宋" w:cs="仿宋"/>
          <w:b w:val="0"/>
          <w:bCs w:val="0"/>
          <w:kern w:val="2"/>
          <w:sz w:val="28"/>
          <w:szCs w:val="28"/>
          <w:lang w:val="en-US" w:eastAsia="zh-CN" w:bidi="ar"/>
        </w:rPr>
        <w:t>联系电话：</w:t>
      </w:r>
      <w:r>
        <w:rPr>
          <w:rFonts w:hint="default" w:ascii="仿宋" w:hAnsi="仿宋" w:eastAsia="仿宋" w:cs="仿宋"/>
          <w:b w:val="0"/>
          <w:bCs w:val="0"/>
          <w:kern w:val="2"/>
          <w:sz w:val="28"/>
          <w:szCs w:val="28"/>
          <w:u w:val="single"/>
          <w:lang w:val="en-US" w:eastAsia="zh-CN" w:bidi="ar"/>
        </w:rPr>
        <w:t xml:space="preserve">                      </w:t>
      </w:r>
    </w:p>
    <w:p>
      <w:pPr>
        <w:keepNext w:val="0"/>
        <w:keepLines w:val="0"/>
        <w:widowControl w:val="0"/>
        <w:suppressLineNumbers w:val="0"/>
        <w:spacing w:before="120" w:beforeAutospacing="0" w:after="120" w:afterAutospacing="0"/>
        <w:ind w:left="0" w:right="0"/>
        <w:jc w:val="center"/>
        <w:rPr>
          <w:rFonts w:hint="default" w:ascii="仿宋" w:hAnsi="仿宋" w:eastAsia="仿宋" w:cs="仿宋"/>
          <w:b w:val="0"/>
          <w:bCs w:val="0"/>
          <w:kern w:val="2"/>
          <w:sz w:val="28"/>
          <w:szCs w:val="28"/>
          <w:u w:val="single"/>
        </w:rPr>
      </w:pPr>
      <w:r>
        <w:rPr>
          <w:rFonts w:hint="default" w:ascii="仿宋" w:hAnsi="仿宋" w:eastAsia="仿宋" w:cs="仿宋"/>
          <w:b w:val="0"/>
          <w:bCs w:val="0"/>
          <w:kern w:val="2"/>
          <w:sz w:val="30"/>
          <w:szCs w:val="30"/>
          <w:lang w:val="en-US" w:eastAsia="zh-CN" w:bidi="ar"/>
        </w:rPr>
        <w:t>日期：   年    月    日</w:t>
      </w:r>
    </w:p>
    <w:p>
      <w:pPr>
        <w:keepNext w:val="0"/>
        <w:keepLines w:val="0"/>
        <w:widowControl w:val="0"/>
        <w:suppressLineNumbers w:val="0"/>
        <w:autoSpaceDE w:val="0"/>
        <w:autoSpaceDN/>
        <w:spacing w:before="120" w:beforeAutospacing="0" w:after="120" w:afterAutospacing="0" w:line="480" w:lineRule="exact"/>
        <w:ind w:left="0" w:right="0" w:firstLine="560" w:firstLineChars="200"/>
        <w:jc w:val="left"/>
        <w:rPr>
          <w:rFonts w:hint="default" w:ascii="仿宋_GB2312" w:hAnsi="宋体" w:eastAsia="仿宋_GB2312" w:cs="宋体"/>
          <w:kern w:val="2"/>
          <w:sz w:val="28"/>
          <w:szCs w:val="28"/>
        </w:rPr>
      </w:pPr>
      <w:r>
        <w:rPr>
          <w:rFonts w:hint="default" w:ascii="仿宋_GB2312" w:hAnsi="宋体" w:eastAsia="仿宋_GB2312" w:cs="宋体"/>
          <w:kern w:val="2"/>
          <w:sz w:val="28"/>
          <w:szCs w:val="28"/>
          <w:lang w:val="en-US" w:eastAsia="zh-CN" w:bidi="ar"/>
        </w:rPr>
        <w:t xml:space="preserve"> </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left"/>
        <w:rPr>
          <w:rFonts w:hint="default" w:ascii="仿宋_GB2312" w:hAnsi="Times New Roman" w:eastAsia="仿宋_GB2312" w:cs="Times New Roman"/>
          <w:kern w:val="2"/>
          <w:sz w:val="28"/>
          <w:szCs w:val="28"/>
        </w:rPr>
      </w:pPr>
      <w:r>
        <w:rPr>
          <w:rFonts w:hint="default" w:ascii="仿宋_GB2312" w:hAnsi="宋体" w:eastAsia="仿宋_GB2312" w:cs="仿宋_GB2312"/>
          <w:kern w:val="2"/>
          <w:sz w:val="28"/>
          <w:szCs w:val="28"/>
          <w:lang w:val="en-US" w:eastAsia="zh-CN" w:bidi="ar"/>
        </w:rPr>
        <w:t>为了集中、高效使用社会资源，降低成本、提高效率，更好的为社会提供优质高效的金融服务，经过甲、乙、丙方三方协商决定就人民币款箱配送、寄存等业务开展合作，在平等协商的基础上达成以下协议：</w:t>
      </w:r>
      <w:r>
        <w:rPr>
          <w:rFonts w:hint="default" w:ascii="仿宋_GB2312" w:hAnsi="宋体" w:eastAsia="仿宋_GB2312" w:cs="宋体"/>
          <w:kern w:val="2"/>
          <w:sz w:val="28"/>
          <w:szCs w:val="28"/>
          <w:lang w:val="en-US" w:eastAsia="zh-CN" w:bidi="ar"/>
        </w:rPr>
        <w:t xml:space="preserve"> </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第一条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现金类业务处理原则</w:t>
      </w:r>
    </w:p>
    <w:p>
      <w:pPr>
        <w:keepNext w:val="0"/>
        <w:keepLines w:val="0"/>
        <w:widowControl w:val="0"/>
        <w:suppressLineNumbers w:val="0"/>
        <w:autoSpaceDE w:val="0"/>
        <w:autoSpaceDN/>
        <w:spacing w:before="120" w:beforeAutospacing="0" w:after="120" w:afterAutospacing="0" w:line="460" w:lineRule="exact"/>
        <w:ind w:left="0" w:right="0"/>
        <w:jc w:val="both"/>
        <w:rPr>
          <w:rFonts w:hint="default" w:ascii="仿宋_GB2312" w:hAnsi="Times New Roman" w:eastAsia="仿宋_GB2312" w:cs="Times New Roman"/>
          <w:kern w:val="2"/>
          <w:sz w:val="28"/>
          <w:szCs w:val="28"/>
        </w:rPr>
      </w:pPr>
      <w:r>
        <w:rPr>
          <w:rFonts w:hint="default" w:ascii="仿宋_GB2312" w:hAnsi="宋体" w:eastAsia="仿宋_GB2312" w:cs="宋体"/>
          <w:b/>
          <w:bCs/>
          <w:kern w:val="2"/>
          <w:sz w:val="28"/>
          <w:szCs w:val="28"/>
          <w:lang w:val="en-US" w:eastAsia="zh-CN" w:bidi="ar"/>
        </w:rPr>
        <w:t xml:space="preserve">   </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现金类业务处理需遵守“安全第一、保证效益、手续严密、责任明确、互惠互利”等原则：</w:t>
      </w:r>
    </w:p>
    <w:p>
      <w:pPr>
        <w:keepNext w:val="0"/>
        <w:keepLines w:val="0"/>
        <w:widowControl w:val="0"/>
        <w:suppressLineNumbers w:val="0"/>
        <w:autoSpaceDE w:val="0"/>
        <w:autoSpaceDN/>
        <w:spacing w:before="120" w:beforeAutospacing="0" w:after="120" w:afterAutospacing="0" w:line="460" w:lineRule="exact"/>
        <w:ind w:left="0" w:right="0" w:firstLine="470" w:firstLineChars="168"/>
        <w:jc w:val="both"/>
        <w:rPr>
          <w:rFonts w:hint="default" w:ascii="仿宋_GB2312" w:hAnsi="Times New Roman" w:eastAsia="仿宋_GB2312" w:cs="Times New Roman"/>
          <w:kern w:val="2"/>
          <w:sz w:val="28"/>
          <w:szCs w:val="28"/>
        </w:rPr>
      </w:pPr>
      <w:r>
        <w:rPr>
          <w:rFonts w:hint="default" w:ascii="仿宋_GB2312" w:hAnsi="宋体" w:eastAsia="仿宋_GB2312" w:cs="仿宋_GB2312"/>
          <w:b/>
          <w:bCs/>
          <w:kern w:val="2"/>
          <w:sz w:val="28"/>
          <w:szCs w:val="28"/>
          <w:lang w:val="en-US" w:eastAsia="zh-CN" w:bidi="ar"/>
        </w:rPr>
        <w:t>1</w:t>
      </w:r>
      <w:r>
        <w:rPr>
          <w:rFonts w:hint="default" w:ascii="仿宋_GB2312" w:hAnsi="宋体" w:eastAsia="仿宋_GB2312" w:cs="仿宋_GB2312"/>
          <w:kern w:val="2"/>
          <w:sz w:val="28"/>
          <w:szCs w:val="28"/>
          <w:lang w:val="en-US" w:eastAsia="zh-CN" w:bidi="ar"/>
        </w:rPr>
        <w:t>、款箱等实物交接必须坚持双方四人核验、交接清楚、交接手续严密，数字准确，责任分明。</w:t>
      </w:r>
    </w:p>
    <w:p>
      <w:pPr>
        <w:keepNext w:val="0"/>
        <w:keepLines w:val="0"/>
        <w:widowControl w:val="0"/>
        <w:suppressLineNumbers w:val="0"/>
        <w:autoSpaceDE w:val="0"/>
        <w:autoSpaceDN/>
        <w:spacing w:before="120" w:beforeAutospacing="0" w:after="120" w:afterAutospacing="0" w:line="460" w:lineRule="exact"/>
        <w:ind w:left="0" w:right="0" w:firstLine="470" w:firstLineChars="168"/>
        <w:jc w:val="both"/>
        <w:rPr>
          <w:rFonts w:hint="default" w:ascii="仿宋_GB2312" w:hAnsi="Times New Roman" w:eastAsia="仿宋_GB2312" w:cs="Times New Roman"/>
          <w:kern w:val="2"/>
          <w:sz w:val="28"/>
          <w:szCs w:val="28"/>
        </w:rPr>
      </w:pPr>
      <w:r>
        <w:rPr>
          <w:rFonts w:hint="default" w:ascii="仿宋_GB2312" w:hAnsi="宋体" w:eastAsia="仿宋_GB2312" w:cs="仿宋_GB2312"/>
          <w:b/>
          <w:bCs/>
          <w:kern w:val="2"/>
          <w:sz w:val="28"/>
          <w:szCs w:val="28"/>
          <w:lang w:val="en-US" w:eastAsia="zh-CN" w:bidi="ar"/>
        </w:rPr>
        <w:t>2</w:t>
      </w:r>
      <w:r>
        <w:rPr>
          <w:rFonts w:hint="default" w:ascii="仿宋_GB2312" w:hAnsi="宋体" w:eastAsia="仿宋_GB2312" w:cs="仿宋_GB2312"/>
          <w:kern w:val="2"/>
          <w:sz w:val="28"/>
          <w:szCs w:val="28"/>
          <w:lang w:val="en-US" w:eastAsia="zh-CN" w:bidi="ar"/>
        </w:rPr>
        <w:t>、现金清点应当做到点准、墩齐、挑净、捆紧、盖章清楚，无假币、冠字号码数据完整，达到人民银行要求的标准。</w:t>
      </w:r>
    </w:p>
    <w:p>
      <w:pPr>
        <w:keepNext w:val="0"/>
        <w:keepLines w:val="0"/>
        <w:widowControl w:val="0"/>
        <w:suppressLineNumbers w:val="0"/>
        <w:autoSpaceDE w:val="0"/>
        <w:autoSpaceDN/>
        <w:spacing w:before="120" w:beforeAutospacing="0" w:after="120" w:afterAutospacing="0" w:line="460" w:lineRule="exact"/>
        <w:ind w:left="0" w:right="0" w:firstLine="470" w:firstLineChars="168"/>
        <w:jc w:val="both"/>
        <w:rPr>
          <w:rFonts w:hint="default" w:ascii="仿宋_GB2312" w:hAnsi="Times New Roman" w:eastAsia="仿宋_GB2312" w:cs="Times New Roman"/>
          <w:kern w:val="2"/>
          <w:sz w:val="28"/>
          <w:szCs w:val="28"/>
        </w:rPr>
      </w:pPr>
      <w:r>
        <w:rPr>
          <w:rFonts w:hint="default" w:ascii="仿宋_GB2312" w:hAnsi="宋体" w:eastAsia="仿宋_GB2312" w:cs="仿宋_GB2312"/>
          <w:b/>
          <w:bCs/>
          <w:kern w:val="2"/>
          <w:sz w:val="28"/>
          <w:szCs w:val="28"/>
          <w:lang w:val="en-US" w:eastAsia="zh-CN" w:bidi="ar"/>
        </w:rPr>
        <w:t>3</w:t>
      </w:r>
      <w:r>
        <w:rPr>
          <w:rFonts w:hint="default" w:ascii="仿宋_GB2312" w:hAnsi="宋体" w:eastAsia="仿宋_GB2312" w:cs="仿宋_GB2312"/>
          <w:kern w:val="2"/>
          <w:sz w:val="28"/>
          <w:szCs w:val="28"/>
          <w:lang w:val="en-US" w:eastAsia="zh-CN" w:bidi="ar"/>
        </w:rPr>
        <w:t>、款箱交接、处理全过程都必须在电视监控下进行，不留死角，坚持检查监督制度，确保资金安全。</w:t>
      </w:r>
    </w:p>
    <w:p>
      <w:pPr>
        <w:keepNext w:val="0"/>
        <w:keepLines w:val="0"/>
        <w:widowControl w:val="0"/>
        <w:suppressLineNumbers w:val="0"/>
        <w:autoSpaceDE w:val="0"/>
        <w:autoSpaceDN/>
        <w:spacing w:before="120" w:beforeAutospacing="0" w:after="120" w:afterAutospacing="0" w:line="460" w:lineRule="exact"/>
        <w:ind w:left="0" w:right="0" w:firstLine="470" w:firstLineChars="168"/>
        <w:jc w:val="both"/>
        <w:rPr>
          <w:rFonts w:hint="default" w:ascii="仿宋_GB2312" w:hAnsi="Times New Roman" w:eastAsia="仿宋_GB2312" w:cs="Times New Roman"/>
          <w:kern w:val="2"/>
          <w:sz w:val="28"/>
          <w:szCs w:val="28"/>
        </w:rPr>
      </w:pPr>
      <w:r>
        <w:rPr>
          <w:rFonts w:hint="default" w:ascii="仿宋_GB2312" w:hAnsi="宋体" w:eastAsia="仿宋_GB2312" w:cs="仿宋_GB2312"/>
          <w:b/>
          <w:bCs/>
          <w:kern w:val="2"/>
          <w:sz w:val="28"/>
          <w:szCs w:val="28"/>
          <w:lang w:val="en-US" w:eastAsia="zh-CN" w:bidi="ar"/>
        </w:rPr>
        <w:t>4</w:t>
      </w:r>
      <w:r>
        <w:rPr>
          <w:rFonts w:hint="default" w:ascii="仿宋_GB2312" w:hAnsi="宋体" w:eastAsia="仿宋_GB2312" w:cs="仿宋_GB2312"/>
          <w:kern w:val="2"/>
          <w:sz w:val="28"/>
          <w:szCs w:val="28"/>
          <w:lang w:val="en-US" w:eastAsia="zh-CN" w:bidi="ar"/>
        </w:rPr>
        <w:t>、维护各方利益，坚持安全、质量、服务并重。</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第二条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服务内容</w:t>
      </w:r>
    </w:p>
    <w:p>
      <w:pPr>
        <w:keepNext w:val="0"/>
        <w:keepLines w:val="0"/>
        <w:widowControl w:val="0"/>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（一）现金下解</w:t>
      </w:r>
    </w:p>
    <w:p>
      <w:pPr>
        <w:keepNext w:val="0"/>
        <w:keepLines w:val="0"/>
        <w:widowControl w:val="0"/>
        <w:suppressLineNumbers w:val="0"/>
        <w:autoSpaceDE w:val="0"/>
        <w:autoSpaceDN/>
        <w:spacing w:before="120" w:beforeAutospacing="0" w:after="120" w:afterAutospacing="0" w:line="460" w:lineRule="exact"/>
        <w:ind w:left="0" w:right="0" w:firstLine="470" w:firstLineChars="168"/>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现金下解是指甲方通过《区域现金处理中心业务平台》（以下简称“平台”）申请、审批流程向乙方下达现金下解指令，由盐城农村商业银行（以下简称代理行）从甲方在代理行开立同业账户中支付现金给乙方，由乙方按照甲方在平台中指定的网点、金额、券别分别装箱、加锁，乙方书面通知丙方，丙方次日（或按约定时间）押运配送到甲方对应网点的过程。</w:t>
      </w:r>
    </w:p>
    <w:p>
      <w:pPr>
        <w:keepNext w:val="0"/>
        <w:keepLines w:val="0"/>
        <w:widowControl w:val="0"/>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（二）现金上缴</w:t>
      </w:r>
    </w:p>
    <w:p>
      <w:pPr>
        <w:keepNext w:val="0"/>
        <w:keepLines w:val="0"/>
        <w:widowControl w:val="0"/>
        <w:suppressLineNumbers w:val="0"/>
        <w:autoSpaceDE w:val="0"/>
        <w:autoSpaceDN/>
        <w:spacing w:before="120" w:beforeAutospacing="0" w:after="120" w:afterAutospacing="0" w:line="460" w:lineRule="exact"/>
        <w:ind w:left="0" w:right="0" w:firstLine="470" w:firstLineChars="168"/>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现金上缴是指甲方所属网点将现金、《现金缴款凭证》装箱、加锁，与丙方办理交接并押运至盐城区域现金中心（以下简称中心），由乙方完成清分、挑残、反假、差错处理、冠字号码登记、捆扎、装包交至代理行，由代理行记入甲方同业账户的过程。</w:t>
      </w:r>
    </w:p>
    <w:p>
      <w:pPr>
        <w:keepNext w:val="0"/>
        <w:keepLines w:val="0"/>
        <w:widowControl w:val="0"/>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（三）尾箱寄存</w:t>
      </w:r>
    </w:p>
    <w:p>
      <w:pPr>
        <w:keepNext w:val="0"/>
        <w:keepLines w:val="0"/>
        <w:widowControl w:val="0"/>
        <w:suppressLineNumbers w:val="0"/>
        <w:autoSpaceDE w:val="0"/>
        <w:autoSpaceDN/>
        <w:spacing w:before="120" w:beforeAutospacing="0" w:after="120" w:afterAutospacing="0" w:line="460" w:lineRule="exact"/>
        <w:ind w:left="0" w:right="0" w:firstLine="562" w:firstLineChars="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尾箱寄存是指甲、乙、丙三方共同履行约定，丙方按约定的时间到甲方所属网点接收尾箱，由丙方运送到中心库房寄存，次日（或按约定时间）安排押运车辆送回网点的过程。</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第三条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流程约定及责任界定</w:t>
      </w:r>
    </w:p>
    <w:p>
      <w:pPr>
        <w:keepNext w:val="0"/>
        <w:keepLines w:val="0"/>
        <w:widowControl w:val="0"/>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（一）网点现金上缴</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甲方网点在现金上缴使用统一的“现金调拨款箱”（深蓝</w:t>
      </w:r>
      <w:r>
        <w:rPr>
          <w:rFonts w:hint="default" w:ascii="方正仿宋_GB2312" w:hAnsi="方正仿宋_GB2312" w:eastAsia="方正仿宋_GB2312" w:cs="方正仿宋_GB2312"/>
          <w:kern w:val="2"/>
          <w:sz w:val="28"/>
          <w:szCs w:val="28"/>
          <w:lang w:val="en-US" w:eastAsia="zh-CN" w:bidi="ar"/>
        </w:rPr>
        <w:t>色、</w:t>
      </w:r>
      <w:r>
        <w:rPr>
          <w:rFonts w:hint="default" w:ascii="仿宋_GB2312" w:hAnsi="宋体" w:eastAsia="仿宋_GB2312" w:cs="仿宋_GB2312"/>
          <w:kern w:val="2"/>
          <w:sz w:val="28"/>
          <w:szCs w:val="28"/>
          <w:lang w:val="en-US" w:eastAsia="zh-CN" w:bidi="ar"/>
        </w:rPr>
        <w:t>320万、含FRID标签），甲方网点首先在“平台”填写现金上缴信息，包括行名、网点名称、总金额、券别、数量等。附《现金缴款单》或缴款明细，装箱加锁等待交接。</w:t>
      </w:r>
    </w:p>
    <w:p>
      <w:pPr>
        <w:keepNext w:val="0"/>
        <w:keepLines w:val="0"/>
        <w:widowControl w:val="0"/>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（二）款箱交接</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甲方网点日终后，由丙方的押运车辆及提解员至甲方网点收取款箱。交接前由甲方网点人员核验丙方提解员身份，确认无误后办理交接。交接过程由甲、丙双方双人通过交接系统共同完成，一方单人交接对方可以拒绝进行。系统交接完成前款箱安全由交出方负责，交接完成后责任转移至接收方。甲方人员未认真核查丙方提解员身份造成误缴，责任由甲方承担。</w:t>
      </w:r>
    </w:p>
    <w:p>
      <w:pPr>
        <w:keepNext w:val="0"/>
        <w:keepLines w:val="0"/>
        <w:widowControl w:val="0"/>
        <w:numPr>
          <w:ilvl w:val="0"/>
          <w:numId w:val="2"/>
        </w:numPr>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“现金调拨款箱”的保管</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丙方收到“现金调拨款箱”回到中心后，交接手续同第三条（二）交与乙方入库保管。</w:t>
      </w:r>
    </w:p>
    <w:p>
      <w:pPr>
        <w:keepNext w:val="0"/>
        <w:keepLines w:val="0"/>
        <w:widowControl w:val="0"/>
        <w:numPr>
          <w:ilvl w:val="0"/>
          <w:numId w:val="2"/>
        </w:numPr>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现金核验</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甲方网点上缴的“现金调拨款箱”次日出库，由乙方中心在视频监控下开箱、逐笔对现金实物与随箱《现金缴款单》进行核对，无误后，现金归集后进行清分。乙方在核验中发现差错、假币立即通知甲方解决。</w:t>
      </w:r>
    </w:p>
    <w:p>
      <w:pPr>
        <w:keepNext w:val="0"/>
        <w:keepLines w:val="0"/>
        <w:widowControl w:val="0"/>
        <w:numPr>
          <w:ilvl w:val="0"/>
          <w:numId w:val="2"/>
        </w:numPr>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现金入账</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全部现金核验完毕后，乙方根据甲方所有网点上缴现金总额打印《现金缴款凭证（汇总）》，将现金及凭证向代理行移交后，由代理行负责记入甲方同业账户，乙方责任完成。</w:t>
      </w:r>
    </w:p>
    <w:p>
      <w:pPr>
        <w:keepNext w:val="0"/>
        <w:keepLines w:val="0"/>
        <w:widowControl w:val="0"/>
        <w:numPr>
          <w:ilvl w:val="0"/>
          <w:numId w:val="2"/>
        </w:numPr>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现金清分</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乙方使用符合人行标准的设备进行现金清分、捆扎等处理。清分后的现金达到人民银行：点准、墩齐、挑净、捆紧、盖章清楚、无假币要求标准。</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经乙方清分后的现金在上缴人行、同业调拨使用中发现差错问题由乙方承担责任。</w:t>
      </w:r>
    </w:p>
    <w:p>
      <w:pPr>
        <w:keepNext w:val="0"/>
        <w:keepLines w:val="0"/>
        <w:widowControl w:val="0"/>
        <w:numPr>
          <w:ilvl w:val="0"/>
          <w:numId w:val="2"/>
        </w:numPr>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差错及假币处理</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甲方上缴的现金在清分过程中发现长短款、假币、拼凑币等，乙方清分部门换人复核确认、在平台登记打印《现金差错（假币）通知单》通过系统通知甲方，差错款封签、腰条及《通知单》按月向甲方移交，假币定期向人民银行移交。</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甲方上缴现金因缺张（假币）等形成的短款由乙方中心备用金暂补，长款暂留，按月甲乙双方结算，退（补）差额。乙方保留录像90天供甲方查询。</w:t>
      </w:r>
    </w:p>
    <w:p>
      <w:pPr>
        <w:keepNext w:val="0"/>
        <w:keepLines w:val="0"/>
        <w:widowControl w:val="0"/>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（八）现金下解</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甲方网点需下解现金时，应在当日15：00前通过“平台”向甲方管理行提交下解申请，标注金额、券别、数量等信息由甲方管理行审批通过。</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乙方中心接到甲方下解指令后，打印《现金支付凭证（汇总）》交代理行记账、出库现金。</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乙方中心接收到代理行现金后，逐点打印《现金配款单》按照甲方网点申请的金额、券别、数量配款，使用“现金调拨款箱”装箱加锁，入库保管，由丙方次日（或按约定时间）随线路送抵指定网点（二次派车除外）。</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现金调拨款箱”送抵网点后，甲方网点交接人员与丙方提解员双方双人通过“平台”办理交接，交接完成后款箱安全责任转移至甲方。交接完成后，甲方网点应在交接后1小时内在监控下开箱核验现金实物与《现金配款单》及“平台”提交的下解申请内容是否相符，核验无误后在“平台”进行确认。如有差错立即通知乙方查找原因。如未在上述时间内作相符确认或误差通知的，视同认可该笔业务无误。</w:t>
      </w:r>
    </w:p>
    <w:p>
      <w:pPr>
        <w:keepNext w:val="0"/>
        <w:keepLines w:val="0"/>
        <w:widowControl w:val="0"/>
        <w:suppressLineNumbers w:val="0"/>
        <w:autoSpaceDE w:val="0"/>
        <w:autoSpaceDN/>
        <w:spacing w:before="120" w:beforeAutospacing="0" w:after="120" w:afterAutospacing="0" w:line="46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（九）尾箱寄存</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甲方网点日终后，由丙方的押运车辆及提解员至甲方网点收取箱包，交接手续同第三条（二），款车回中心后箱包入箱包库保管。次日（或按约定的日期）由丙方的押运车辆及人员将箱包送回原网点，甲方人员接到箱包后应检查箱体有无破损、开锁等情况，无误后办理交接。甲、丙双方双人通过“平台”办理交接，交接完成后责任转移至甲方。</w:t>
      </w:r>
    </w:p>
    <w:p>
      <w:pPr>
        <w:keepNext w:val="0"/>
        <w:keepLines w:val="0"/>
        <w:widowControl w:val="0"/>
        <w:suppressLineNumbers w:val="0"/>
        <w:autoSpaceDE w:val="0"/>
        <w:autoSpaceDN/>
        <w:spacing w:before="120" w:beforeAutospacing="0" w:after="120" w:afterAutospacing="0" w:line="460" w:lineRule="exact"/>
        <w:ind w:left="0" w:right="0" w:firstLine="420" w:firstLineChars="15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甲方需暂留中心的款箱，需在系统中指定出库日期，并告知乙方。</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第四条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甲方权利、义务与责任</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Times New Roman" w:eastAsia="仿宋_GB2312" w:cs="Times New Roman"/>
          <w:kern w:val="2"/>
          <w:sz w:val="28"/>
          <w:szCs w:val="28"/>
        </w:rPr>
      </w:pPr>
      <w:r>
        <w:rPr>
          <w:rFonts w:hint="default" w:ascii="仿宋_GB2312" w:hAnsi="宋体" w:eastAsia="仿宋_GB2312" w:cs="仿宋_GB2312"/>
          <w:kern w:val="2"/>
          <w:sz w:val="28"/>
          <w:szCs w:val="28"/>
          <w:lang w:val="en-US" w:eastAsia="zh-CN" w:bidi="ar"/>
        </w:rPr>
        <w:t>1、甲方网点在现金上缴使用统一的“现金调拨款箱”（深蓝</w:t>
      </w:r>
      <w:r>
        <w:rPr>
          <w:rFonts w:hint="default" w:ascii="方正仿宋_GB2312" w:hAnsi="方正仿宋_GB2312" w:eastAsia="方正仿宋_GB2312" w:cs="方正仿宋_GB2312"/>
          <w:kern w:val="2"/>
          <w:sz w:val="28"/>
          <w:szCs w:val="28"/>
          <w:lang w:val="en-US" w:eastAsia="zh-CN" w:bidi="ar"/>
        </w:rPr>
        <w:t>色、</w:t>
      </w:r>
      <w:r>
        <w:rPr>
          <w:rFonts w:hint="default" w:ascii="仿宋_GB2312" w:hAnsi="宋体" w:eastAsia="仿宋_GB2312" w:cs="仿宋_GB2312"/>
          <w:kern w:val="2"/>
          <w:sz w:val="28"/>
          <w:szCs w:val="28"/>
          <w:lang w:val="en-US" w:eastAsia="zh-CN" w:bidi="ar"/>
        </w:rPr>
        <w:t>320万、含FRID标签）。上缴的现金纸币应按券别分类、以捆为单位（每捆为10把、每把100张）整捆移交，每捆现金只有一个操作员名章。每捆现金需要打捆、粘贴封条。</w:t>
      </w:r>
    </w:p>
    <w:p>
      <w:pPr>
        <w:pStyle w:val="6"/>
        <w:widowControl/>
        <w:autoSpaceDE w:val="0"/>
        <w:autoSpaceDN/>
        <w:spacing w:line="460" w:lineRule="exact"/>
        <w:ind w:left="0" w:right="0"/>
        <w:rPr>
          <w:rFonts w:hint="default" w:ascii="仿宋_GB2312" w:hAnsi="Times New Roman" w:eastAsia="仿宋_GB2312" w:cs="Times New Roman"/>
          <w:kern w:val="0"/>
          <w:sz w:val="28"/>
          <w:szCs w:val="28"/>
        </w:rPr>
      </w:pPr>
      <w:r>
        <w:rPr>
          <w:rFonts w:hint="default" w:ascii="仿宋_GB2312" w:hAnsi="宋体" w:eastAsia="仿宋_GB2312" w:cs="宋体"/>
          <w:kern w:val="0"/>
          <w:sz w:val="28"/>
          <w:szCs w:val="28"/>
        </w:rPr>
        <w:t xml:space="preserve">    </w:t>
      </w:r>
      <w:r>
        <w:rPr>
          <w:rFonts w:hint="default" w:ascii="仿宋_GB2312" w:hAnsi="宋体" w:eastAsia="仿宋_GB2312" w:cs="仿宋_GB2312"/>
          <w:kern w:val="0"/>
          <w:sz w:val="28"/>
          <w:szCs w:val="28"/>
        </w:rPr>
        <w:t>2、甲方每个网点应设置相对固定的款箱交接员2-4人办理款箱交接事宜，准备交接人员资料，甲、丙双方协助做好“平台”交接系统录入工作。</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Times New Roman" w:eastAsia="仿宋_GB2312" w:cs="Times New Roman"/>
          <w:kern w:val="2"/>
          <w:sz w:val="28"/>
          <w:szCs w:val="28"/>
        </w:rPr>
      </w:pPr>
      <w:r>
        <w:rPr>
          <w:rFonts w:hint="default" w:ascii="仿宋_GB2312" w:hAnsi="宋体" w:eastAsia="仿宋_GB2312" w:cs="仿宋_GB2312"/>
          <w:kern w:val="2"/>
          <w:sz w:val="28"/>
          <w:szCs w:val="28"/>
          <w:lang w:val="en-US" w:eastAsia="zh-CN" w:bidi="ar"/>
        </w:rPr>
        <w:t>3、甲方在使用经乙方整点清分后的现金出现差错时，依照同业现金调拨差错处理规则处理。网点应保留出现差错现金的腰条、封签，出具发现差错网点签章的证明，保留录像通知乙方核验，确定为乙方责任的由乙方赔付。</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4、甲方上缴款在乙方开箱卡把核验中发现差错时，乙方应及时通知甲方管理行（或网点），甲方应在当日14：00前安排相关人员或授权人到乙方现场确认处理，因超时影响入账的由甲方承担责任。</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5、甲方网点在收到乙方配款开箱核验发现差错时，甲方应保存原状，马上通知乙方并协助乙方查找原因，配合乙方进行账务或实物调整。</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6、甲方有权就合作中乙、丙方的服务、流程等提出意见和建议，在征得甲、乙、丙三方同意后，乙、丙方应采取相应措施加以改进。</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7、甲方应在合同约定的时间内向乙方支付服务费用，结清差错备用金。</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第五条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乙方权利、义务与责任</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1、乙方应使用符合国家金库标准的库房、现金交接、清分场所及附属设施，安装视频监控、红外监控、110联动报警、震动报警、消防等安全系统，对进出安全监控区的人员进行身份核查，建立安全的工作环境，保证现金的安全。</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2、乙方应使用人民银行认可的现金清分机具进行现金清分。乙方清点后的现金必须符合“五好钱捆”标准。</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3、乙方工作人员与乙方必须建立劳动关系，为员工购买相应的保险，上岗前应进行业务上岗培训，现金清分人员反假能力要达到相当于银行同业人员操作水平。</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4、乙方应教育、督促乙方人员不得以任何形式向他人提供或泄露甲方的商业秘密（国家金融管理机构及执法部门，依法提出的要求除外），保证甲方业务利益不受损失。</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5、乙方应对现金保管、交接、开箱、清分、装箱等处理各流程实施各个过程进行无死角全程视频监控，保持监控录像的最短时间不低于90天。</w:t>
      </w:r>
    </w:p>
    <w:p>
      <w:pPr>
        <w:pStyle w:val="7"/>
        <w:widowControl/>
        <w:autoSpaceDE w:val="0"/>
        <w:autoSpaceDN/>
        <w:adjustRightInd w:val="0"/>
        <w:snapToGrid w:val="0"/>
        <w:spacing w:line="460" w:lineRule="exact"/>
        <w:ind w:left="0" w:right="0" w:firstLine="576"/>
        <w:rPr>
          <w:rFonts w:hint="default" w:ascii="仿宋_GB2312" w:hAnsi="宋体" w:eastAsia="仿宋_GB2312" w:cs="Times New Roman"/>
          <w:kern w:val="0"/>
          <w:sz w:val="28"/>
          <w:szCs w:val="28"/>
        </w:rPr>
      </w:pPr>
      <w:r>
        <w:rPr>
          <w:rFonts w:hint="default" w:ascii="仿宋_GB2312" w:hAnsi="宋体" w:eastAsia="仿宋_GB2312" w:cs="仿宋_GB2312"/>
          <w:kern w:val="0"/>
          <w:sz w:val="28"/>
          <w:szCs w:val="28"/>
        </w:rPr>
        <w:t>6、乙方对甲方上缴现金、款箱在乙方管理期间各环节安全负责。在此过程中发生的被盗、被抢造成的损失由乙方承担赔偿责任。</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7、经过乙方清分后的现金在甲方使用过程中发现短款差错、假币，由甲方出具实物、证明、录像等相关资料，经双方确认为乙方责任的由乙方付赔偿责任。</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8、乙方应建立内部风险监管机制，并采用定期或不定期方式对业务人员的操作是否合规及风险控制措施的执行情况进行严格检查。</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第六条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丙方权利、义务与责任</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1、丙方对甲方现金、款箱等贵重物品的交接、调运环节的安全负责，在此环节中发生现金、款箱等贵重物品发生被抢、被盗、丢失负赔偿责任。</w:t>
      </w:r>
    </w:p>
    <w:p>
      <w:pPr>
        <w:pStyle w:val="2"/>
        <w:widowControl/>
        <w:autoSpaceDE w:val="0"/>
        <w:autoSpaceDN/>
        <w:spacing w:line="460" w:lineRule="exact"/>
        <w:ind w:left="0" w:right="0"/>
        <w:rPr>
          <w:rFonts w:hint="default" w:ascii="Times New Roman" w:hAnsi="Times New Roman" w:eastAsia="仿宋" w:cs="Times New Roman"/>
          <w:kern w:val="0"/>
          <w:sz w:val="24"/>
          <w:szCs w:val="24"/>
        </w:rPr>
      </w:pPr>
      <w:r>
        <w:rPr>
          <w:rFonts w:hint="default" w:ascii="仿宋_GB2312" w:hAnsi="宋体" w:eastAsia="仿宋_GB2312" w:cs="仿宋_GB2312"/>
          <w:kern w:val="0"/>
          <w:sz w:val="28"/>
          <w:szCs w:val="28"/>
        </w:rPr>
        <w:t>2、丙方应当保障甲方信息的安全性，不得以任何形式擅自使用、复制、传播、散布、公布和向第三方泄露任何甲方信息和商业机密。</w:t>
      </w:r>
    </w:p>
    <w:p>
      <w:pPr>
        <w:pStyle w:val="2"/>
        <w:widowControl/>
        <w:autoSpaceDE w:val="0"/>
        <w:autoSpaceDN/>
        <w:spacing w:line="460" w:lineRule="exact"/>
        <w:ind w:left="0" w:right="0"/>
        <w:rPr>
          <w:rFonts w:hint="default" w:ascii="仿宋_GB2312" w:hAnsi="宋体" w:eastAsia="仿宋_GB2312" w:cs="宋体"/>
          <w:kern w:val="0"/>
          <w:sz w:val="28"/>
          <w:szCs w:val="28"/>
        </w:rPr>
      </w:pPr>
      <w:r>
        <w:rPr>
          <w:rFonts w:hint="default" w:ascii="仿宋_GB2312" w:hAnsi="宋体" w:eastAsia="仿宋_GB2312" w:cs="仿宋_GB2312"/>
          <w:kern w:val="0"/>
          <w:sz w:val="28"/>
          <w:szCs w:val="28"/>
        </w:rPr>
        <w:t>3、甲方与丙方在银行交接区域产生的各类交接身份认证（包含但不限于款箱等），由乙方根据甲、丙双方的实际需求办理好身份认证方式交由甲、丙双方，并承担因方式办理错误所产生的全部责任。</w:t>
      </w:r>
    </w:p>
    <w:p>
      <w:pPr>
        <w:pStyle w:val="2"/>
        <w:widowControl/>
        <w:autoSpaceDE w:val="0"/>
        <w:autoSpaceDN/>
        <w:spacing w:line="460" w:lineRule="exact"/>
        <w:ind w:left="0" w:right="0"/>
        <w:jc w:val="left"/>
        <w:rPr>
          <w:rFonts w:hint="default" w:ascii="仿宋_GB2312" w:hAnsi="宋体" w:eastAsia="仿宋_GB2312" w:cs="宋体"/>
          <w:kern w:val="0"/>
          <w:sz w:val="28"/>
          <w:szCs w:val="28"/>
        </w:rPr>
      </w:pPr>
      <w:r>
        <w:rPr>
          <w:rFonts w:hint="default" w:ascii="仿宋_GB2312" w:hAnsi="宋体" w:eastAsia="仿宋_GB2312" w:cs="仿宋_GB2312"/>
          <w:kern w:val="0"/>
          <w:sz w:val="28"/>
          <w:szCs w:val="28"/>
        </w:rPr>
        <w:t>4、乙方安排的配送任务需提前书面告知丙方，丙方合理调配车辆到达网点时间，如因甲方原因造成延误，二次派车的费用由乙方承担。</w:t>
      </w:r>
    </w:p>
    <w:p>
      <w:pPr>
        <w:pStyle w:val="3"/>
        <w:keepNext w:val="0"/>
        <w:keepLines w:val="0"/>
        <w:widowControl w:val="0"/>
        <w:suppressLineNumbers w:val="0"/>
        <w:autoSpaceDE w:val="0"/>
        <w:autoSpaceDN/>
        <w:snapToGrid w:val="0"/>
        <w:spacing w:line="460" w:lineRule="exact"/>
        <w:ind w:left="0" w:right="0" w:firstLine="560" w:firstLineChars="200"/>
        <w:rPr>
          <w:rFonts w:hint="default" w:ascii="Arial" w:hAnsi="Arial" w:eastAsia="仿宋" w:cs="Times New Roman"/>
          <w:kern w:val="2"/>
          <w:sz w:val="24"/>
          <w:szCs w:val="24"/>
        </w:rPr>
      </w:pPr>
      <w:r>
        <w:rPr>
          <w:rFonts w:hint="default" w:ascii="仿宋_GB2312" w:hAnsi="宋体" w:eastAsia="仿宋_GB2312" w:cs="仿宋_GB2312"/>
          <w:kern w:val="2"/>
          <w:sz w:val="28"/>
          <w:szCs w:val="28"/>
        </w:rPr>
        <w:t>5、甲、乙双方约定中，如产生包含但不限于ATM机清机加钞（不含维护）、上门收款等业务出现调整，由需求方和丙方另行结算。</w:t>
      </w:r>
    </w:p>
    <w:p>
      <w:pPr>
        <w:pStyle w:val="2"/>
        <w:widowControl/>
        <w:autoSpaceDE w:val="0"/>
        <w:autoSpaceDN/>
        <w:spacing w:line="460" w:lineRule="exact"/>
        <w:ind w:left="0" w:leftChars="0" w:right="0" w:firstLine="0" w:firstLineChars="0"/>
        <w:jc w:val="left"/>
        <w:rPr>
          <w:rFonts w:hint="default" w:ascii="黑体" w:hAnsi="宋体" w:eastAsia="黑体" w:cs="黑体"/>
          <w:kern w:val="0"/>
          <w:sz w:val="28"/>
          <w:szCs w:val="28"/>
        </w:rPr>
      </w:pPr>
      <w:r>
        <w:rPr>
          <w:rFonts w:hint="default" w:ascii="黑体" w:hAnsi="宋体" w:eastAsia="黑体" w:cs="黑体"/>
          <w:kern w:val="0"/>
          <w:sz w:val="28"/>
          <w:szCs w:val="28"/>
        </w:rPr>
        <w:t>第七条 费用标准</w:t>
      </w:r>
    </w:p>
    <w:p>
      <w:pPr>
        <w:keepNext w:val="0"/>
        <w:keepLines w:val="0"/>
        <w:widowControl w:val="0"/>
        <w:suppressLineNumbers w:val="0"/>
        <w:autoSpaceDE w:val="0"/>
        <w:autoSpaceDN/>
        <w:spacing w:before="120" w:beforeAutospacing="0" w:after="120" w:afterAutospacing="0" w:line="460" w:lineRule="exact"/>
        <w:ind w:left="0" w:right="0"/>
        <w:jc w:val="both"/>
        <w:rPr>
          <w:rFonts w:hint="default" w:ascii="仿宋_GB2312" w:hAnsi="Times New Roman" w:eastAsia="仿宋_GB2312" w:cs="Times New Roman"/>
          <w:kern w:val="2"/>
          <w:sz w:val="28"/>
          <w:szCs w:val="28"/>
        </w:rPr>
      </w:pP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（一）业务内容和相关服务费用：</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甲方按下列业务内容和相关标准支付乙方服务费用：</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eastAsia" w:ascii="宋体" w:hAnsi="宋体" w:eastAsia="宋体" w:cs="宋体"/>
          <w:kern w:val="2"/>
          <w:sz w:val="28"/>
          <w:szCs w:val="28"/>
          <w:highlight w:val="none"/>
        </w:rPr>
      </w:pPr>
      <w:r>
        <w:rPr>
          <w:rFonts w:hint="eastAsia" w:ascii="宋体" w:hAnsi="宋体" w:eastAsia="宋体" w:cs="宋体"/>
          <w:kern w:val="2"/>
          <w:sz w:val="28"/>
          <w:szCs w:val="28"/>
          <w:highlight w:val="none"/>
          <w:lang w:val="en-US" w:eastAsia="zh-CN" w:bidi="ar"/>
        </w:rPr>
        <w:t>(1)</w:t>
      </w:r>
      <w:r>
        <w:rPr>
          <w:rFonts w:hint="default" w:ascii="仿宋_GB2312" w:hAnsi="Times New Roman" w:eastAsia="仿宋_GB2312" w:cs="仿宋_GB2312"/>
          <w:kern w:val="2"/>
          <w:sz w:val="28"/>
          <w:szCs w:val="28"/>
          <w:highlight w:val="none"/>
          <w:lang w:val="en-US" w:eastAsia="zh-CN" w:bidi="ar"/>
        </w:rPr>
        <w:t>基础服务费</w:t>
      </w:r>
      <w:r>
        <w:rPr>
          <w:rFonts w:hint="default" w:ascii="仿宋_GB2312" w:hAnsi="宋体" w:eastAsia="仿宋_GB2312" w:cs="仿宋_GB2312"/>
          <w:kern w:val="2"/>
          <w:sz w:val="28"/>
          <w:szCs w:val="28"/>
          <w:highlight w:val="none"/>
          <w:lang w:val="en-US" w:eastAsia="zh-CN" w:bidi="ar"/>
        </w:rPr>
        <w:t>用</w:t>
      </w:r>
      <w:r>
        <w:rPr>
          <w:rFonts w:hint="eastAsia" w:ascii="仿宋_GB2312" w:hAnsi="宋体" w:eastAsia="仿宋_GB2312" w:cs="仿宋_GB2312"/>
          <w:kern w:val="2"/>
          <w:sz w:val="28"/>
          <w:szCs w:val="28"/>
          <w:highlight w:val="none"/>
          <w:lang w:val="en-US" w:eastAsia="zh-CN" w:bidi="ar"/>
        </w:rPr>
        <w:t>（账务处理及现金储存费用）</w:t>
      </w:r>
      <w:r>
        <w:rPr>
          <w:rFonts w:hint="default" w:ascii="仿宋_GB2312" w:hAnsi="Times New Roman" w:eastAsia="仿宋_GB2312" w:cs="仿宋_GB2312"/>
          <w:kern w:val="2"/>
          <w:sz w:val="28"/>
          <w:szCs w:val="28"/>
          <w:highlight w:val="none"/>
          <w:u w:val="single"/>
          <w:lang w:val="en-US" w:eastAsia="zh-CN" w:bidi="ar"/>
        </w:rPr>
        <w:t>208333.33元</w:t>
      </w:r>
      <w:r>
        <w:rPr>
          <w:rFonts w:hint="default" w:ascii="仿宋_GB2312" w:hAnsi="Times New Roman" w:eastAsia="仿宋_GB2312" w:cs="仿宋_GB2312"/>
          <w:kern w:val="2"/>
          <w:sz w:val="28"/>
          <w:szCs w:val="28"/>
          <w:highlight w:val="none"/>
          <w:lang w:val="en-US" w:eastAsia="zh-CN" w:bidi="ar"/>
        </w:rPr>
        <w:t>。</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eastAsia="仿宋_GB2312" w:cs="仿宋_GB2312"/>
          <w:kern w:val="2"/>
          <w:sz w:val="28"/>
          <w:szCs w:val="28"/>
        </w:rPr>
      </w:pPr>
      <w:r>
        <w:rPr>
          <w:rFonts w:hint="eastAsia" w:ascii="宋体" w:hAnsi="宋体" w:eastAsia="宋体" w:cs="宋体"/>
          <w:kern w:val="2"/>
          <w:sz w:val="28"/>
          <w:szCs w:val="28"/>
          <w:highlight w:val="none"/>
          <w:lang w:val="en-US" w:eastAsia="zh-CN" w:bidi="ar"/>
        </w:rPr>
        <w:t>(2)</w:t>
      </w:r>
      <w:r>
        <w:rPr>
          <w:rFonts w:hint="default" w:ascii="仿宋_GB2312" w:hAnsi="宋体" w:eastAsia="仿宋_GB2312" w:cs="仿宋_GB2312"/>
          <w:kern w:val="2"/>
          <w:sz w:val="28"/>
          <w:szCs w:val="28"/>
          <w:highlight w:val="none"/>
          <w:lang w:val="en-US" w:eastAsia="zh-CN" w:bidi="ar"/>
        </w:rPr>
        <w:t>现金（尾箱）储存及配送业务，盐城市（亭湖区、盐都区</w:t>
      </w:r>
      <w:r>
        <w:rPr>
          <w:rFonts w:hint="default" w:ascii="仿宋_GB2312" w:hAnsi="宋体" w:eastAsia="仿宋_GB2312" w:cs="仿宋_GB2312"/>
          <w:kern w:val="2"/>
          <w:sz w:val="28"/>
          <w:szCs w:val="28"/>
          <w:lang w:val="en-US" w:eastAsia="zh-CN" w:bidi="ar"/>
        </w:rPr>
        <w:t>）费用为</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230000元</w:t>
      </w:r>
      <w:r>
        <w:rPr>
          <w:rFonts w:hint="default" w:ascii="仿宋_GB2312" w:hAnsi="宋体" w:eastAsia="仿宋_GB2312" w:cs="仿宋_GB2312"/>
          <w:kern w:val="2"/>
          <w:sz w:val="28"/>
          <w:szCs w:val="28"/>
          <w:lang w:val="en-US" w:eastAsia="zh-CN" w:bidi="ar"/>
        </w:rPr>
        <w:t>/年/网点，县域（建湖、大丰、射阳）费用为</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270000  元</w:t>
      </w:r>
      <w:r>
        <w:rPr>
          <w:rFonts w:hint="default" w:ascii="仿宋_GB2312" w:hAnsi="宋体" w:eastAsia="仿宋_GB2312" w:cs="仿宋_GB2312"/>
          <w:kern w:val="2"/>
          <w:sz w:val="28"/>
          <w:szCs w:val="28"/>
          <w:lang w:val="en-US" w:eastAsia="zh-CN" w:bidi="ar"/>
        </w:rPr>
        <w:t>/年/网点。该费用标准下的服务内容为，每个网点每天配送按早送晚接共两次，寄存尾箱数量不超过3个。如超过的，每增加一个箱子每天收取</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 xml:space="preserve">25 </w:t>
      </w:r>
      <w:r>
        <w:rPr>
          <w:rFonts w:hint="default" w:ascii="仿宋_GB2312" w:hAnsi="宋体" w:eastAsia="仿宋_GB2312" w:cs="仿宋_GB2312"/>
          <w:kern w:val="2"/>
          <w:sz w:val="28"/>
          <w:szCs w:val="28"/>
          <w:lang w:val="en-US" w:eastAsia="zh-CN" w:bidi="ar"/>
        </w:rPr>
        <w:t>元/天；现金调拨按早送晚接款箱一同送至网点。</w:t>
      </w:r>
    </w:p>
    <w:p>
      <w:pPr>
        <w:pStyle w:val="2"/>
        <w:widowControl/>
        <w:autoSpaceDE w:val="0"/>
        <w:autoSpaceDN/>
        <w:spacing w:line="460" w:lineRule="exact"/>
        <w:ind w:left="0" w:right="0"/>
        <w:rPr>
          <w:rFonts w:hint="default" w:ascii="仿宋_GB2312" w:eastAsia="仿宋_GB2312" w:cs="仿宋_GB2312"/>
          <w:kern w:val="0"/>
          <w:sz w:val="28"/>
          <w:szCs w:val="28"/>
        </w:rPr>
      </w:pPr>
      <w:r>
        <w:rPr>
          <w:rFonts w:hint="default" w:ascii="仿宋_GB2312" w:eastAsia="仿宋_GB2312" w:cs="仿宋_GB2312"/>
          <w:kern w:val="0"/>
          <w:sz w:val="28"/>
          <w:szCs w:val="28"/>
        </w:rPr>
        <w:t>费用明细如下：</w:t>
      </w:r>
    </w:p>
    <w:tbl>
      <w:tblPr>
        <w:tblStyle w:val="1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4"/>
        <w:gridCol w:w="1505"/>
        <w:gridCol w:w="952"/>
        <w:gridCol w:w="820"/>
        <w:gridCol w:w="1505"/>
        <w:gridCol w:w="31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4" w:hRule="atLeast"/>
        </w:trPr>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autoSpaceDE w:val="0"/>
              <w:autoSpaceDN/>
              <w:spacing w:before="120" w:beforeAutospacing="0" w:after="120" w:afterAutospacing="0" w:line="460" w:lineRule="exact"/>
              <w:ind w:left="0" w:right="0"/>
              <w:jc w:val="center"/>
              <w:textAlignment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0"/>
                <w:sz w:val="22"/>
                <w:szCs w:val="22"/>
                <w:lang w:val="en-US" w:eastAsia="zh-CN" w:bidi="ar"/>
              </w:rPr>
              <w:t>序号</w:t>
            </w:r>
          </w:p>
        </w:tc>
        <w:tc>
          <w:tcPr>
            <w:tcW w:w="68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autoSpaceDE w:val="0"/>
              <w:autoSpaceDN/>
              <w:spacing w:before="120" w:beforeAutospacing="0" w:after="120" w:afterAutospacing="0" w:line="460" w:lineRule="exact"/>
              <w:ind w:left="0" w:right="0"/>
              <w:jc w:val="center"/>
              <w:textAlignment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0"/>
                <w:sz w:val="22"/>
                <w:szCs w:val="22"/>
                <w:lang w:val="en-US" w:eastAsia="zh-CN" w:bidi="ar"/>
              </w:rPr>
              <w:t>区域</w:t>
            </w:r>
          </w:p>
        </w:tc>
        <w:tc>
          <w:tcPr>
            <w:tcW w:w="694"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autoSpaceDE w:val="0"/>
              <w:autoSpaceDN/>
              <w:spacing w:before="120" w:beforeAutospacing="0" w:after="120" w:afterAutospacing="0" w:line="460" w:lineRule="exact"/>
              <w:ind w:left="0" w:right="0"/>
              <w:jc w:val="center"/>
              <w:textAlignment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0"/>
                <w:sz w:val="22"/>
                <w:szCs w:val="22"/>
                <w:lang w:val="en-US" w:eastAsia="zh-CN" w:bidi="ar"/>
              </w:rPr>
              <w:t>网点数量</w:t>
            </w:r>
          </w:p>
        </w:tc>
        <w:tc>
          <w:tcPr>
            <w:tcW w:w="758"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autoSpaceDE w:val="0"/>
              <w:autoSpaceDN/>
              <w:spacing w:before="120" w:beforeAutospacing="0" w:after="120" w:afterAutospacing="0" w:line="460" w:lineRule="exact"/>
              <w:ind w:left="0" w:right="0"/>
              <w:jc w:val="center"/>
              <w:textAlignment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0"/>
                <w:sz w:val="22"/>
                <w:szCs w:val="22"/>
                <w:lang w:val="en-US" w:eastAsia="zh-CN" w:bidi="ar"/>
              </w:rPr>
              <w:t>单价/元</w:t>
            </w:r>
          </w:p>
        </w:tc>
        <w:tc>
          <w:tcPr>
            <w:tcW w:w="974"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autoSpaceDE w:val="0"/>
              <w:autoSpaceDN/>
              <w:spacing w:before="120" w:beforeAutospacing="0" w:after="120" w:afterAutospacing="0" w:line="460" w:lineRule="exact"/>
              <w:ind w:left="0" w:right="0"/>
              <w:jc w:val="center"/>
              <w:textAlignment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0"/>
                <w:sz w:val="22"/>
                <w:szCs w:val="22"/>
                <w:lang w:val="en-US" w:eastAsia="zh-CN" w:bidi="ar"/>
              </w:rPr>
              <w:t>合计金额（元）</w:t>
            </w:r>
          </w:p>
        </w:tc>
        <w:tc>
          <w:tcPr>
            <w:tcW w:w="1160"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suppressLineNumbers w:val="0"/>
              <w:autoSpaceDE w:val="0"/>
              <w:autoSpaceDN/>
              <w:spacing w:before="120" w:beforeAutospacing="0" w:after="120" w:afterAutospacing="0" w:line="460" w:lineRule="exact"/>
              <w:ind w:left="0" w:right="0"/>
              <w:jc w:val="center"/>
              <w:textAlignment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0"/>
                <w:sz w:val="22"/>
                <w:szCs w:val="22"/>
                <w:lang w:val="en-US" w:eastAsia="zh-CN" w:bidi="ar"/>
              </w:rPr>
              <w:t>服务日期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4" w:hRule="atLeast"/>
        </w:trPr>
        <w:tc>
          <w:tcPr>
            <w:tcW w:w="72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autoSpaceDE w:val="0"/>
              <w:autoSpaceDN/>
              <w:spacing w:before="120" w:beforeAutospacing="0" w:after="120" w:afterAutospacing="0" w:line="460" w:lineRule="exact"/>
              <w:ind w:left="0" w:right="0"/>
              <w:jc w:val="center"/>
              <w:textAlignment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0"/>
                <w:sz w:val="22"/>
                <w:szCs w:val="22"/>
                <w:lang w:val="en-US" w:eastAsia="zh-CN" w:bidi="ar"/>
              </w:rPr>
              <w:t>1</w:t>
            </w:r>
          </w:p>
        </w:tc>
        <w:tc>
          <w:tcPr>
            <w:tcW w:w="689"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val="0"/>
              <w:suppressLineNumbers w:val="0"/>
              <w:autoSpaceDE w:val="0"/>
              <w:autoSpaceDN/>
              <w:spacing w:before="120" w:beforeAutospacing="0" w:after="120" w:afterAutospacing="0" w:line="460" w:lineRule="exact"/>
              <w:ind w:left="0" w:right="0"/>
              <w:jc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2"/>
                <w:sz w:val="22"/>
                <w:szCs w:val="22"/>
                <w:lang w:val="en-US" w:eastAsia="zh-CN" w:bidi="ar"/>
              </w:rPr>
              <w:t>盐城分行营业部</w:t>
            </w:r>
          </w:p>
        </w:tc>
        <w:tc>
          <w:tcPr>
            <w:tcW w:w="694"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val="0"/>
              <w:suppressLineNumbers w:val="0"/>
              <w:autoSpaceDE w:val="0"/>
              <w:autoSpaceDN/>
              <w:spacing w:before="120" w:beforeAutospacing="0" w:after="120" w:afterAutospacing="0" w:line="460" w:lineRule="exact"/>
              <w:ind w:left="0" w:right="0"/>
              <w:jc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2"/>
                <w:sz w:val="22"/>
                <w:szCs w:val="22"/>
                <w:lang w:val="en-US" w:eastAsia="zh-CN" w:bidi="ar"/>
              </w:rPr>
              <w:t>1</w:t>
            </w:r>
          </w:p>
        </w:tc>
        <w:tc>
          <w:tcPr>
            <w:tcW w:w="758"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val="0"/>
              <w:suppressLineNumbers w:val="0"/>
              <w:autoSpaceDE w:val="0"/>
              <w:autoSpaceDN/>
              <w:spacing w:before="120" w:beforeAutospacing="0" w:after="120" w:afterAutospacing="0" w:line="460" w:lineRule="exact"/>
              <w:ind w:left="0" w:right="0"/>
              <w:jc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2"/>
                <w:sz w:val="22"/>
                <w:szCs w:val="22"/>
                <w:lang w:val="en-US" w:eastAsia="zh-CN" w:bidi="ar"/>
              </w:rPr>
              <w:t>230000</w:t>
            </w:r>
          </w:p>
        </w:tc>
        <w:tc>
          <w:tcPr>
            <w:tcW w:w="974"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val="0"/>
              <w:suppressLineNumbers w:val="0"/>
              <w:autoSpaceDE w:val="0"/>
              <w:autoSpaceDN/>
              <w:spacing w:before="120" w:beforeAutospacing="0" w:after="120" w:afterAutospacing="0" w:line="460" w:lineRule="exact"/>
              <w:ind w:left="0" w:right="0"/>
              <w:jc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2"/>
                <w:sz w:val="22"/>
                <w:szCs w:val="22"/>
                <w:lang w:val="en-US" w:eastAsia="zh-CN" w:bidi="ar"/>
              </w:rPr>
              <w:t>191666.67</w:t>
            </w:r>
          </w:p>
        </w:tc>
        <w:tc>
          <w:tcPr>
            <w:tcW w:w="1160" w:type="pct"/>
            <w:tcBorders>
              <w:top w:val="single" w:color="000000" w:sz="4" w:space="0"/>
              <w:left w:val="nil"/>
              <w:bottom w:val="single" w:color="000000" w:sz="4" w:space="0"/>
              <w:right w:val="single" w:color="000000" w:sz="4" w:space="0"/>
            </w:tcBorders>
            <w:shd w:val="clear" w:color="auto" w:fill="auto"/>
            <w:noWrap/>
            <w:vAlign w:val="center"/>
          </w:tcPr>
          <w:p>
            <w:pPr>
              <w:keepNext w:val="0"/>
              <w:keepLines w:val="0"/>
              <w:widowControl w:val="0"/>
              <w:suppressLineNumbers w:val="0"/>
              <w:autoSpaceDE w:val="0"/>
              <w:autoSpaceDN/>
              <w:spacing w:before="120" w:beforeAutospacing="0" w:after="120" w:afterAutospacing="0" w:line="460" w:lineRule="exact"/>
              <w:ind w:left="0" w:right="0"/>
              <w:jc w:val="center"/>
              <w:rPr>
                <w:rFonts w:hint="default" w:ascii="仿宋" w:hAnsi="仿宋" w:eastAsia="仿宋" w:cs="仿宋"/>
                <w:i w:val="0"/>
                <w:iCs w:val="0"/>
                <w:color w:val="000000"/>
                <w:kern w:val="2"/>
                <w:sz w:val="22"/>
                <w:szCs w:val="22"/>
              </w:rPr>
            </w:pPr>
            <w:r>
              <w:rPr>
                <w:rFonts w:hint="default" w:ascii="仿宋" w:hAnsi="仿宋" w:eastAsia="仿宋" w:cs="仿宋"/>
                <w:i w:val="0"/>
                <w:iCs w:val="0"/>
                <w:color w:val="000000"/>
                <w:kern w:val="2"/>
                <w:sz w:val="22"/>
                <w:szCs w:val="22"/>
                <w:lang w:val="en-US" w:eastAsia="zh-CN" w:bidi="ar"/>
              </w:rPr>
              <w:t>2026年5月31日-2027年3月30日</w:t>
            </w:r>
          </w:p>
        </w:tc>
      </w:tr>
    </w:tbl>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Times New Roman" w:hAnsi="Times New Roman" w:eastAsia="仿宋" w:cs="Times New Roman"/>
          <w:kern w:val="2"/>
          <w:sz w:val="24"/>
          <w:szCs w:val="24"/>
        </w:rPr>
      </w:pPr>
      <w:r>
        <w:rPr>
          <w:rFonts w:hint="eastAsia" w:ascii="宋体" w:hAnsi="宋体" w:eastAsia="宋体" w:cs="宋体"/>
          <w:kern w:val="2"/>
          <w:sz w:val="28"/>
          <w:szCs w:val="28"/>
          <w:lang w:val="en-US" w:eastAsia="zh-CN" w:bidi="ar"/>
        </w:rPr>
        <w:t>(3）</w:t>
      </w:r>
      <w:r>
        <w:rPr>
          <w:rFonts w:hint="default" w:ascii="仿宋_GB2312" w:hAnsi="宋体" w:eastAsia="仿宋_GB2312" w:cs="仿宋_GB2312"/>
          <w:kern w:val="2"/>
          <w:sz w:val="28"/>
          <w:szCs w:val="28"/>
          <w:lang w:val="en-US" w:eastAsia="zh-CN" w:bidi="ar"/>
        </w:rPr>
        <w:t>甲方所属网点上缴款的开箱卡把、下解款配款装箱费用如下：</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甲方所属网点申请的上缴款的开箱卡把：50元、100元面值按</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200</w:t>
      </w:r>
      <w:r>
        <w:rPr>
          <w:rFonts w:hint="default" w:ascii="仿宋_GB2312" w:hAnsi="宋体" w:eastAsia="仿宋_GB2312" w:cs="仿宋_GB2312"/>
          <w:kern w:val="2"/>
          <w:sz w:val="28"/>
          <w:szCs w:val="28"/>
          <w:lang w:val="en-US" w:eastAsia="zh-CN" w:bidi="ar"/>
        </w:rPr>
        <w:t>元/千万；20元及以下面值纸币按</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250</w:t>
      </w:r>
      <w:r>
        <w:rPr>
          <w:rFonts w:hint="default" w:ascii="仿宋_GB2312" w:hAnsi="宋体" w:eastAsia="仿宋_GB2312" w:cs="仿宋_GB2312"/>
          <w:kern w:val="2"/>
          <w:sz w:val="28"/>
          <w:szCs w:val="28"/>
          <w:lang w:val="en-US" w:eastAsia="zh-CN" w:bidi="ar"/>
        </w:rPr>
        <w:t>元/百万。</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甲方所属网点申请的下解款配款装箱费用为50元、100元面值按</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250</w:t>
      </w:r>
      <w:r>
        <w:rPr>
          <w:rFonts w:hint="default" w:ascii="仿宋_GB2312" w:hAnsi="宋体" w:eastAsia="仿宋_GB2312" w:cs="仿宋_GB2312"/>
          <w:kern w:val="2"/>
          <w:sz w:val="28"/>
          <w:szCs w:val="28"/>
          <w:lang w:val="en-US" w:eastAsia="zh-CN" w:bidi="ar"/>
        </w:rPr>
        <w:t>元/千万；20元及以下面值纸币按</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250</w:t>
      </w:r>
      <w:r>
        <w:rPr>
          <w:rFonts w:hint="default" w:ascii="仿宋_GB2312" w:hAnsi="宋体" w:eastAsia="仿宋_GB2312" w:cs="仿宋_GB2312"/>
          <w:kern w:val="2"/>
          <w:sz w:val="28"/>
          <w:szCs w:val="28"/>
          <w:lang w:val="en-US" w:eastAsia="zh-CN" w:bidi="ar"/>
        </w:rPr>
        <w:t>元/百万。</w:t>
      </w:r>
    </w:p>
    <w:p>
      <w:pPr>
        <w:keepNext w:val="0"/>
        <w:keepLines w:val="0"/>
        <w:widowControl w:val="0"/>
        <w:suppressLineNumbers w:val="0"/>
        <w:autoSpaceDE w:val="0"/>
        <w:autoSpaceDN/>
        <w:spacing w:before="120" w:beforeAutospacing="0" w:after="120" w:afterAutospacing="0" w:line="460" w:lineRule="exact"/>
        <w:ind w:left="485" w:leftChars="231" w:right="0" w:firstLine="0" w:firstLineChars="0"/>
        <w:jc w:val="both"/>
        <w:rPr>
          <w:rFonts w:hint="default" w:ascii="Times New Roman" w:hAnsi="Times New Roman" w:eastAsia="仿宋" w:cs="Times New Roman"/>
          <w:kern w:val="2"/>
          <w:sz w:val="24"/>
          <w:szCs w:val="24"/>
        </w:rPr>
      </w:pPr>
      <w:r>
        <w:rPr>
          <w:rFonts w:hint="eastAsia" w:ascii="宋体" w:hAnsi="宋体" w:eastAsia="宋体" w:cs="宋体"/>
          <w:kern w:val="2"/>
          <w:sz w:val="28"/>
          <w:szCs w:val="28"/>
          <w:lang w:val="en-US" w:eastAsia="zh-CN" w:bidi="ar"/>
        </w:rPr>
        <w:t>(4)</w:t>
      </w:r>
      <w:r>
        <w:rPr>
          <w:rFonts w:hint="default" w:ascii="仿宋_GB2312" w:hAnsi="宋体" w:eastAsia="仿宋_GB2312" w:cs="仿宋_GB2312"/>
          <w:kern w:val="2"/>
          <w:sz w:val="28"/>
          <w:szCs w:val="28"/>
          <w:lang w:val="en-US" w:eastAsia="zh-CN" w:bidi="ar"/>
        </w:rPr>
        <w:t>现金清分费用为</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14</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lang w:val="en-US" w:eastAsia="zh-CN" w:bidi="ar"/>
        </w:rPr>
        <w:t>元/捆（不区分面值及完整残损等属性）</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(5)硬币清分包装费用：</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5元每百枚</w:t>
      </w:r>
      <w:r>
        <w:rPr>
          <w:rFonts w:hint="default" w:ascii="仿宋_GB2312" w:hAnsi="宋体" w:eastAsia="仿宋_GB2312" w:cs="仿宋_GB2312"/>
          <w:kern w:val="2"/>
          <w:sz w:val="28"/>
          <w:szCs w:val="28"/>
          <w:lang w:val="en-US" w:eastAsia="zh-CN" w:bidi="ar"/>
        </w:rPr>
        <w:t>。</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(6)托管库建设费用按网点进行收取，每年收取维护费用</w:t>
      </w:r>
      <w:r>
        <w:rPr>
          <w:rFonts w:hint="default" w:ascii="仿宋_GB2312" w:hAnsi="宋体" w:eastAsia="仿宋_GB2312" w:cs="仿宋_GB2312"/>
          <w:kern w:val="2"/>
          <w:sz w:val="28"/>
          <w:szCs w:val="28"/>
          <w:u w:val="single"/>
          <w:lang w:val="en-US" w:eastAsia="zh-CN" w:bidi="ar"/>
        </w:rPr>
        <w:t xml:space="preserve">200元 </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/年/网点。</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(7)临时用车</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市区费用：</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 xml:space="preserve">500  </w:t>
      </w:r>
      <w:r>
        <w:rPr>
          <w:rFonts w:hint="default" w:ascii="仿宋_GB2312" w:hAnsi="宋体" w:eastAsia="仿宋_GB2312" w:cs="仿宋_GB2312"/>
          <w:kern w:val="2"/>
          <w:sz w:val="28"/>
          <w:szCs w:val="28"/>
          <w:lang w:val="en-US" w:eastAsia="zh-CN" w:bidi="ar"/>
        </w:rPr>
        <w:t>元/次/网点；</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盐城县域费用：</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 xml:space="preserve">3000 </w:t>
      </w:r>
      <w:r>
        <w:rPr>
          <w:rFonts w:hint="default" w:ascii="仿宋_GB2312" w:hAnsi="宋体" w:eastAsia="仿宋_GB2312" w:cs="仿宋_GB2312"/>
          <w:kern w:val="2"/>
          <w:sz w:val="28"/>
          <w:szCs w:val="28"/>
          <w:lang w:val="en-US" w:eastAsia="zh-CN" w:bidi="ar"/>
        </w:rPr>
        <w:t>元/次/网点；（大丰、建湖、射阳、滨海、响水、阜宁、东台）</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江苏省内临时用车：</w:t>
      </w:r>
      <w:r>
        <w:rPr>
          <w:rFonts w:hint="default" w:ascii="仿宋_GB2312" w:hAnsi="宋体" w:eastAsia="仿宋_GB2312" w:cs="仿宋_GB2312"/>
          <w:kern w:val="2"/>
          <w:sz w:val="28"/>
          <w:szCs w:val="28"/>
          <w:u w:val="single"/>
          <w:lang w:val="en-US" w:eastAsia="zh-CN" w:bidi="ar"/>
        </w:rPr>
        <w:t xml:space="preserve">5000 </w:t>
      </w:r>
      <w:r>
        <w:rPr>
          <w:rFonts w:hint="default" w:ascii="仿宋_GB2312" w:hAnsi="宋体" w:eastAsia="仿宋_GB2312" w:cs="仿宋_GB2312"/>
          <w:kern w:val="2"/>
          <w:sz w:val="28"/>
          <w:szCs w:val="28"/>
          <w:lang w:val="en-US" w:eastAsia="zh-CN" w:bidi="ar"/>
        </w:rPr>
        <w:t>元/次/网点；（江苏省内其他地域、包括上海）</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(8)晚接二返费用：</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 xml:space="preserve">300 </w:t>
      </w:r>
      <w:r>
        <w:rPr>
          <w:rFonts w:hint="default" w:ascii="仿宋_GB2312" w:hAnsi="宋体" w:eastAsia="仿宋_GB2312" w:cs="仿宋_GB2312"/>
          <w:kern w:val="2"/>
          <w:sz w:val="28"/>
          <w:szCs w:val="28"/>
          <w:lang w:val="en-US" w:eastAsia="zh-CN" w:bidi="ar"/>
        </w:rPr>
        <w:t>元/次/网点，当日由于网点营业延后等原因造成的20：00之后“返收”；及押运车辆到达营业网点15分钟内未交接款箱形成的“返收”。</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(9)会计凭证包业务：线上流转费用</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 xml:space="preserve">12 </w:t>
      </w:r>
      <w:r>
        <w:rPr>
          <w:rFonts w:hint="default" w:ascii="仿宋_GB2312" w:hAnsi="宋体" w:eastAsia="仿宋_GB2312" w:cs="仿宋_GB2312"/>
          <w:kern w:val="2"/>
          <w:sz w:val="28"/>
          <w:szCs w:val="28"/>
          <w:lang w:val="en-US" w:eastAsia="zh-CN" w:bidi="ar"/>
        </w:rPr>
        <w:t>元/次/网点。</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(10)贵重金属、外币、重空凭证线上流转费用</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 xml:space="preserve">35 </w:t>
      </w:r>
      <w:r>
        <w:rPr>
          <w:rFonts w:hint="default" w:ascii="仿宋_GB2312" w:hAnsi="宋体" w:eastAsia="仿宋_GB2312" w:cs="仿宋_GB2312"/>
          <w:kern w:val="2"/>
          <w:sz w:val="28"/>
          <w:szCs w:val="28"/>
          <w:lang w:val="en-US" w:eastAsia="zh-CN" w:bidi="ar"/>
        </w:rPr>
        <w:t>元/次/网点。</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Times New Roman" w:hAnsi="Times New Roman" w:eastAsia="仿宋" w:cs="Times New Roman"/>
          <w:kern w:val="2"/>
          <w:sz w:val="24"/>
          <w:szCs w:val="24"/>
        </w:rPr>
      </w:pPr>
      <w:r>
        <w:rPr>
          <w:rFonts w:hint="default" w:ascii="仿宋_GB2312" w:hAnsi="宋体" w:eastAsia="仿宋_GB2312" w:cs="仿宋_GB2312"/>
          <w:kern w:val="2"/>
          <w:sz w:val="28"/>
          <w:szCs w:val="28"/>
          <w:lang w:val="en-US" w:eastAsia="zh-CN" w:bidi="ar"/>
        </w:rPr>
        <w:t>(11)以上价款为含增值税价格，甲方付款前，乙方须向甲方开具合法有效的增值税专用发票，增值税税率为6%，否则甲方有权拒绝付款且不承担逾期付款责任。</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eastAsia="仿宋_GB2312" w:cs="仿宋_GB2312"/>
          <w:b w:val="0"/>
          <w:bCs w:val="0"/>
          <w:kern w:val="2"/>
          <w:sz w:val="28"/>
          <w:szCs w:val="28"/>
        </w:rPr>
      </w:pPr>
      <w:r>
        <w:rPr>
          <w:rFonts w:hint="default" w:ascii="仿宋_GB2312" w:hAnsi="Times New Roman" w:eastAsia="仿宋_GB2312" w:cs="仿宋_GB2312"/>
          <w:kern w:val="2"/>
          <w:sz w:val="28"/>
          <w:szCs w:val="28"/>
          <w:lang w:val="en-US" w:eastAsia="zh-CN" w:bidi="ar"/>
        </w:rPr>
        <w:t>(12)</w:t>
      </w:r>
      <w:r>
        <w:rPr>
          <w:rFonts w:hint="default" w:ascii="仿宋_GB2312" w:hAnsi="Times New Roman" w:eastAsia="仿宋_GB2312" w:cs="仿宋_GB2312"/>
          <w:b w:val="0"/>
          <w:bCs w:val="0"/>
          <w:kern w:val="2"/>
          <w:sz w:val="28"/>
          <w:szCs w:val="28"/>
          <w:lang w:val="en-US" w:eastAsia="zh-CN" w:bidi="ar"/>
        </w:rPr>
        <w:t>甲乙双方约定各项服务按以上价格执行，价格听证会通过的服务价格有变动的，以价格证听会确定的价格执行。</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（二）结算周期及支付方式</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Times New Roman" w:hAnsi="Times New Roman" w:eastAsia="仿宋" w:cs="Times New Roman"/>
          <w:kern w:val="2"/>
          <w:sz w:val="24"/>
          <w:szCs w:val="24"/>
        </w:rPr>
      </w:pPr>
      <w:r>
        <w:rPr>
          <w:rFonts w:hint="default" w:ascii="仿宋_GB2312" w:hAnsi="宋体" w:eastAsia="仿宋_GB2312" w:cs="仿宋_GB2312"/>
          <w:kern w:val="2"/>
          <w:sz w:val="28"/>
          <w:szCs w:val="28"/>
          <w:lang w:val="en-US" w:eastAsia="zh-CN" w:bidi="ar"/>
        </w:rPr>
        <w:t>(1)</w:t>
      </w:r>
      <w:r>
        <w:rPr>
          <w:rFonts w:hint="default" w:ascii="仿宋_GB2312" w:hAnsi="Times New Roman" w:eastAsia="仿宋_GB2312" w:cs="仿宋_GB2312"/>
          <w:kern w:val="2"/>
          <w:sz w:val="28"/>
          <w:szCs w:val="28"/>
          <w:lang w:val="en-US" w:eastAsia="zh-CN" w:bidi="ar"/>
        </w:rPr>
        <w:t>基础服务费用</w:t>
      </w:r>
      <w:r>
        <w:rPr>
          <w:rFonts w:hint="default" w:ascii="仿宋_GB2312" w:hAnsi="宋体" w:eastAsia="仿宋_GB2312" w:cs="仿宋_GB2312"/>
          <w:kern w:val="2"/>
          <w:sz w:val="28"/>
          <w:szCs w:val="28"/>
          <w:lang w:val="en-US" w:eastAsia="zh-CN" w:bidi="ar"/>
        </w:rPr>
        <w:t>在业务启始时，甲方一次性支付乙方；</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(2)现金（尾箱）储存及配送服务以甲乙丙三方共同认定的网点数量在业务启始时，一次性进行支付；</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(3)超出标准数量次数及寄存的尾箱、上缴款开箱卡把、下解款配款装箱、现金清分等费用，以公历季度为结算周期，每个结算周期结束后乙方出具相关业务量及服务费报表，经甲方、丙方确认无误后，乙方开具发票。</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(4)网点箱包二次返收、临时用车、会计凭证包流转、重空、外币、贵重金属流转等费用，据实结算，以公历季度为结算周期，每个结算周期结束后乙方出具相关业务量及服务费报表，经甲方、丙方确认无误后，乙方开具发票。</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Times New Roman" w:eastAsia="仿宋_GB2312" w:cs="Times New Roman"/>
          <w:kern w:val="2"/>
          <w:sz w:val="28"/>
          <w:szCs w:val="28"/>
        </w:rPr>
      </w:pPr>
      <w:r>
        <w:rPr>
          <w:rFonts w:hint="default" w:ascii="仿宋_GB2312" w:hAnsi="宋体" w:eastAsia="仿宋_GB2312" w:cs="仿宋_GB2312"/>
          <w:kern w:val="2"/>
          <w:sz w:val="28"/>
          <w:szCs w:val="28"/>
          <w:lang w:val="en-US" w:eastAsia="zh-CN" w:bidi="ar"/>
        </w:rPr>
        <w:t>(5)甲方在收到乙方开据的发票后，10个工作日内付款到乙方指定账户（遇节假日顺延）。</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Times New Roman" w:eastAsia="仿宋_GB2312" w:cs="Times New Roman"/>
          <w:kern w:val="2"/>
          <w:sz w:val="28"/>
          <w:szCs w:val="28"/>
        </w:rPr>
      </w:pP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乙方指定收款账户如下：</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 w:hAnsi="仿宋" w:eastAsia="仿宋" w:cs="Times New Roman"/>
          <w:kern w:val="2"/>
          <w:sz w:val="28"/>
          <w:szCs w:val="28"/>
          <w:u w:val="single"/>
        </w:rPr>
      </w:pPr>
      <w:r>
        <w:rPr>
          <w:rFonts w:hint="default" w:ascii="仿宋_GB2312" w:hAnsi="宋体" w:eastAsia="仿宋_GB2312" w:cs="仿宋_GB2312"/>
          <w:kern w:val="2"/>
          <w:sz w:val="28"/>
          <w:szCs w:val="28"/>
          <w:lang w:val="en-US" w:eastAsia="zh-CN" w:bidi="ar"/>
        </w:rPr>
        <w:t>账户名称：</w:t>
      </w:r>
      <w:r>
        <w:rPr>
          <w:rFonts w:hint="default" w:ascii="仿宋" w:hAnsi="仿宋" w:eastAsia="仿宋" w:cs="仿宋"/>
          <w:kern w:val="2"/>
          <w:sz w:val="28"/>
          <w:szCs w:val="28"/>
          <w:u w:val="single"/>
          <w:lang w:val="en-US" w:eastAsia="zh-CN" w:bidi="ar"/>
        </w:rPr>
        <w:t>盐城金服科技有限公司</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u w:val="single"/>
        </w:rPr>
      </w:pPr>
      <w:r>
        <w:rPr>
          <w:rFonts w:hint="default" w:ascii="仿宋_GB2312" w:hAnsi="宋体" w:eastAsia="仿宋_GB2312" w:cs="仿宋_GB2312"/>
          <w:kern w:val="2"/>
          <w:sz w:val="28"/>
          <w:szCs w:val="28"/>
          <w:lang w:val="en-US" w:eastAsia="zh-CN" w:bidi="ar"/>
        </w:rPr>
        <w:t>税</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号：</w:t>
      </w:r>
      <w:r>
        <w:rPr>
          <w:rFonts w:hint="default" w:ascii="仿宋_GB2312" w:hAnsi="宋体" w:eastAsia="仿宋_GB2312" w:cs="宋体"/>
          <w:kern w:val="2"/>
          <w:sz w:val="28"/>
          <w:szCs w:val="28"/>
          <w:lang w:val="en-US" w:eastAsia="zh-CN" w:bidi="ar"/>
        </w:rPr>
        <w:t xml:space="preserve"> </w:t>
      </w:r>
      <w:r>
        <w:rPr>
          <w:rFonts w:hint="default" w:ascii="仿宋" w:hAnsi="仿宋" w:eastAsia="仿宋" w:cs="仿宋"/>
          <w:kern w:val="2"/>
          <w:sz w:val="28"/>
          <w:szCs w:val="28"/>
          <w:u w:val="single"/>
          <w:lang w:val="en-US" w:eastAsia="zh-CN" w:bidi="ar"/>
        </w:rPr>
        <w:t>91320903MADWEFDA1M</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u w:val="single"/>
        </w:rPr>
      </w:pPr>
      <w:r>
        <w:rPr>
          <w:rFonts w:hint="default" w:ascii="仿宋_GB2312" w:hAnsi="宋体" w:eastAsia="仿宋_GB2312" w:cs="仿宋_GB2312"/>
          <w:kern w:val="2"/>
          <w:sz w:val="28"/>
          <w:szCs w:val="28"/>
          <w:lang w:val="en-US" w:eastAsia="zh-CN" w:bidi="ar"/>
        </w:rPr>
        <w:t>账</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号1：</w:t>
      </w:r>
      <w:r>
        <w:rPr>
          <w:rFonts w:hint="default" w:ascii="仿宋_GB2312" w:hAnsi="宋体" w:eastAsia="仿宋_GB2312" w:cs="宋体"/>
          <w:kern w:val="2"/>
          <w:sz w:val="28"/>
          <w:szCs w:val="28"/>
          <w:u w:val="single"/>
          <w:lang w:val="en-US" w:eastAsia="zh-CN" w:bidi="ar"/>
        </w:rPr>
        <w:t xml:space="preserve"> </w:t>
      </w:r>
      <w:r>
        <w:rPr>
          <w:rFonts w:hint="default" w:ascii="仿宋_GB2312" w:hAnsi="宋体" w:eastAsia="仿宋_GB2312" w:cs="仿宋_GB2312"/>
          <w:kern w:val="2"/>
          <w:sz w:val="28"/>
          <w:szCs w:val="28"/>
          <w:u w:val="single"/>
          <w:lang w:val="en-US" w:eastAsia="zh-CN" w:bidi="ar"/>
        </w:rPr>
        <w:t>515901574310000</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 w:hAnsi="仿宋" w:eastAsia="仿宋" w:cs="Times New Roman"/>
          <w:kern w:val="2"/>
          <w:sz w:val="28"/>
          <w:szCs w:val="28"/>
          <w:u w:val="single"/>
        </w:rPr>
      </w:pPr>
      <w:r>
        <w:rPr>
          <w:rFonts w:hint="default" w:ascii="仿宋_GB2312" w:hAnsi="宋体" w:eastAsia="仿宋_GB2312" w:cs="仿宋_GB2312"/>
          <w:kern w:val="2"/>
          <w:sz w:val="28"/>
          <w:szCs w:val="28"/>
          <w:lang w:val="en-US" w:eastAsia="zh-CN" w:bidi="ar"/>
        </w:rPr>
        <w:t>开户银行1：</w:t>
      </w:r>
      <w:r>
        <w:rPr>
          <w:rFonts w:hint="default" w:ascii="仿宋_GB2312" w:hAnsi="宋体" w:eastAsia="仿宋_GB2312" w:cs="仿宋_GB2312"/>
          <w:kern w:val="2"/>
          <w:sz w:val="28"/>
          <w:szCs w:val="28"/>
          <w:u w:val="single"/>
          <w:lang w:val="en-US" w:eastAsia="zh-CN" w:bidi="ar"/>
        </w:rPr>
        <w:t>招商</w:t>
      </w:r>
      <w:r>
        <w:rPr>
          <w:rFonts w:hint="default" w:ascii="仿宋" w:hAnsi="仿宋" w:eastAsia="仿宋" w:cs="仿宋"/>
          <w:kern w:val="2"/>
          <w:sz w:val="28"/>
          <w:szCs w:val="28"/>
          <w:u w:val="single"/>
          <w:lang w:val="en-US" w:eastAsia="zh-CN" w:bidi="ar"/>
        </w:rPr>
        <w:t>银行股份有限公司盐城分行</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u w:val="single"/>
        </w:rPr>
      </w:pPr>
      <w:r>
        <w:rPr>
          <w:rFonts w:hint="default" w:ascii="仿宋_GB2312" w:hAnsi="宋体" w:eastAsia="仿宋_GB2312" w:cs="仿宋_GB2312"/>
          <w:kern w:val="2"/>
          <w:sz w:val="28"/>
          <w:szCs w:val="28"/>
          <w:lang w:val="en-US" w:eastAsia="zh-CN" w:bidi="ar"/>
        </w:rPr>
        <w:t>账</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号2：</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u w:val="single"/>
          <w:lang w:val="en-US" w:eastAsia="zh-CN" w:bidi="ar"/>
        </w:rPr>
        <w:t>459881360976</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宋体" w:eastAsia="仿宋_GB2312" w:cs="宋体"/>
          <w:kern w:val="2"/>
          <w:sz w:val="28"/>
          <w:szCs w:val="28"/>
          <w:u w:val="single"/>
        </w:rPr>
      </w:pPr>
      <w:r>
        <w:rPr>
          <w:rFonts w:hint="default" w:ascii="仿宋_GB2312" w:hAnsi="宋体" w:eastAsia="仿宋_GB2312" w:cs="仿宋_GB2312"/>
          <w:kern w:val="2"/>
          <w:sz w:val="28"/>
          <w:szCs w:val="28"/>
          <w:lang w:val="en-US" w:eastAsia="zh-CN" w:bidi="ar"/>
        </w:rPr>
        <w:t>开户银行2：</w:t>
      </w:r>
      <w:r>
        <w:rPr>
          <w:rFonts w:hint="default" w:ascii="仿宋_GB2312" w:hAnsi="宋体" w:eastAsia="仿宋_GB2312" w:cs="仿宋_GB2312"/>
          <w:kern w:val="2"/>
          <w:sz w:val="28"/>
          <w:szCs w:val="28"/>
          <w:u w:val="single"/>
          <w:lang w:val="en-US" w:eastAsia="zh-CN" w:bidi="ar"/>
        </w:rPr>
        <w:t>中国银行</w:t>
      </w:r>
      <w:r>
        <w:rPr>
          <w:rFonts w:hint="default" w:ascii="仿宋" w:hAnsi="仿宋" w:eastAsia="仿宋" w:cs="仿宋"/>
          <w:kern w:val="2"/>
          <w:sz w:val="28"/>
          <w:szCs w:val="28"/>
          <w:u w:val="single"/>
          <w:lang w:val="en-US" w:eastAsia="zh-CN" w:bidi="ar"/>
        </w:rPr>
        <w:t>股份有限公司</w:t>
      </w:r>
      <w:r>
        <w:rPr>
          <w:rFonts w:hint="default" w:ascii="仿宋_GB2312" w:hAnsi="宋体" w:eastAsia="仿宋_GB2312" w:cs="仿宋_GB2312"/>
          <w:kern w:val="2"/>
          <w:sz w:val="28"/>
          <w:szCs w:val="28"/>
          <w:u w:val="single"/>
          <w:lang w:val="en-US" w:eastAsia="zh-CN" w:bidi="ar"/>
        </w:rPr>
        <w:t>盐城分行</w:t>
      </w:r>
    </w:p>
    <w:p>
      <w:pPr>
        <w:pStyle w:val="2"/>
        <w:widowControl/>
        <w:numPr>
          <w:ilvl w:val="0"/>
          <w:numId w:val="3"/>
        </w:numPr>
        <w:autoSpaceDE w:val="0"/>
        <w:autoSpaceDN/>
        <w:spacing w:line="460" w:lineRule="exact"/>
        <w:ind w:left="0" w:right="0"/>
        <w:rPr>
          <w:rFonts w:hint="default" w:ascii="仿宋_GB2312" w:hAnsi="宋体" w:eastAsia="仿宋_GB2312" w:cs="宋体"/>
          <w:kern w:val="0"/>
          <w:sz w:val="28"/>
          <w:szCs w:val="28"/>
        </w:rPr>
      </w:pPr>
      <w:r>
        <w:rPr>
          <w:rFonts w:hint="default" w:ascii="仿宋_GB2312" w:hAnsi="宋体" w:eastAsia="仿宋_GB2312" w:cs="仿宋_GB2312"/>
          <w:kern w:val="0"/>
          <w:sz w:val="28"/>
          <w:szCs w:val="28"/>
        </w:rPr>
        <w:t>乙、丙双方约定，以丙方2024年度押运服务费总额为基数，每公历季度首月20日前，乙方先行预付当季80%费用购买丙方押运服务。6月30日及12月31日前，结算完成半年度/全年度实际押运业务费用。当年度合同中的业务范围及运营模式与2024年度发生变动时（包含但不限于清机加钞、上门收款等），按实际情况发生的费用调整结算。</w:t>
      </w:r>
    </w:p>
    <w:p>
      <w:pPr>
        <w:pStyle w:val="3"/>
        <w:widowControl/>
        <w:autoSpaceDE w:val="0"/>
        <w:autoSpaceDN/>
        <w:spacing w:line="460" w:lineRule="exact"/>
        <w:ind w:left="0" w:right="0" w:firstLine="560" w:firstLineChars="200"/>
        <w:rPr>
          <w:rFonts w:hint="default" w:ascii="仿宋_GB2312" w:eastAsia="仿宋_GB2312" w:cs="仿宋_GB2312"/>
          <w:kern w:val="2"/>
          <w:sz w:val="28"/>
          <w:szCs w:val="28"/>
        </w:rPr>
      </w:pPr>
      <w:r>
        <w:rPr>
          <w:rFonts w:hint="default" w:ascii="仿宋_GB2312" w:eastAsia="仿宋_GB2312" w:cs="仿宋_GB2312"/>
          <w:kern w:val="2"/>
          <w:sz w:val="28"/>
          <w:szCs w:val="28"/>
        </w:rPr>
        <w:t>丙方指定收款账户如下：</w:t>
      </w:r>
    </w:p>
    <w:p>
      <w:pPr>
        <w:pStyle w:val="3"/>
        <w:widowControl/>
        <w:autoSpaceDE w:val="0"/>
        <w:autoSpaceDN/>
        <w:spacing w:line="460" w:lineRule="exact"/>
        <w:ind w:left="0" w:right="0" w:firstLine="560" w:firstLineChars="200"/>
        <w:rPr>
          <w:rFonts w:hint="default" w:ascii="仿宋_GB2312" w:eastAsia="仿宋_GB2312" w:cs="仿宋_GB2312"/>
          <w:kern w:val="2"/>
          <w:sz w:val="28"/>
          <w:szCs w:val="28"/>
        </w:rPr>
      </w:pPr>
      <w:r>
        <w:rPr>
          <w:rFonts w:hint="default" w:ascii="仿宋_GB2312" w:eastAsia="仿宋_GB2312" w:cs="仿宋_GB2312"/>
          <w:kern w:val="2"/>
          <w:sz w:val="28"/>
          <w:szCs w:val="28"/>
        </w:rPr>
        <w:t>名      称：盐城市保安服务有限公司</w:t>
      </w:r>
    </w:p>
    <w:p>
      <w:pPr>
        <w:pStyle w:val="3"/>
        <w:widowControl/>
        <w:autoSpaceDE w:val="0"/>
        <w:autoSpaceDN/>
        <w:spacing w:line="460" w:lineRule="exact"/>
        <w:ind w:left="0" w:right="0" w:firstLine="560" w:firstLineChars="200"/>
        <w:rPr>
          <w:rFonts w:hint="default" w:ascii="仿宋_GB2312" w:eastAsia="仿宋_GB2312" w:cs="仿宋_GB2312"/>
          <w:kern w:val="2"/>
          <w:sz w:val="28"/>
          <w:szCs w:val="28"/>
        </w:rPr>
      </w:pPr>
      <w:r>
        <w:rPr>
          <w:rFonts w:hint="default" w:ascii="仿宋_GB2312" w:eastAsia="仿宋_GB2312" w:cs="仿宋_GB2312"/>
          <w:kern w:val="2"/>
          <w:sz w:val="28"/>
          <w:szCs w:val="28"/>
        </w:rPr>
        <w:t>税      号：91320900140131539E</w:t>
      </w:r>
    </w:p>
    <w:p>
      <w:pPr>
        <w:pStyle w:val="3"/>
        <w:widowControl/>
        <w:autoSpaceDE w:val="0"/>
        <w:autoSpaceDN/>
        <w:spacing w:line="460" w:lineRule="exact"/>
        <w:ind w:left="0" w:right="0" w:firstLine="560" w:firstLineChars="200"/>
        <w:rPr>
          <w:rFonts w:hint="default" w:ascii="仿宋_GB2312" w:eastAsia="仿宋_GB2312" w:cs="仿宋_GB2312"/>
          <w:kern w:val="2"/>
          <w:sz w:val="28"/>
          <w:szCs w:val="28"/>
        </w:rPr>
      </w:pPr>
      <w:r>
        <w:rPr>
          <w:rFonts w:hint="default" w:ascii="仿宋_GB2312" w:eastAsia="仿宋_GB2312" w:cs="仿宋_GB2312"/>
          <w:kern w:val="2"/>
          <w:sz w:val="28"/>
          <w:szCs w:val="28"/>
        </w:rPr>
        <w:t>单位地址：盐城市盐都区海阔路306号1幢101室</w:t>
      </w:r>
    </w:p>
    <w:p>
      <w:pPr>
        <w:pStyle w:val="3"/>
        <w:widowControl/>
        <w:autoSpaceDE w:val="0"/>
        <w:autoSpaceDN/>
        <w:spacing w:line="460" w:lineRule="exact"/>
        <w:ind w:left="0" w:right="0" w:firstLine="560" w:firstLineChars="200"/>
        <w:rPr>
          <w:rFonts w:hint="default" w:ascii="仿宋_GB2312" w:eastAsia="仿宋_GB2312" w:cs="仿宋_GB2312"/>
          <w:kern w:val="2"/>
          <w:sz w:val="28"/>
          <w:szCs w:val="28"/>
        </w:rPr>
      </w:pPr>
      <w:r>
        <w:rPr>
          <w:rFonts w:hint="default" w:ascii="仿宋_GB2312" w:eastAsia="仿宋_GB2312" w:cs="仿宋_GB2312"/>
          <w:kern w:val="2"/>
          <w:sz w:val="28"/>
          <w:szCs w:val="28"/>
        </w:rPr>
        <w:t>开户行名称：盐城市工商银行营业部</w:t>
      </w:r>
    </w:p>
    <w:p>
      <w:pPr>
        <w:pStyle w:val="3"/>
        <w:widowControl/>
        <w:autoSpaceDE w:val="0"/>
        <w:autoSpaceDN/>
        <w:spacing w:line="460" w:lineRule="exact"/>
        <w:ind w:left="0" w:right="0" w:firstLine="560" w:firstLineChars="200"/>
        <w:rPr>
          <w:rFonts w:hint="default" w:ascii="仿宋_GB2312" w:eastAsia="仿宋_GB2312" w:cs="仿宋_GB2312"/>
          <w:kern w:val="2"/>
          <w:sz w:val="28"/>
          <w:szCs w:val="28"/>
        </w:rPr>
      </w:pPr>
      <w:r>
        <w:rPr>
          <w:rFonts w:hint="default" w:ascii="仿宋_GB2312" w:eastAsia="仿宋_GB2312" w:cs="仿宋_GB2312"/>
          <w:kern w:val="2"/>
          <w:sz w:val="28"/>
          <w:szCs w:val="28"/>
        </w:rPr>
        <w:t>账      号：1109660119200029376</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第八条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不可抗力的处理</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Times New Roman" w:eastAsia="仿宋_GB2312" w:cs="Times New Roman"/>
          <w:kern w:val="2"/>
          <w:sz w:val="28"/>
          <w:szCs w:val="28"/>
        </w:rPr>
      </w:pP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因战争、自然灾害、罢工、政府行为等不可抗力导致甲乙丙三方或一方不能履行或不能完全履行协议时，甲乙丙三方相互不承担违约责任。但遇不可抗力的一方或三方应于不可抗力发生后15日内将情况告知对方。在不可抗力影响消除后的合理时间内，一方或三方应当继续履行合同。</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第九条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保密约定</w:t>
      </w:r>
    </w:p>
    <w:p>
      <w:pPr>
        <w:pStyle w:val="2"/>
        <w:widowControl/>
        <w:autoSpaceDE w:val="0"/>
        <w:autoSpaceDN/>
        <w:spacing w:line="460" w:lineRule="exact"/>
        <w:ind w:left="0" w:right="0" w:firstLine="359"/>
        <w:rPr>
          <w:rFonts w:hint="default" w:ascii="仿宋_GB2312" w:hAnsi="宋体" w:eastAsia="仿宋_GB2312" w:cs="宋体"/>
          <w:kern w:val="2"/>
          <w:sz w:val="28"/>
          <w:szCs w:val="28"/>
        </w:rPr>
      </w:pPr>
      <w:r>
        <w:rPr>
          <w:rFonts w:hint="default" w:ascii="Times New Roman" w:hAnsi="Times New Roman" w:eastAsia="仿宋" w:cs="宋体"/>
          <w:kern w:val="0"/>
          <w:sz w:val="24"/>
          <w:szCs w:val="24"/>
        </w:rPr>
        <w:t xml:space="preserve"> </w:t>
      </w:r>
      <w:r>
        <w:rPr>
          <w:rFonts w:hint="default" w:ascii="仿宋_GB2312" w:hAnsi="宋体" w:eastAsia="仿宋_GB2312" w:cs="仿宋_GB2312"/>
          <w:kern w:val="2"/>
          <w:sz w:val="28"/>
          <w:szCs w:val="28"/>
        </w:rPr>
        <w:t>合同当事方对协议内容应采取必要的保密措施，未经甲、乙、丙三方同意，不得将本协议的内容泄漏给任何其他方，因任何一方泄密而造成的损失，由过错方承担全部责任。</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第十条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违约责任</w:t>
      </w:r>
    </w:p>
    <w:p>
      <w:pPr>
        <w:pStyle w:val="2"/>
        <w:keepNext w:val="0"/>
        <w:keepLines w:val="0"/>
        <w:widowControl w:val="0"/>
        <w:suppressLineNumbers w:val="0"/>
        <w:autoSpaceDE w:val="0"/>
        <w:autoSpaceDN/>
        <w:spacing w:line="460" w:lineRule="exact"/>
        <w:ind w:left="0" w:right="0" w:firstLine="560" w:firstLineChars="200"/>
        <w:rPr>
          <w:rFonts w:hint="default" w:ascii="仿宋_GB2312" w:hAnsi="Times New Roman" w:eastAsia="仿宋_GB2312" w:cs="Times New Roman"/>
          <w:kern w:val="0"/>
          <w:sz w:val="28"/>
          <w:szCs w:val="28"/>
        </w:rPr>
      </w:pPr>
      <w:r>
        <w:rPr>
          <w:rFonts w:hint="default" w:ascii="仿宋_GB2312" w:hAnsi="Times New Roman" w:eastAsia="仿宋_GB2312" w:cs="仿宋_GB2312"/>
          <w:kern w:val="0"/>
          <w:sz w:val="28"/>
          <w:szCs w:val="28"/>
        </w:rPr>
        <w:t>一、甲、乙、丙各方应遵守并履行本协议，违约方应承担由此给其它任何一方造成的一切经济损失。</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二、在协议履行期间，如甲、乙、丙各方出现争议应协商解决。协商不成，甲、乙、丙各方均有权向各方所在地人民法院提起诉讼解决。</w:t>
      </w:r>
    </w:p>
    <w:p>
      <w:pPr>
        <w:keepNext w:val="0"/>
        <w:keepLines w:val="0"/>
        <w:widowControl w:val="0"/>
        <w:suppressLineNumbers w:val="0"/>
        <w:autoSpaceDE w:val="0"/>
        <w:autoSpaceDN/>
        <w:spacing w:before="120" w:beforeAutospacing="0" w:after="120" w:afterAutospacing="0" w:line="460" w:lineRule="exact"/>
        <w:ind w:left="0" w:right="0" w:firstLine="560" w:firstLineChars="200"/>
        <w:jc w:val="both"/>
        <w:rPr>
          <w:rFonts w:hint="default" w:ascii="Times New Roman" w:hAnsi="Times New Roman" w:eastAsia="仿宋" w:cs="Times New Roman"/>
          <w:kern w:val="2"/>
          <w:sz w:val="24"/>
          <w:szCs w:val="24"/>
        </w:rPr>
      </w:pPr>
      <w:r>
        <w:rPr>
          <w:rFonts w:hint="default" w:ascii="仿宋_GB2312" w:hAnsi="宋体" w:eastAsia="仿宋_GB2312" w:cs="仿宋_GB2312"/>
          <w:kern w:val="2"/>
          <w:sz w:val="28"/>
          <w:szCs w:val="28"/>
          <w:lang w:val="en-US" w:eastAsia="zh-CN" w:bidi="ar"/>
        </w:rPr>
        <w:t>三、本协议所涉的损失包括但不限于实际损失以及因挽回实际损失而支付的律师费、诉讼费、财产保全费、评估费、鉴定费、公证费、交通费、食宿费等。</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第十一条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协议期限</w:t>
      </w:r>
    </w:p>
    <w:p>
      <w:pPr>
        <w:pStyle w:val="2"/>
        <w:keepNext w:val="0"/>
        <w:keepLines w:val="0"/>
        <w:widowControl w:val="0"/>
        <w:suppressLineNumbers w:val="0"/>
        <w:autoSpaceDE w:val="0"/>
        <w:autoSpaceDN/>
        <w:spacing w:line="460" w:lineRule="exact"/>
        <w:ind w:left="0" w:right="0" w:firstLine="560" w:firstLineChars="200"/>
        <w:rPr>
          <w:rFonts w:hint="default" w:ascii="仿宋_GB2312" w:hAnsi="Times New Roman" w:eastAsia="仿宋_GB2312" w:cs="宋体"/>
          <w:kern w:val="0"/>
          <w:sz w:val="28"/>
          <w:szCs w:val="28"/>
        </w:rPr>
      </w:pPr>
      <w:r>
        <w:rPr>
          <w:rFonts w:hint="default" w:ascii="仿宋_GB2312" w:hAnsi="Times New Roman" w:eastAsia="仿宋_GB2312" w:cs="仿宋_GB2312"/>
          <w:kern w:val="0"/>
          <w:sz w:val="28"/>
          <w:szCs w:val="28"/>
        </w:rPr>
        <w:t>一、本协议自甲、乙、丙三方法定代表人或授权代理人签字（盖章）之日起生效。服务期限：2026年5月31日至2027年3月30日。</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第十二条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协议补充与变更</w:t>
      </w:r>
    </w:p>
    <w:p>
      <w:pPr>
        <w:keepNext w:val="0"/>
        <w:keepLines w:val="0"/>
        <w:widowControl w:val="0"/>
        <w:suppressLineNumbers w:val="0"/>
        <w:autoSpaceDE w:val="0"/>
        <w:autoSpaceDN/>
        <w:spacing w:before="120" w:beforeAutospacing="0" w:after="120" w:afterAutospacing="0" w:line="460" w:lineRule="exact"/>
        <w:ind w:left="0" w:right="0" w:firstLine="478" w:firstLineChars="171"/>
        <w:jc w:val="both"/>
        <w:rPr>
          <w:rFonts w:hint="default" w:ascii="仿宋_GB2312" w:hAnsi="Times New Roman" w:eastAsia="仿宋_GB2312" w:cs="Times New Roman"/>
          <w:kern w:val="2"/>
          <w:sz w:val="28"/>
          <w:szCs w:val="28"/>
        </w:rPr>
      </w:pPr>
      <w:r>
        <w:rPr>
          <w:rFonts w:hint="default" w:ascii="仿宋_GB2312" w:hAnsi="宋体" w:eastAsia="仿宋_GB2312" w:cs="仿宋_GB2312"/>
          <w:kern w:val="2"/>
          <w:sz w:val="28"/>
          <w:szCs w:val="28"/>
          <w:lang w:val="en-US" w:eastAsia="zh-CN" w:bidi="ar"/>
        </w:rPr>
        <w:t>本协议在执行过程中，因合作项目增加（变更）可签订补充协议，补充协议作为本协议附件与本协议具有同等法律效力。</w:t>
      </w:r>
    </w:p>
    <w:p>
      <w:pPr>
        <w:pStyle w:val="5"/>
        <w:widowControl/>
        <w:autoSpaceDE w:val="0"/>
        <w:autoSpaceDN/>
        <w:spacing w:line="460" w:lineRule="exact"/>
        <w:rPr>
          <w:rFonts w:hint="default" w:ascii="Arial" w:hAnsi="Arial" w:eastAsia="黑体" w:cs="Times New Roman"/>
          <w:b/>
          <w:bCs w:val="0"/>
          <w:kern w:val="2"/>
          <w:sz w:val="28"/>
          <w:szCs w:val="28"/>
        </w:rPr>
      </w:pPr>
      <w:r>
        <w:rPr>
          <w:rFonts w:hint="default" w:ascii="黑体" w:hAnsi="宋体" w:eastAsia="黑体" w:cs="黑体"/>
          <w:b/>
          <w:bCs w:val="0"/>
          <w:kern w:val="2"/>
          <w:sz w:val="28"/>
          <w:szCs w:val="28"/>
        </w:rPr>
        <w:t>第十三条</w:t>
      </w:r>
      <w:r>
        <w:rPr>
          <w:rFonts w:hint="default" w:ascii="Arial" w:hAnsi="Arial" w:eastAsia="黑体" w:cs="Times New Roman"/>
          <w:b/>
          <w:bCs w:val="0"/>
          <w:kern w:val="2"/>
          <w:sz w:val="28"/>
          <w:szCs w:val="28"/>
        </w:rPr>
        <w:t xml:space="preserve"> </w:t>
      </w:r>
      <w:r>
        <w:rPr>
          <w:rFonts w:hint="default" w:ascii="黑体" w:hAnsi="宋体" w:eastAsia="黑体" w:cs="黑体"/>
          <w:b/>
          <w:bCs w:val="0"/>
          <w:kern w:val="2"/>
          <w:sz w:val="28"/>
          <w:szCs w:val="28"/>
        </w:rPr>
        <w:t>合同数量</w:t>
      </w:r>
    </w:p>
    <w:p>
      <w:pPr>
        <w:keepNext w:val="0"/>
        <w:keepLines w:val="0"/>
        <w:widowControl w:val="0"/>
        <w:suppressLineNumbers w:val="0"/>
        <w:autoSpaceDE w:val="0"/>
        <w:autoSpaceDN/>
        <w:spacing w:before="120" w:beforeAutospacing="0" w:after="120" w:afterAutospacing="0" w:line="460" w:lineRule="exact"/>
        <w:ind w:left="0" w:right="0" w:firstLine="560"/>
        <w:jc w:val="both"/>
        <w:rPr>
          <w:rFonts w:hint="default" w:ascii="仿宋_GB2312" w:hAnsi="宋体" w:eastAsia="仿宋_GB2312" w:cs="宋体"/>
          <w:kern w:val="2"/>
          <w:sz w:val="15"/>
          <w:szCs w:val="15"/>
        </w:rPr>
      </w:pPr>
      <w:r>
        <w:rPr>
          <w:rFonts w:hint="default" w:ascii="仿宋_GB2312" w:hAnsi="宋体" w:eastAsia="仿宋_GB2312" w:cs="仿宋_GB2312"/>
          <w:kern w:val="2"/>
          <w:sz w:val="28"/>
          <w:szCs w:val="28"/>
          <w:lang w:val="en-US" w:eastAsia="zh-CN" w:bidi="ar"/>
        </w:rPr>
        <w:t>本协议一式六份，甲、乙、丙三方各执两份，具有同等法律效力。</w:t>
      </w:r>
    </w:p>
    <w:p>
      <w:pPr>
        <w:keepNext w:val="0"/>
        <w:keepLines w:val="0"/>
        <w:widowControl w:val="0"/>
        <w:suppressLineNumbers w:val="0"/>
        <w:autoSpaceDE w:val="0"/>
        <w:autoSpaceDN/>
        <w:spacing w:before="120" w:beforeAutospacing="0" w:after="120" w:afterAutospacing="0" w:line="400" w:lineRule="exact"/>
        <w:ind w:left="0" w:right="0"/>
        <w:jc w:val="both"/>
        <w:rPr>
          <w:rFonts w:hint="default" w:ascii="仿宋_GB2312" w:hAnsi="宋体" w:eastAsia="仿宋_GB2312" w:cs="宋体"/>
          <w:kern w:val="2"/>
          <w:sz w:val="28"/>
          <w:szCs w:val="28"/>
        </w:rPr>
      </w:pPr>
      <w:r>
        <w:rPr>
          <w:rFonts w:hint="default" w:ascii="仿宋_GB2312" w:hAnsi="宋体" w:eastAsia="仿宋_GB2312" w:cs="宋体"/>
          <w:kern w:val="2"/>
          <w:sz w:val="28"/>
          <w:szCs w:val="28"/>
          <w:lang w:val="en-US" w:eastAsia="zh-CN" w:bidi="ar"/>
        </w:rPr>
        <w:t xml:space="preserve"> </w:t>
      </w:r>
    </w:p>
    <w:p>
      <w:pPr>
        <w:keepNext w:val="0"/>
        <w:keepLines w:val="0"/>
        <w:widowControl w:val="0"/>
        <w:suppressLineNumbers w:val="0"/>
        <w:autoSpaceDE w:val="0"/>
        <w:autoSpaceDN/>
        <w:spacing w:before="120" w:beforeAutospacing="0" w:after="120" w:afterAutospacing="0" w:line="40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甲方：</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乙方：</w:t>
      </w:r>
    </w:p>
    <w:p>
      <w:pPr>
        <w:keepNext w:val="0"/>
        <w:keepLines w:val="0"/>
        <w:widowControl w:val="0"/>
        <w:suppressLineNumbers w:val="0"/>
        <w:autoSpaceDE w:val="0"/>
        <w:autoSpaceDN/>
        <w:spacing w:before="120" w:beforeAutospacing="0" w:after="120" w:afterAutospacing="0" w:line="400" w:lineRule="exact"/>
        <w:ind w:left="0" w:right="0"/>
        <w:jc w:val="both"/>
        <w:rPr>
          <w:rFonts w:hint="default" w:ascii="仿宋_GB2312" w:hAnsi="Times New Roman" w:eastAsia="仿宋_GB2312" w:cs="Times New Roman"/>
          <w:kern w:val="2"/>
          <w:sz w:val="28"/>
          <w:szCs w:val="28"/>
        </w:rPr>
      </w:pPr>
      <w:r>
        <w:rPr>
          <w:rFonts w:hint="default" w:ascii="仿宋_GB2312" w:hAnsi="宋体" w:eastAsia="仿宋_GB2312" w:cs="仿宋_GB2312"/>
          <w:kern w:val="2"/>
          <w:sz w:val="28"/>
          <w:szCs w:val="28"/>
          <w:lang w:val="en-US" w:eastAsia="zh-CN" w:bidi="ar"/>
        </w:rPr>
        <w:t>法定代表或授权代理人：</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法定代表或授权代理人：</w:t>
      </w:r>
      <w:r>
        <w:rPr>
          <w:rFonts w:hint="default" w:ascii="仿宋_GB2312" w:hAnsi="宋体" w:eastAsia="仿宋_GB2312" w:cs="宋体"/>
          <w:kern w:val="2"/>
          <w:sz w:val="28"/>
          <w:szCs w:val="28"/>
          <w:lang w:val="en-US" w:eastAsia="zh-CN" w:bidi="ar"/>
        </w:rPr>
        <w:t xml:space="preserve">            </w:t>
      </w:r>
    </w:p>
    <w:p>
      <w:pPr>
        <w:keepNext w:val="0"/>
        <w:keepLines w:val="0"/>
        <w:widowControl w:val="0"/>
        <w:suppressLineNumbers w:val="0"/>
        <w:autoSpaceDE w:val="0"/>
        <w:autoSpaceDN/>
        <w:spacing w:before="120" w:beforeAutospacing="0" w:after="120" w:afterAutospacing="0" w:line="400" w:lineRule="exact"/>
        <w:ind w:left="0" w:right="0" w:firstLine="1120" w:firstLineChars="400"/>
        <w:jc w:val="both"/>
        <w:rPr>
          <w:rFonts w:hint="default" w:ascii="仿宋_GB2312" w:hAnsi="Times New Roman" w:eastAsia="仿宋_GB2312" w:cs="Times New Roman"/>
          <w:kern w:val="2"/>
          <w:sz w:val="28"/>
          <w:szCs w:val="28"/>
        </w:rPr>
      </w:pPr>
      <w:r>
        <w:rPr>
          <w:rFonts w:hint="default" w:ascii="仿宋_GB2312" w:hAnsi="宋体" w:eastAsia="仿宋_GB2312" w:cs="仿宋_GB2312"/>
          <w:kern w:val="2"/>
          <w:sz w:val="28"/>
          <w:szCs w:val="28"/>
          <w:lang w:val="en-US" w:eastAsia="zh-CN" w:bidi="ar"/>
        </w:rPr>
        <w:t xml:space="preserve">(或授权代表)                  </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 xml:space="preserve">(或授权代表)  </w:t>
      </w:r>
    </w:p>
    <w:p>
      <w:pPr>
        <w:keepNext w:val="0"/>
        <w:keepLines w:val="0"/>
        <w:widowControl w:val="0"/>
        <w:suppressLineNumbers w:val="0"/>
        <w:autoSpaceDE w:val="0"/>
        <w:autoSpaceDN/>
        <w:spacing w:before="120" w:beforeAutospacing="0" w:after="120" w:afterAutospacing="0" w:line="400" w:lineRule="exact"/>
        <w:ind w:left="0" w:right="0"/>
        <w:jc w:val="both"/>
        <w:rPr>
          <w:rFonts w:hint="default" w:ascii="仿宋_GB2312" w:hAnsi="Times New Roman" w:eastAsia="仿宋_GB2312" w:cs="Times New Roman"/>
          <w:kern w:val="2"/>
          <w:sz w:val="22"/>
          <w:szCs w:val="22"/>
        </w:rPr>
      </w:pPr>
      <w:r>
        <w:rPr>
          <w:rFonts w:hint="default" w:ascii="仿宋_GB2312" w:hAnsi="宋体" w:eastAsia="仿宋_GB2312" w:cs="仿宋_GB2312"/>
          <w:kern w:val="2"/>
          <w:sz w:val="28"/>
          <w:szCs w:val="28"/>
          <w:lang w:val="en-US" w:eastAsia="zh-CN" w:bidi="ar"/>
        </w:rPr>
        <w:t>日期：</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年</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月</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日</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日期：</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年</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月</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日</w:t>
      </w:r>
      <w:r>
        <w:rPr>
          <w:rFonts w:hint="default" w:ascii="仿宋_GB2312" w:hAnsi="宋体" w:eastAsia="仿宋_GB2312" w:cs="宋体"/>
          <w:kern w:val="2"/>
          <w:sz w:val="28"/>
          <w:szCs w:val="28"/>
          <w:lang w:val="en-US" w:eastAsia="zh-CN" w:bidi="ar"/>
        </w:rPr>
        <w:t xml:space="preserve"> </w:t>
      </w:r>
    </w:p>
    <w:p>
      <w:pPr>
        <w:keepNext w:val="0"/>
        <w:keepLines w:val="0"/>
        <w:widowControl w:val="0"/>
        <w:suppressLineNumbers w:val="0"/>
        <w:autoSpaceDE w:val="0"/>
        <w:autoSpaceDN/>
        <w:spacing w:before="120" w:beforeAutospacing="0" w:after="120" w:afterAutospacing="0" w:line="400" w:lineRule="exact"/>
        <w:ind w:left="0" w:right="0"/>
        <w:jc w:val="both"/>
        <w:rPr>
          <w:rFonts w:hint="default" w:ascii="仿宋_GB2312" w:hAnsi="宋体" w:eastAsia="仿宋_GB2312" w:cs="宋体"/>
          <w:kern w:val="2"/>
          <w:sz w:val="28"/>
          <w:szCs w:val="28"/>
        </w:rPr>
      </w:pPr>
      <w:r>
        <w:rPr>
          <w:rFonts w:hint="default" w:ascii="仿宋_GB2312" w:hAnsi="宋体" w:eastAsia="仿宋_GB2312" w:cs="宋体"/>
          <w:kern w:val="2"/>
          <w:sz w:val="28"/>
          <w:szCs w:val="28"/>
          <w:lang w:val="en-US" w:eastAsia="zh-CN" w:bidi="ar"/>
        </w:rPr>
        <w:t xml:space="preserve"> </w:t>
      </w:r>
    </w:p>
    <w:p>
      <w:pPr>
        <w:keepNext w:val="0"/>
        <w:keepLines w:val="0"/>
        <w:widowControl w:val="0"/>
        <w:suppressLineNumbers w:val="0"/>
        <w:autoSpaceDE w:val="0"/>
        <w:autoSpaceDN/>
        <w:spacing w:before="120" w:beforeAutospacing="0" w:after="120" w:afterAutospacing="0" w:line="400" w:lineRule="exact"/>
        <w:ind w:left="0" w:right="0"/>
        <w:jc w:val="both"/>
        <w:rPr>
          <w:rFonts w:hint="default" w:ascii="仿宋_GB2312" w:hAnsi="Times New Roman" w:eastAsia="仿宋_GB2312" w:cs="Times New Roman"/>
          <w:kern w:val="2"/>
          <w:sz w:val="28"/>
          <w:szCs w:val="28"/>
        </w:rPr>
      </w:pPr>
      <w:r>
        <w:rPr>
          <w:rFonts w:hint="default" w:ascii="仿宋_GB2312" w:hAnsi="宋体" w:eastAsia="仿宋_GB2312" w:cs="仿宋_GB2312"/>
          <w:kern w:val="2"/>
          <w:sz w:val="28"/>
          <w:szCs w:val="28"/>
          <w:lang w:val="en-US" w:eastAsia="zh-CN" w:bidi="ar"/>
        </w:rPr>
        <w:t>丙方：</w:t>
      </w:r>
      <w:r>
        <w:rPr>
          <w:rFonts w:hint="default" w:ascii="仿宋_GB2312" w:hAnsi="宋体" w:eastAsia="仿宋_GB2312" w:cs="宋体"/>
          <w:kern w:val="2"/>
          <w:sz w:val="28"/>
          <w:szCs w:val="28"/>
          <w:lang w:val="en-US" w:eastAsia="zh-CN" w:bidi="ar"/>
        </w:rPr>
        <w:t xml:space="preserve">          </w:t>
      </w:r>
    </w:p>
    <w:p>
      <w:pPr>
        <w:keepNext w:val="0"/>
        <w:keepLines w:val="0"/>
        <w:widowControl w:val="0"/>
        <w:suppressLineNumbers w:val="0"/>
        <w:autoSpaceDE w:val="0"/>
        <w:autoSpaceDN/>
        <w:spacing w:before="120" w:beforeAutospacing="0" w:after="120" w:afterAutospacing="0" w:line="400" w:lineRule="exact"/>
        <w:ind w:left="0" w:right="0"/>
        <w:jc w:val="both"/>
        <w:rPr>
          <w:rFonts w:hint="default" w:ascii="仿宋_GB2312" w:hAnsi="Times New Roman" w:eastAsia="仿宋_GB2312" w:cs="Times New Roman"/>
          <w:kern w:val="2"/>
          <w:sz w:val="28"/>
          <w:szCs w:val="28"/>
        </w:rPr>
      </w:pPr>
      <w:r>
        <w:rPr>
          <w:rFonts w:hint="default" w:ascii="仿宋_GB2312" w:hAnsi="宋体" w:eastAsia="仿宋_GB2312" w:cs="仿宋_GB2312"/>
          <w:kern w:val="2"/>
          <w:sz w:val="28"/>
          <w:szCs w:val="28"/>
          <w:lang w:val="en-US" w:eastAsia="zh-CN" w:bidi="ar"/>
        </w:rPr>
        <w:t>法定代表或授权代理人：</w:t>
      </w:r>
      <w:r>
        <w:rPr>
          <w:rFonts w:hint="default" w:ascii="仿宋_GB2312" w:hAnsi="宋体" w:eastAsia="仿宋_GB2312" w:cs="宋体"/>
          <w:kern w:val="2"/>
          <w:sz w:val="28"/>
          <w:szCs w:val="28"/>
          <w:lang w:val="en-US" w:eastAsia="zh-CN" w:bidi="ar"/>
        </w:rPr>
        <w:t xml:space="preserve">               </w:t>
      </w:r>
    </w:p>
    <w:p>
      <w:pPr>
        <w:keepNext w:val="0"/>
        <w:keepLines w:val="0"/>
        <w:widowControl w:val="0"/>
        <w:suppressLineNumbers w:val="0"/>
        <w:autoSpaceDE w:val="0"/>
        <w:autoSpaceDN/>
        <w:spacing w:before="120" w:beforeAutospacing="0" w:after="120" w:afterAutospacing="0" w:line="400" w:lineRule="exact"/>
        <w:ind w:left="0" w:right="0" w:firstLine="1038" w:firstLineChars="371"/>
        <w:jc w:val="both"/>
        <w:rPr>
          <w:rFonts w:hint="default" w:ascii="仿宋_GB2312" w:hAnsi="Times New Roman" w:eastAsia="仿宋_GB2312" w:cs="Times New Roman"/>
          <w:kern w:val="2"/>
          <w:sz w:val="28"/>
          <w:szCs w:val="28"/>
        </w:rPr>
      </w:pPr>
      <w:r>
        <w:rPr>
          <w:rFonts w:hint="default" w:ascii="仿宋_GB2312" w:hAnsi="宋体" w:eastAsia="仿宋_GB2312" w:cs="仿宋_GB2312"/>
          <w:kern w:val="2"/>
          <w:sz w:val="28"/>
          <w:szCs w:val="28"/>
          <w:lang w:val="en-US" w:eastAsia="zh-CN" w:bidi="ar"/>
        </w:rPr>
        <w:t xml:space="preserve">(或授权代表)                  </w:t>
      </w:r>
    </w:p>
    <w:p>
      <w:pPr>
        <w:keepNext w:val="0"/>
        <w:keepLines w:val="0"/>
        <w:widowControl w:val="0"/>
        <w:suppressLineNumbers w:val="0"/>
        <w:autoSpaceDE w:val="0"/>
        <w:autoSpaceDN/>
        <w:spacing w:before="120" w:beforeAutospacing="0" w:after="120" w:afterAutospacing="0" w:line="400" w:lineRule="exact"/>
        <w:ind w:left="0" w:right="0"/>
        <w:jc w:val="both"/>
        <w:rPr>
          <w:rFonts w:hint="default" w:ascii="仿宋_GB2312" w:hAnsi="宋体" w:eastAsia="仿宋_GB2312" w:cs="宋体"/>
          <w:kern w:val="2"/>
          <w:sz w:val="28"/>
          <w:szCs w:val="28"/>
        </w:rPr>
      </w:pPr>
      <w:r>
        <w:rPr>
          <w:rFonts w:hint="default" w:ascii="仿宋_GB2312" w:hAnsi="宋体" w:eastAsia="仿宋_GB2312" w:cs="仿宋_GB2312"/>
          <w:kern w:val="2"/>
          <w:sz w:val="28"/>
          <w:szCs w:val="28"/>
          <w:lang w:val="en-US" w:eastAsia="zh-CN" w:bidi="ar"/>
        </w:rPr>
        <w:t>日期：</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年</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月</w:t>
      </w:r>
      <w:r>
        <w:rPr>
          <w:rFonts w:hint="default" w:ascii="仿宋_GB2312" w:hAnsi="宋体" w:eastAsia="仿宋_GB2312" w:cs="宋体"/>
          <w:kern w:val="2"/>
          <w:sz w:val="28"/>
          <w:szCs w:val="28"/>
          <w:lang w:val="en-US" w:eastAsia="zh-CN" w:bidi="ar"/>
        </w:rPr>
        <w:t xml:space="preserve">   </w:t>
      </w:r>
      <w:r>
        <w:rPr>
          <w:rFonts w:hint="default" w:ascii="仿宋_GB2312" w:hAnsi="宋体" w:eastAsia="仿宋_GB2312" w:cs="仿宋_GB2312"/>
          <w:kern w:val="2"/>
          <w:sz w:val="28"/>
          <w:szCs w:val="28"/>
          <w:lang w:val="en-US" w:eastAsia="zh-CN" w:bidi="ar"/>
        </w:rPr>
        <w:t>日</w:t>
      </w:r>
      <w:r>
        <w:rPr>
          <w:rFonts w:hint="default" w:ascii="仿宋_GB2312" w:hAnsi="宋体" w:eastAsia="仿宋_GB2312" w:cs="宋体"/>
          <w:kern w:val="2"/>
          <w:sz w:val="28"/>
          <w:szCs w:val="28"/>
          <w:lang w:val="en-US" w:eastAsia="zh-CN" w:bidi="ar"/>
        </w:rPr>
        <w:t xml:space="preserve"> </w:t>
      </w:r>
    </w:p>
    <w:p>
      <w:pPr>
        <w:pStyle w:val="2"/>
        <w:widowControl/>
        <w:ind w:left="0" w:leftChars="0" w:right="0" w:firstLine="0" w:firstLineChars="0"/>
        <w:rPr>
          <w:rFonts w:hint="default" w:ascii="Times New Roman" w:hAnsi="Times New Roman" w:eastAsia="仿宋" w:cs="Times New Roman"/>
          <w:kern w:val="0"/>
          <w:sz w:val="24"/>
          <w:szCs w:val="24"/>
        </w:rPr>
      </w:pPr>
    </w:p>
    <w:p>
      <w:pPr>
        <w:pStyle w:val="4"/>
        <w:rPr>
          <w:rFonts w:hint="eastAsia"/>
        </w:rPr>
      </w:pPr>
    </w:p>
    <w:p>
      <w:pPr>
        <w:keepNext w:val="0"/>
        <w:keepLines w:val="0"/>
        <w:pageBreakBefore w:val="0"/>
        <w:widowControl w:val="0"/>
        <w:tabs>
          <w:tab w:val="left" w:pos="3060"/>
        </w:tabs>
        <w:kinsoku/>
        <w:wordWrap/>
        <w:overflowPunct/>
        <w:topLinePunct w:val="0"/>
        <w:autoSpaceDE/>
        <w:autoSpaceDN/>
        <w:bidi w:val="0"/>
        <w:adjustRightInd/>
        <w:snapToGrid/>
        <w:spacing w:line="120" w:lineRule="auto"/>
        <w:textAlignment w:val="auto"/>
        <w:outlineLvl w:val="1"/>
        <w:rPr>
          <w:rFonts w:hint="eastAsia" w:ascii="黑体" w:hAnsi="黑体" w:eastAsia="黑体" w:cs="Times New Roman"/>
          <w:sz w:val="32"/>
          <w:szCs w:val="32"/>
          <w:highlight w:val="none"/>
          <w:lang w:val="en-US" w:eastAsia="zh-CN"/>
        </w:rPr>
      </w:pPr>
    </w:p>
    <w:p>
      <w:pPr>
        <w:ind w:firstLine="640" w:firstLineChars="200"/>
        <w:contextualSpacing/>
        <w:rPr>
          <w:rFonts w:hint="eastAsia" w:ascii="仿宋" w:hAnsi="仿宋" w:eastAsia="仿宋"/>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altName w:val="汉仪书宋二KW"/>
    <w:panose1 w:val="02010600030101010101"/>
    <w:charset w:val="34"/>
    <w:family w:val="auto"/>
    <w:pitch w:val="default"/>
    <w:sig w:usb0="00000000" w:usb1="00000000" w:usb2="00000006" w:usb3="00000000" w:csb0="00040001"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仿宋">
    <w:altName w:val="汉仪仿宋KW"/>
    <w:panose1 w:val="02010609060101010101"/>
    <w:charset w:val="86"/>
    <w:family w:val="modern"/>
    <w:pitch w:val="default"/>
    <w:sig w:usb0="00000000" w:usb1="00000000" w:usb2="00000016" w:usb3="00000000" w:csb0="00040001" w:csb1="00000000"/>
  </w:font>
  <w:font w:name="方正小标宋简体">
    <w:altName w:val="汉仪书宋二KW"/>
    <w:panose1 w:val="02000000000000000000"/>
    <w:charset w:val="86"/>
    <w:family w:val="script"/>
    <w:pitch w:val="default"/>
    <w:sig w:usb0="00000000" w:usb1="00000000" w:usb2="00000012" w:usb3="00000000" w:csb0="00040001" w:csb1="00000000"/>
  </w:font>
  <w:font w:name="仿宋_GB2312">
    <w:altName w:val="汉仪仿宋KW"/>
    <w:panose1 w:val="02010609030101010101"/>
    <w:charset w:val="86"/>
    <w:family w:val="auto"/>
    <w:pitch w:val="default"/>
    <w:sig w:usb0="00000000" w:usb1="00000000" w:usb2="00000000" w:usb3="00000000" w:csb0="00040000" w:csb1="00000000"/>
  </w:font>
  <w:font w:name="楷体_GB2312">
    <w:altName w:val="汉仪楷体KW"/>
    <w:panose1 w:val="02010609030101010101"/>
    <w:charset w:val="86"/>
    <w:family w:val="modern"/>
    <w:pitch w:val="default"/>
    <w:sig w:usb0="00000000" w:usb1="00000000" w:usb2="00000000" w:usb3="00000000" w:csb0="00040000" w:csb1="00000000"/>
  </w:font>
  <w:font w:name="Wingdings 2">
    <w:altName w:val="汉仪君黑KW 55J"/>
    <w:panose1 w:val="05020102010507070707"/>
    <w:charset w:val="00"/>
    <w:family w:val="auto"/>
    <w:pitch w:val="default"/>
    <w:sig w:usb0="00000000" w:usb1="00000000" w:usb2="00000000" w:usb3="00000000" w:csb0="80000000" w:csb1="00000000"/>
  </w:font>
  <w:font w:name="华文楷体">
    <w:altName w:val="汉仪楷体KW"/>
    <w:panose1 w:val="02010600040101010101"/>
    <w:charset w:val="86"/>
    <w:family w:val="auto"/>
    <w:pitch w:val="default"/>
    <w:sig w:usb0="00000000" w:usb1="00000000" w:usb2="00000000" w:usb3="00000000" w:csb0="0004009F" w:csb1="DFD70000"/>
  </w:font>
  <w:font w:name="方正仿宋_GB2312">
    <w:altName w:val="汉仪仿宋KW"/>
    <w:panose1 w:val="00000000000000000000"/>
    <w:charset w:val="00"/>
    <w:family w:val="auto"/>
    <w:pitch w:val="default"/>
    <w:sig w:usb0="00000000" w:usb1="00000000" w:usb2="00000000" w:usb3="00000000" w:csb0="00000000" w:csb1="00000000"/>
  </w:font>
  <w:font w:name="汉仪仿宋KW">
    <w:panose1 w:val="00020600040101010101"/>
    <w:charset w:val="86"/>
    <w:family w:val="auto"/>
    <w:pitch w:val="default"/>
    <w:sig w:usb0="A00002BF" w:usb1="18EF7CFA" w:usb2="00000016" w:usb3="00000000" w:csb0="00040000" w:csb1="00000000"/>
  </w:font>
  <w:font w:name="汉仪楷体KW">
    <w:panose1 w:val="00020600040101010101"/>
    <w:charset w:val="86"/>
    <w:family w:val="auto"/>
    <w:pitch w:val="default"/>
    <w:sig w:usb0="A00002BF" w:usb1="18EF7CFA" w:usb2="00000016" w:usb3="00000000" w:csb0="00040000" w:csb1="00000000"/>
  </w:font>
  <w:font w:name="汉仪君黑KW 55J">
    <w:panose1 w:val="00020600040101010101"/>
    <w:charset w:val="86"/>
    <w:family w:val="auto"/>
    <w:pitch w:val="default"/>
    <w:sig w:usb0="A00002BF" w:usb1="0A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9FAEB8"/>
    <w:multiLevelType w:val="multilevel"/>
    <w:tmpl w:val="DD9FAEB8"/>
    <w:lvl w:ilvl="0" w:tentative="0">
      <w:start w:val="3"/>
      <w:numFmt w:val="chineseCounting"/>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04E021D8"/>
    <w:multiLevelType w:val="singleLevel"/>
    <w:tmpl w:val="04E021D8"/>
    <w:lvl w:ilvl="0" w:tentative="0">
      <w:start w:val="4"/>
      <w:numFmt w:val="chineseCounting"/>
      <w:suff w:val="nothing"/>
      <w:lvlText w:val="%1、"/>
      <w:lvlJc w:val="left"/>
      <w:rPr>
        <w:rFonts w:hint="eastAsia"/>
      </w:rPr>
    </w:lvl>
  </w:abstractNum>
  <w:abstractNum w:abstractNumId="2">
    <w:nsid w:val="3E67E307"/>
    <w:multiLevelType w:val="multilevel"/>
    <w:tmpl w:val="3E67E307"/>
    <w:lvl w:ilvl="0" w:tentative="0">
      <w:start w:val="6"/>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701"/>
    <w:rsid w:val="000109CC"/>
    <w:rsid w:val="00012C78"/>
    <w:rsid w:val="0001518C"/>
    <w:rsid w:val="00037FBB"/>
    <w:rsid w:val="00040365"/>
    <w:rsid w:val="00042E8E"/>
    <w:rsid w:val="00045FE3"/>
    <w:rsid w:val="00052A6A"/>
    <w:rsid w:val="0005513E"/>
    <w:rsid w:val="00065C74"/>
    <w:rsid w:val="00067AC2"/>
    <w:rsid w:val="00072274"/>
    <w:rsid w:val="000738D4"/>
    <w:rsid w:val="0007788B"/>
    <w:rsid w:val="000816E0"/>
    <w:rsid w:val="00092F86"/>
    <w:rsid w:val="00095EB5"/>
    <w:rsid w:val="00096AE5"/>
    <w:rsid w:val="000A0F02"/>
    <w:rsid w:val="000A119D"/>
    <w:rsid w:val="000A46D4"/>
    <w:rsid w:val="000A6EC7"/>
    <w:rsid w:val="000B17E8"/>
    <w:rsid w:val="000B4ECB"/>
    <w:rsid w:val="000B60F4"/>
    <w:rsid w:val="000C070E"/>
    <w:rsid w:val="000D1D27"/>
    <w:rsid w:val="000D4090"/>
    <w:rsid w:val="000E56EA"/>
    <w:rsid w:val="000F503F"/>
    <w:rsid w:val="000F7472"/>
    <w:rsid w:val="000F781E"/>
    <w:rsid w:val="00100804"/>
    <w:rsid w:val="001021E9"/>
    <w:rsid w:val="00103C9B"/>
    <w:rsid w:val="00103CAE"/>
    <w:rsid w:val="00106B0D"/>
    <w:rsid w:val="00120B5A"/>
    <w:rsid w:val="00126947"/>
    <w:rsid w:val="00126D75"/>
    <w:rsid w:val="001274E6"/>
    <w:rsid w:val="00130033"/>
    <w:rsid w:val="00131B9E"/>
    <w:rsid w:val="00133E32"/>
    <w:rsid w:val="001351A8"/>
    <w:rsid w:val="00135614"/>
    <w:rsid w:val="0013642C"/>
    <w:rsid w:val="0014177D"/>
    <w:rsid w:val="00147E54"/>
    <w:rsid w:val="00155ADE"/>
    <w:rsid w:val="00160069"/>
    <w:rsid w:val="00161C52"/>
    <w:rsid w:val="00171650"/>
    <w:rsid w:val="001828A0"/>
    <w:rsid w:val="0018428F"/>
    <w:rsid w:val="00185052"/>
    <w:rsid w:val="00187E05"/>
    <w:rsid w:val="00190E6C"/>
    <w:rsid w:val="0019176F"/>
    <w:rsid w:val="00194DED"/>
    <w:rsid w:val="001A0E6C"/>
    <w:rsid w:val="001A40E8"/>
    <w:rsid w:val="001A7895"/>
    <w:rsid w:val="001B1B5E"/>
    <w:rsid w:val="001B3A4D"/>
    <w:rsid w:val="001B43E6"/>
    <w:rsid w:val="001B5D8C"/>
    <w:rsid w:val="001C3497"/>
    <w:rsid w:val="001C39B0"/>
    <w:rsid w:val="001C5142"/>
    <w:rsid w:val="001C5304"/>
    <w:rsid w:val="001D0246"/>
    <w:rsid w:val="001D457B"/>
    <w:rsid w:val="001D782D"/>
    <w:rsid w:val="001D7B5D"/>
    <w:rsid w:val="001E2BCB"/>
    <w:rsid w:val="001E3D38"/>
    <w:rsid w:val="001E7967"/>
    <w:rsid w:val="001F330E"/>
    <w:rsid w:val="001F43F9"/>
    <w:rsid w:val="001F460B"/>
    <w:rsid w:val="001F634F"/>
    <w:rsid w:val="00202A4C"/>
    <w:rsid w:val="002040A3"/>
    <w:rsid w:val="00207D5B"/>
    <w:rsid w:val="00210428"/>
    <w:rsid w:val="00210FCD"/>
    <w:rsid w:val="00221E07"/>
    <w:rsid w:val="00223402"/>
    <w:rsid w:val="00223A31"/>
    <w:rsid w:val="00223C3A"/>
    <w:rsid w:val="00223D3C"/>
    <w:rsid w:val="00226561"/>
    <w:rsid w:val="00226726"/>
    <w:rsid w:val="002338B6"/>
    <w:rsid w:val="00237E9A"/>
    <w:rsid w:val="00240947"/>
    <w:rsid w:val="002448B9"/>
    <w:rsid w:val="00261793"/>
    <w:rsid w:val="00261799"/>
    <w:rsid w:val="002635D7"/>
    <w:rsid w:val="0027639F"/>
    <w:rsid w:val="002772BC"/>
    <w:rsid w:val="00280301"/>
    <w:rsid w:val="00286351"/>
    <w:rsid w:val="00287323"/>
    <w:rsid w:val="002915DF"/>
    <w:rsid w:val="002A1D41"/>
    <w:rsid w:val="002A2A75"/>
    <w:rsid w:val="002C1675"/>
    <w:rsid w:val="002C17E4"/>
    <w:rsid w:val="002C3D91"/>
    <w:rsid w:val="002C5BF2"/>
    <w:rsid w:val="002C7E2C"/>
    <w:rsid w:val="002D0C59"/>
    <w:rsid w:val="002D7B06"/>
    <w:rsid w:val="002E3CBC"/>
    <w:rsid w:val="002E7056"/>
    <w:rsid w:val="002E7799"/>
    <w:rsid w:val="002F197C"/>
    <w:rsid w:val="002F5FBE"/>
    <w:rsid w:val="003026A5"/>
    <w:rsid w:val="00311A5D"/>
    <w:rsid w:val="00314233"/>
    <w:rsid w:val="0032033A"/>
    <w:rsid w:val="003224E2"/>
    <w:rsid w:val="003309A6"/>
    <w:rsid w:val="00330B1B"/>
    <w:rsid w:val="0033115A"/>
    <w:rsid w:val="003355A0"/>
    <w:rsid w:val="00337338"/>
    <w:rsid w:val="003417FE"/>
    <w:rsid w:val="0034361A"/>
    <w:rsid w:val="0034457A"/>
    <w:rsid w:val="00346126"/>
    <w:rsid w:val="003650FF"/>
    <w:rsid w:val="00367AC9"/>
    <w:rsid w:val="003800D4"/>
    <w:rsid w:val="00381BBD"/>
    <w:rsid w:val="00395F89"/>
    <w:rsid w:val="003A0023"/>
    <w:rsid w:val="003A1827"/>
    <w:rsid w:val="003A4E7E"/>
    <w:rsid w:val="003A5AEB"/>
    <w:rsid w:val="003A6D43"/>
    <w:rsid w:val="003C087F"/>
    <w:rsid w:val="003D2700"/>
    <w:rsid w:val="003D5126"/>
    <w:rsid w:val="003E080A"/>
    <w:rsid w:val="003E1CCD"/>
    <w:rsid w:val="003F4E21"/>
    <w:rsid w:val="00403686"/>
    <w:rsid w:val="0041494B"/>
    <w:rsid w:val="00414BEA"/>
    <w:rsid w:val="0041612A"/>
    <w:rsid w:val="00416313"/>
    <w:rsid w:val="00420028"/>
    <w:rsid w:val="0043168A"/>
    <w:rsid w:val="00433050"/>
    <w:rsid w:val="00436F50"/>
    <w:rsid w:val="0043753A"/>
    <w:rsid w:val="004376C1"/>
    <w:rsid w:val="0044120E"/>
    <w:rsid w:val="00441528"/>
    <w:rsid w:val="0045032A"/>
    <w:rsid w:val="00451406"/>
    <w:rsid w:val="00455A18"/>
    <w:rsid w:val="004565B5"/>
    <w:rsid w:val="00462556"/>
    <w:rsid w:val="004656DC"/>
    <w:rsid w:val="00475EAE"/>
    <w:rsid w:val="0048595A"/>
    <w:rsid w:val="00493486"/>
    <w:rsid w:val="00496A67"/>
    <w:rsid w:val="004A2C95"/>
    <w:rsid w:val="004A507C"/>
    <w:rsid w:val="004A6157"/>
    <w:rsid w:val="004A7675"/>
    <w:rsid w:val="004B1E5A"/>
    <w:rsid w:val="004B22BA"/>
    <w:rsid w:val="004C2A57"/>
    <w:rsid w:val="004C5D00"/>
    <w:rsid w:val="004C64CF"/>
    <w:rsid w:val="004C75D6"/>
    <w:rsid w:val="004C7C5A"/>
    <w:rsid w:val="004D07C7"/>
    <w:rsid w:val="004D4E32"/>
    <w:rsid w:val="004D6E76"/>
    <w:rsid w:val="004E1D4B"/>
    <w:rsid w:val="004E23D0"/>
    <w:rsid w:val="004E6F22"/>
    <w:rsid w:val="004F10FD"/>
    <w:rsid w:val="004F193C"/>
    <w:rsid w:val="004F2374"/>
    <w:rsid w:val="00514183"/>
    <w:rsid w:val="00514325"/>
    <w:rsid w:val="00516547"/>
    <w:rsid w:val="005165EF"/>
    <w:rsid w:val="00522274"/>
    <w:rsid w:val="0052751F"/>
    <w:rsid w:val="00531BA6"/>
    <w:rsid w:val="00532F58"/>
    <w:rsid w:val="00550F15"/>
    <w:rsid w:val="00556D05"/>
    <w:rsid w:val="00562975"/>
    <w:rsid w:val="0056388C"/>
    <w:rsid w:val="00563B05"/>
    <w:rsid w:val="00567A90"/>
    <w:rsid w:val="00570334"/>
    <w:rsid w:val="00570BAD"/>
    <w:rsid w:val="00571B0F"/>
    <w:rsid w:val="00573721"/>
    <w:rsid w:val="005770A2"/>
    <w:rsid w:val="00580A94"/>
    <w:rsid w:val="00580CC1"/>
    <w:rsid w:val="00584647"/>
    <w:rsid w:val="0059230E"/>
    <w:rsid w:val="00592C03"/>
    <w:rsid w:val="0059443A"/>
    <w:rsid w:val="005A1221"/>
    <w:rsid w:val="005A18D0"/>
    <w:rsid w:val="005A59C6"/>
    <w:rsid w:val="005B5BEA"/>
    <w:rsid w:val="005C20FB"/>
    <w:rsid w:val="005D1D7C"/>
    <w:rsid w:val="005D1F7C"/>
    <w:rsid w:val="005D7CE4"/>
    <w:rsid w:val="005E0859"/>
    <w:rsid w:val="005E6128"/>
    <w:rsid w:val="005E701F"/>
    <w:rsid w:val="005F0DD9"/>
    <w:rsid w:val="005F4822"/>
    <w:rsid w:val="005F56EB"/>
    <w:rsid w:val="00602501"/>
    <w:rsid w:val="0062202B"/>
    <w:rsid w:val="0062257C"/>
    <w:rsid w:val="006243C4"/>
    <w:rsid w:val="00624900"/>
    <w:rsid w:val="00625955"/>
    <w:rsid w:val="00625A3F"/>
    <w:rsid w:val="00626103"/>
    <w:rsid w:val="00626A7F"/>
    <w:rsid w:val="00632015"/>
    <w:rsid w:val="006326A2"/>
    <w:rsid w:val="00641451"/>
    <w:rsid w:val="00642F07"/>
    <w:rsid w:val="0064302A"/>
    <w:rsid w:val="0064355F"/>
    <w:rsid w:val="0064511A"/>
    <w:rsid w:val="006502DB"/>
    <w:rsid w:val="006505BB"/>
    <w:rsid w:val="00653CC2"/>
    <w:rsid w:val="00655CF6"/>
    <w:rsid w:val="00660A9F"/>
    <w:rsid w:val="00662617"/>
    <w:rsid w:val="006626E3"/>
    <w:rsid w:val="00670688"/>
    <w:rsid w:val="00672557"/>
    <w:rsid w:val="00673CE1"/>
    <w:rsid w:val="006807BB"/>
    <w:rsid w:val="00680F2A"/>
    <w:rsid w:val="00681172"/>
    <w:rsid w:val="00681844"/>
    <w:rsid w:val="006829FA"/>
    <w:rsid w:val="00683FD6"/>
    <w:rsid w:val="006852B8"/>
    <w:rsid w:val="00685F73"/>
    <w:rsid w:val="006875C6"/>
    <w:rsid w:val="00695C09"/>
    <w:rsid w:val="006A4441"/>
    <w:rsid w:val="006A50C6"/>
    <w:rsid w:val="006B43A1"/>
    <w:rsid w:val="006B7D1E"/>
    <w:rsid w:val="006D0F79"/>
    <w:rsid w:val="006D14AC"/>
    <w:rsid w:val="006D5083"/>
    <w:rsid w:val="006D50E0"/>
    <w:rsid w:val="006D537C"/>
    <w:rsid w:val="006E1637"/>
    <w:rsid w:val="006E2150"/>
    <w:rsid w:val="006E33ED"/>
    <w:rsid w:val="006E4EAE"/>
    <w:rsid w:val="006E5D90"/>
    <w:rsid w:val="006E606E"/>
    <w:rsid w:val="006F0065"/>
    <w:rsid w:val="006F1A39"/>
    <w:rsid w:val="006F43BD"/>
    <w:rsid w:val="006F7234"/>
    <w:rsid w:val="00701B43"/>
    <w:rsid w:val="007043FD"/>
    <w:rsid w:val="00704707"/>
    <w:rsid w:val="00712E26"/>
    <w:rsid w:val="0071397B"/>
    <w:rsid w:val="00713A5B"/>
    <w:rsid w:val="00714D14"/>
    <w:rsid w:val="0071575A"/>
    <w:rsid w:val="00732FE6"/>
    <w:rsid w:val="007344D3"/>
    <w:rsid w:val="00736C1F"/>
    <w:rsid w:val="00740A0B"/>
    <w:rsid w:val="007460EC"/>
    <w:rsid w:val="00746809"/>
    <w:rsid w:val="007477BD"/>
    <w:rsid w:val="00757B72"/>
    <w:rsid w:val="0076726D"/>
    <w:rsid w:val="00771077"/>
    <w:rsid w:val="00771E52"/>
    <w:rsid w:val="0077280B"/>
    <w:rsid w:val="00773D6F"/>
    <w:rsid w:val="00780701"/>
    <w:rsid w:val="00791236"/>
    <w:rsid w:val="00795715"/>
    <w:rsid w:val="0079658D"/>
    <w:rsid w:val="00797687"/>
    <w:rsid w:val="007A0B83"/>
    <w:rsid w:val="007A22B7"/>
    <w:rsid w:val="007A576A"/>
    <w:rsid w:val="007B4016"/>
    <w:rsid w:val="007B42D9"/>
    <w:rsid w:val="007B4547"/>
    <w:rsid w:val="007B78BD"/>
    <w:rsid w:val="007C0448"/>
    <w:rsid w:val="007C4321"/>
    <w:rsid w:val="007C7E6C"/>
    <w:rsid w:val="007D40E4"/>
    <w:rsid w:val="007D7303"/>
    <w:rsid w:val="007E02C1"/>
    <w:rsid w:val="007E352F"/>
    <w:rsid w:val="007F0684"/>
    <w:rsid w:val="00806244"/>
    <w:rsid w:val="00813E4A"/>
    <w:rsid w:val="008148C0"/>
    <w:rsid w:val="00820210"/>
    <w:rsid w:val="008213E8"/>
    <w:rsid w:val="00855415"/>
    <w:rsid w:val="00856479"/>
    <w:rsid w:val="0086623D"/>
    <w:rsid w:val="0086670B"/>
    <w:rsid w:val="00870DBE"/>
    <w:rsid w:val="0087190F"/>
    <w:rsid w:val="008745B0"/>
    <w:rsid w:val="0087478E"/>
    <w:rsid w:val="008802B7"/>
    <w:rsid w:val="008822C1"/>
    <w:rsid w:val="00883059"/>
    <w:rsid w:val="00886DE1"/>
    <w:rsid w:val="00887251"/>
    <w:rsid w:val="008876B0"/>
    <w:rsid w:val="00887B0D"/>
    <w:rsid w:val="00891D21"/>
    <w:rsid w:val="008927F3"/>
    <w:rsid w:val="00896BA3"/>
    <w:rsid w:val="008A0B0F"/>
    <w:rsid w:val="008A63CD"/>
    <w:rsid w:val="008B5A5E"/>
    <w:rsid w:val="008B7367"/>
    <w:rsid w:val="008C15B9"/>
    <w:rsid w:val="008C2421"/>
    <w:rsid w:val="008C5B13"/>
    <w:rsid w:val="008C603F"/>
    <w:rsid w:val="008D4756"/>
    <w:rsid w:val="008D4FAC"/>
    <w:rsid w:val="008E4BE9"/>
    <w:rsid w:val="008E632D"/>
    <w:rsid w:val="008E79B6"/>
    <w:rsid w:val="008F1F93"/>
    <w:rsid w:val="008F2AA9"/>
    <w:rsid w:val="008F3816"/>
    <w:rsid w:val="008F478E"/>
    <w:rsid w:val="008F761B"/>
    <w:rsid w:val="00900634"/>
    <w:rsid w:val="009013B5"/>
    <w:rsid w:val="00903404"/>
    <w:rsid w:val="00911F09"/>
    <w:rsid w:val="00916D62"/>
    <w:rsid w:val="00923217"/>
    <w:rsid w:val="009262FF"/>
    <w:rsid w:val="0092794B"/>
    <w:rsid w:val="009303A7"/>
    <w:rsid w:val="009325ED"/>
    <w:rsid w:val="00943962"/>
    <w:rsid w:val="00943E47"/>
    <w:rsid w:val="00951247"/>
    <w:rsid w:val="009533E9"/>
    <w:rsid w:val="00954BB3"/>
    <w:rsid w:val="00961CD1"/>
    <w:rsid w:val="00966C8B"/>
    <w:rsid w:val="00982FBC"/>
    <w:rsid w:val="009835B2"/>
    <w:rsid w:val="009873A6"/>
    <w:rsid w:val="00990725"/>
    <w:rsid w:val="009928C4"/>
    <w:rsid w:val="00997D02"/>
    <w:rsid w:val="009A1342"/>
    <w:rsid w:val="009A35A9"/>
    <w:rsid w:val="009A55E6"/>
    <w:rsid w:val="009B0A4F"/>
    <w:rsid w:val="009C4D84"/>
    <w:rsid w:val="009C65A1"/>
    <w:rsid w:val="009D0F5A"/>
    <w:rsid w:val="009D1FC5"/>
    <w:rsid w:val="009D2C13"/>
    <w:rsid w:val="009D443F"/>
    <w:rsid w:val="009D6305"/>
    <w:rsid w:val="009D7992"/>
    <w:rsid w:val="009E2AE0"/>
    <w:rsid w:val="009E50DA"/>
    <w:rsid w:val="009F2831"/>
    <w:rsid w:val="009F4CD7"/>
    <w:rsid w:val="009F6545"/>
    <w:rsid w:val="00A02398"/>
    <w:rsid w:val="00A04935"/>
    <w:rsid w:val="00A04CE3"/>
    <w:rsid w:val="00A113FC"/>
    <w:rsid w:val="00A13593"/>
    <w:rsid w:val="00A23001"/>
    <w:rsid w:val="00A2710F"/>
    <w:rsid w:val="00A27C79"/>
    <w:rsid w:val="00A30B5A"/>
    <w:rsid w:val="00A33F71"/>
    <w:rsid w:val="00A349A0"/>
    <w:rsid w:val="00A35323"/>
    <w:rsid w:val="00A41EB2"/>
    <w:rsid w:val="00A4389E"/>
    <w:rsid w:val="00A54DFD"/>
    <w:rsid w:val="00A55630"/>
    <w:rsid w:val="00A55EA5"/>
    <w:rsid w:val="00A5789B"/>
    <w:rsid w:val="00A610F3"/>
    <w:rsid w:val="00A623B1"/>
    <w:rsid w:val="00A62BCE"/>
    <w:rsid w:val="00A661F4"/>
    <w:rsid w:val="00A72A9F"/>
    <w:rsid w:val="00A90F5C"/>
    <w:rsid w:val="00A91115"/>
    <w:rsid w:val="00A94DAD"/>
    <w:rsid w:val="00AA0067"/>
    <w:rsid w:val="00AA07A4"/>
    <w:rsid w:val="00AA4ED7"/>
    <w:rsid w:val="00AA5D1E"/>
    <w:rsid w:val="00AA6FDC"/>
    <w:rsid w:val="00AB21BF"/>
    <w:rsid w:val="00AB39E0"/>
    <w:rsid w:val="00AB4DA6"/>
    <w:rsid w:val="00AB685F"/>
    <w:rsid w:val="00AC11ED"/>
    <w:rsid w:val="00AC1FDB"/>
    <w:rsid w:val="00AC6149"/>
    <w:rsid w:val="00AD0A55"/>
    <w:rsid w:val="00AD0BE0"/>
    <w:rsid w:val="00AD4E2C"/>
    <w:rsid w:val="00AD5A28"/>
    <w:rsid w:val="00AE2D47"/>
    <w:rsid w:val="00AE4A19"/>
    <w:rsid w:val="00AE6677"/>
    <w:rsid w:val="00AE78EC"/>
    <w:rsid w:val="00AF0D7C"/>
    <w:rsid w:val="00AF3809"/>
    <w:rsid w:val="00AF5A32"/>
    <w:rsid w:val="00B0001E"/>
    <w:rsid w:val="00B0081E"/>
    <w:rsid w:val="00B03B99"/>
    <w:rsid w:val="00B13E51"/>
    <w:rsid w:val="00B14637"/>
    <w:rsid w:val="00B16046"/>
    <w:rsid w:val="00B16F7B"/>
    <w:rsid w:val="00B2029A"/>
    <w:rsid w:val="00B21456"/>
    <w:rsid w:val="00B2337D"/>
    <w:rsid w:val="00B261DB"/>
    <w:rsid w:val="00B27C35"/>
    <w:rsid w:val="00B31082"/>
    <w:rsid w:val="00B37D24"/>
    <w:rsid w:val="00B42093"/>
    <w:rsid w:val="00B44B6E"/>
    <w:rsid w:val="00B44CA0"/>
    <w:rsid w:val="00B51CAB"/>
    <w:rsid w:val="00B6471D"/>
    <w:rsid w:val="00B65FD2"/>
    <w:rsid w:val="00B66A0C"/>
    <w:rsid w:val="00B736E3"/>
    <w:rsid w:val="00B81EA3"/>
    <w:rsid w:val="00B81F58"/>
    <w:rsid w:val="00B83C6D"/>
    <w:rsid w:val="00B8632E"/>
    <w:rsid w:val="00B924AB"/>
    <w:rsid w:val="00B96E86"/>
    <w:rsid w:val="00BA2597"/>
    <w:rsid w:val="00BA3D94"/>
    <w:rsid w:val="00BB2D7E"/>
    <w:rsid w:val="00BC7936"/>
    <w:rsid w:val="00BC7EFD"/>
    <w:rsid w:val="00BD2970"/>
    <w:rsid w:val="00BF148F"/>
    <w:rsid w:val="00BF288E"/>
    <w:rsid w:val="00BF64F5"/>
    <w:rsid w:val="00C01E16"/>
    <w:rsid w:val="00C03DD4"/>
    <w:rsid w:val="00C07692"/>
    <w:rsid w:val="00C10178"/>
    <w:rsid w:val="00C12D32"/>
    <w:rsid w:val="00C138E4"/>
    <w:rsid w:val="00C147CF"/>
    <w:rsid w:val="00C160AC"/>
    <w:rsid w:val="00C20D06"/>
    <w:rsid w:val="00C21F5D"/>
    <w:rsid w:val="00C23888"/>
    <w:rsid w:val="00C30329"/>
    <w:rsid w:val="00C3044F"/>
    <w:rsid w:val="00C316C1"/>
    <w:rsid w:val="00C349EB"/>
    <w:rsid w:val="00C3793B"/>
    <w:rsid w:val="00C43984"/>
    <w:rsid w:val="00C44842"/>
    <w:rsid w:val="00C459CE"/>
    <w:rsid w:val="00C55476"/>
    <w:rsid w:val="00C56831"/>
    <w:rsid w:val="00C65DD7"/>
    <w:rsid w:val="00C677DC"/>
    <w:rsid w:val="00C76605"/>
    <w:rsid w:val="00C811B9"/>
    <w:rsid w:val="00C82701"/>
    <w:rsid w:val="00C87009"/>
    <w:rsid w:val="00C9190B"/>
    <w:rsid w:val="00C96049"/>
    <w:rsid w:val="00CA57FE"/>
    <w:rsid w:val="00CA6F0E"/>
    <w:rsid w:val="00CB0281"/>
    <w:rsid w:val="00CB4BB7"/>
    <w:rsid w:val="00CB5CA5"/>
    <w:rsid w:val="00CB75DF"/>
    <w:rsid w:val="00CC06B8"/>
    <w:rsid w:val="00CD1903"/>
    <w:rsid w:val="00CD3C80"/>
    <w:rsid w:val="00CE4607"/>
    <w:rsid w:val="00CF28A0"/>
    <w:rsid w:val="00D03EE1"/>
    <w:rsid w:val="00D04B28"/>
    <w:rsid w:val="00D0548C"/>
    <w:rsid w:val="00D05726"/>
    <w:rsid w:val="00D07117"/>
    <w:rsid w:val="00D10178"/>
    <w:rsid w:val="00D220A7"/>
    <w:rsid w:val="00D2463E"/>
    <w:rsid w:val="00D25714"/>
    <w:rsid w:val="00D37149"/>
    <w:rsid w:val="00D37CB9"/>
    <w:rsid w:val="00D41E0C"/>
    <w:rsid w:val="00D507E0"/>
    <w:rsid w:val="00D5473B"/>
    <w:rsid w:val="00D5544B"/>
    <w:rsid w:val="00D56EF4"/>
    <w:rsid w:val="00D63CCC"/>
    <w:rsid w:val="00D66736"/>
    <w:rsid w:val="00D66B3C"/>
    <w:rsid w:val="00D6787C"/>
    <w:rsid w:val="00D74E15"/>
    <w:rsid w:val="00D864E4"/>
    <w:rsid w:val="00D8671C"/>
    <w:rsid w:val="00D95318"/>
    <w:rsid w:val="00D962B1"/>
    <w:rsid w:val="00D97A83"/>
    <w:rsid w:val="00DA2710"/>
    <w:rsid w:val="00DA5A3E"/>
    <w:rsid w:val="00DC3349"/>
    <w:rsid w:val="00DC41B6"/>
    <w:rsid w:val="00DD337F"/>
    <w:rsid w:val="00DD3F63"/>
    <w:rsid w:val="00DD7D8B"/>
    <w:rsid w:val="00DE2E31"/>
    <w:rsid w:val="00DE3242"/>
    <w:rsid w:val="00DE3576"/>
    <w:rsid w:val="00DE4225"/>
    <w:rsid w:val="00DE5082"/>
    <w:rsid w:val="00DE7040"/>
    <w:rsid w:val="00DF095C"/>
    <w:rsid w:val="00DF3FFC"/>
    <w:rsid w:val="00E07A2A"/>
    <w:rsid w:val="00E17E14"/>
    <w:rsid w:val="00E2159C"/>
    <w:rsid w:val="00E23236"/>
    <w:rsid w:val="00E249EF"/>
    <w:rsid w:val="00E330EE"/>
    <w:rsid w:val="00E34B9D"/>
    <w:rsid w:val="00E37788"/>
    <w:rsid w:val="00E4366C"/>
    <w:rsid w:val="00E47B15"/>
    <w:rsid w:val="00E658E3"/>
    <w:rsid w:val="00E72C4B"/>
    <w:rsid w:val="00E84E26"/>
    <w:rsid w:val="00E97A3A"/>
    <w:rsid w:val="00EA2547"/>
    <w:rsid w:val="00EA5A94"/>
    <w:rsid w:val="00EA7D78"/>
    <w:rsid w:val="00EC0D23"/>
    <w:rsid w:val="00EC40F9"/>
    <w:rsid w:val="00EC657E"/>
    <w:rsid w:val="00EC7C66"/>
    <w:rsid w:val="00ED0627"/>
    <w:rsid w:val="00EE179B"/>
    <w:rsid w:val="00EE3D23"/>
    <w:rsid w:val="00EE7B37"/>
    <w:rsid w:val="00EF0AF3"/>
    <w:rsid w:val="00EF2A02"/>
    <w:rsid w:val="00EF781E"/>
    <w:rsid w:val="00F05601"/>
    <w:rsid w:val="00F06153"/>
    <w:rsid w:val="00F06218"/>
    <w:rsid w:val="00F11BBD"/>
    <w:rsid w:val="00F1547B"/>
    <w:rsid w:val="00F15CB8"/>
    <w:rsid w:val="00F20322"/>
    <w:rsid w:val="00F20ED8"/>
    <w:rsid w:val="00F26D70"/>
    <w:rsid w:val="00F32C89"/>
    <w:rsid w:val="00F3752F"/>
    <w:rsid w:val="00F37EAE"/>
    <w:rsid w:val="00F43B88"/>
    <w:rsid w:val="00F45376"/>
    <w:rsid w:val="00F457B1"/>
    <w:rsid w:val="00F469BA"/>
    <w:rsid w:val="00F559AD"/>
    <w:rsid w:val="00F70138"/>
    <w:rsid w:val="00F70FAB"/>
    <w:rsid w:val="00F77545"/>
    <w:rsid w:val="00F81706"/>
    <w:rsid w:val="00F81EEE"/>
    <w:rsid w:val="00F95807"/>
    <w:rsid w:val="00F978A4"/>
    <w:rsid w:val="00FA2FE5"/>
    <w:rsid w:val="00FA585C"/>
    <w:rsid w:val="00FA7DB6"/>
    <w:rsid w:val="00FB1F40"/>
    <w:rsid w:val="00FB515C"/>
    <w:rsid w:val="00FB618D"/>
    <w:rsid w:val="00FB77F7"/>
    <w:rsid w:val="00FC2A78"/>
    <w:rsid w:val="00FC3B29"/>
    <w:rsid w:val="00FD04B4"/>
    <w:rsid w:val="00FD6D4D"/>
    <w:rsid w:val="00FD7B07"/>
    <w:rsid w:val="00FE1CDC"/>
    <w:rsid w:val="00FE304B"/>
    <w:rsid w:val="00FF0250"/>
    <w:rsid w:val="00FF2218"/>
    <w:rsid w:val="030E21E2"/>
    <w:rsid w:val="07E75B69"/>
    <w:rsid w:val="07EF41E0"/>
    <w:rsid w:val="085252A1"/>
    <w:rsid w:val="08CF38C3"/>
    <w:rsid w:val="0AA606C6"/>
    <w:rsid w:val="0B0F5E5E"/>
    <w:rsid w:val="0B182801"/>
    <w:rsid w:val="0BAF5903"/>
    <w:rsid w:val="0C117696"/>
    <w:rsid w:val="0C2F2791"/>
    <w:rsid w:val="0CAF1630"/>
    <w:rsid w:val="0E2C5D4E"/>
    <w:rsid w:val="0E394029"/>
    <w:rsid w:val="0FAA5051"/>
    <w:rsid w:val="0FF02E0A"/>
    <w:rsid w:val="101410F0"/>
    <w:rsid w:val="106C003C"/>
    <w:rsid w:val="10EC6520"/>
    <w:rsid w:val="11BD0A03"/>
    <w:rsid w:val="11C5329A"/>
    <w:rsid w:val="12F20551"/>
    <w:rsid w:val="130E6364"/>
    <w:rsid w:val="139C527C"/>
    <w:rsid w:val="14337748"/>
    <w:rsid w:val="14345A85"/>
    <w:rsid w:val="153B3A16"/>
    <w:rsid w:val="15DE31B1"/>
    <w:rsid w:val="16A46C46"/>
    <w:rsid w:val="17694D0C"/>
    <w:rsid w:val="18546D98"/>
    <w:rsid w:val="19394AF8"/>
    <w:rsid w:val="19446C87"/>
    <w:rsid w:val="19840346"/>
    <w:rsid w:val="1C1F524A"/>
    <w:rsid w:val="1C3F771E"/>
    <w:rsid w:val="1CC64A38"/>
    <w:rsid w:val="1DC674F5"/>
    <w:rsid w:val="1EA200CF"/>
    <w:rsid w:val="1EC2587E"/>
    <w:rsid w:val="1EF84174"/>
    <w:rsid w:val="1F3E61AC"/>
    <w:rsid w:val="220021F6"/>
    <w:rsid w:val="225068B8"/>
    <w:rsid w:val="229B0C01"/>
    <w:rsid w:val="245C0B6F"/>
    <w:rsid w:val="26516C60"/>
    <w:rsid w:val="267404C0"/>
    <w:rsid w:val="27AF26D9"/>
    <w:rsid w:val="2A0346F8"/>
    <w:rsid w:val="2BBE5229"/>
    <w:rsid w:val="2E2442D6"/>
    <w:rsid w:val="2EB41D6A"/>
    <w:rsid w:val="2EFF7C14"/>
    <w:rsid w:val="2F510529"/>
    <w:rsid w:val="30F9583B"/>
    <w:rsid w:val="33054D39"/>
    <w:rsid w:val="34860F33"/>
    <w:rsid w:val="3488592C"/>
    <w:rsid w:val="34A477E8"/>
    <w:rsid w:val="34AB2CE4"/>
    <w:rsid w:val="35474E78"/>
    <w:rsid w:val="35550D4D"/>
    <w:rsid w:val="36226A42"/>
    <w:rsid w:val="362D288F"/>
    <w:rsid w:val="369B2CFE"/>
    <w:rsid w:val="36CC592D"/>
    <w:rsid w:val="372333E5"/>
    <w:rsid w:val="375F6D90"/>
    <w:rsid w:val="376E0FAE"/>
    <w:rsid w:val="393843C7"/>
    <w:rsid w:val="3AB344A1"/>
    <w:rsid w:val="3AB3709C"/>
    <w:rsid w:val="3AFA7D31"/>
    <w:rsid w:val="3B957497"/>
    <w:rsid w:val="3BA545F9"/>
    <w:rsid w:val="3BAE2BF5"/>
    <w:rsid w:val="3BC9725F"/>
    <w:rsid w:val="3C1B3DD7"/>
    <w:rsid w:val="3C287C5E"/>
    <w:rsid w:val="3D3F8B83"/>
    <w:rsid w:val="3E253199"/>
    <w:rsid w:val="409441EA"/>
    <w:rsid w:val="409C7DE4"/>
    <w:rsid w:val="41AF5F62"/>
    <w:rsid w:val="423708D2"/>
    <w:rsid w:val="427501A0"/>
    <w:rsid w:val="4319385D"/>
    <w:rsid w:val="43A24161"/>
    <w:rsid w:val="452843EB"/>
    <w:rsid w:val="45942367"/>
    <w:rsid w:val="47BF10F5"/>
    <w:rsid w:val="481F368A"/>
    <w:rsid w:val="48C13DC9"/>
    <w:rsid w:val="48CC72DD"/>
    <w:rsid w:val="48F7776F"/>
    <w:rsid w:val="493A3948"/>
    <w:rsid w:val="496560E3"/>
    <w:rsid w:val="4A8D504C"/>
    <w:rsid w:val="4B855629"/>
    <w:rsid w:val="4BF52411"/>
    <w:rsid w:val="4C6D7BBD"/>
    <w:rsid w:val="4C9010D8"/>
    <w:rsid w:val="4CA11B42"/>
    <w:rsid w:val="4DC96D98"/>
    <w:rsid w:val="4E05712B"/>
    <w:rsid w:val="4E1F64F8"/>
    <w:rsid w:val="4E5D713E"/>
    <w:rsid w:val="4F853B38"/>
    <w:rsid w:val="4FE97929"/>
    <w:rsid w:val="4FF22720"/>
    <w:rsid w:val="510E33F2"/>
    <w:rsid w:val="516C5C39"/>
    <w:rsid w:val="51D274A0"/>
    <w:rsid w:val="51DB6B72"/>
    <w:rsid w:val="52B61ED4"/>
    <w:rsid w:val="531A511F"/>
    <w:rsid w:val="53C77BB1"/>
    <w:rsid w:val="55205DC1"/>
    <w:rsid w:val="55412C41"/>
    <w:rsid w:val="5636159A"/>
    <w:rsid w:val="56401836"/>
    <w:rsid w:val="564D775E"/>
    <w:rsid w:val="56C32C09"/>
    <w:rsid w:val="57E56738"/>
    <w:rsid w:val="58D010B4"/>
    <w:rsid w:val="599B2965"/>
    <w:rsid w:val="5AF91DCA"/>
    <w:rsid w:val="5C437B8B"/>
    <w:rsid w:val="5DB4774E"/>
    <w:rsid w:val="5DC40CFD"/>
    <w:rsid w:val="5EFA1C44"/>
    <w:rsid w:val="5F522355"/>
    <w:rsid w:val="5F6B7833"/>
    <w:rsid w:val="5FFBEA48"/>
    <w:rsid w:val="607E73F5"/>
    <w:rsid w:val="651B6F9A"/>
    <w:rsid w:val="66B80BD1"/>
    <w:rsid w:val="68BD77C1"/>
    <w:rsid w:val="692C07F0"/>
    <w:rsid w:val="69573E3C"/>
    <w:rsid w:val="698840A0"/>
    <w:rsid w:val="6AB65339"/>
    <w:rsid w:val="6BBF1E09"/>
    <w:rsid w:val="6DD00D04"/>
    <w:rsid w:val="6F6F46BD"/>
    <w:rsid w:val="6FBA002B"/>
    <w:rsid w:val="71124944"/>
    <w:rsid w:val="72951678"/>
    <w:rsid w:val="72BA30DE"/>
    <w:rsid w:val="73F96952"/>
    <w:rsid w:val="740C7A8F"/>
    <w:rsid w:val="74C00B5E"/>
    <w:rsid w:val="75526A69"/>
    <w:rsid w:val="757B4304"/>
    <w:rsid w:val="758B7C6A"/>
    <w:rsid w:val="760627A6"/>
    <w:rsid w:val="761C7359"/>
    <w:rsid w:val="776104BB"/>
    <w:rsid w:val="786A576E"/>
    <w:rsid w:val="789C6785"/>
    <w:rsid w:val="78F3760E"/>
    <w:rsid w:val="794977B0"/>
    <w:rsid w:val="7A5901C9"/>
    <w:rsid w:val="7C257C78"/>
    <w:rsid w:val="7CFA11F2"/>
    <w:rsid w:val="7CFB44C6"/>
    <w:rsid w:val="7D2B190F"/>
    <w:rsid w:val="7D42641B"/>
    <w:rsid w:val="7D6C1134"/>
    <w:rsid w:val="7D714E46"/>
    <w:rsid w:val="7D852187"/>
    <w:rsid w:val="7DD9767D"/>
    <w:rsid w:val="7E463312"/>
    <w:rsid w:val="7EE43DC5"/>
    <w:rsid w:val="7EED59EA"/>
    <w:rsid w:val="7F3A1A53"/>
    <w:rsid w:val="7FDB5A1D"/>
    <w:rsid w:val="7FFE9B96"/>
    <w:rsid w:val="803EB8D2"/>
    <w:rsid w:val="8F6E87F8"/>
    <w:rsid w:val="BF365C73"/>
    <w:rsid w:val="BF3DF1A5"/>
    <w:rsid w:val="DC7FFBD1"/>
    <w:rsid w:val="EB620462"/>
    <w:rsid w:val="EBFE2DF5"/>
    <w:rsid w:val="EFCA9D28"/>
    <w:rsid w:val="EFFC9906"/>
    <w:rsid w:val="EFFF58B2"/>
    <w:rsid w:val="F72F92E6"/>
    <w:rsid w:val="F7562F25"/>
    <w:rsid w:val="FE7E5643"/>
    <w:rsid w:val="FF377397"/>
    <w:rsid w:val="FFBEF1D9"/>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semiHidden/>
    <w:unhideWhenUsed/>
    <w:qFormat/>
    <w:uiPriority w:val="0"/>
    <w:pPr>
      <w:keepNext/>
      <w:keepLines/>
      <w:widowControl w:val="0"/>
      <w:suppressLineNumbers w:val="0"/>
      <w:spacing w:before="20" w:beforeLines="0" w:beforeAutospacing="0" w:after="20" w:afterLines="0" w:afterAutospacing="0" w:line="412" w:lineRule="auto"/>
      <w:ind w:firstLine="0" w:firstLineChars="0"/>
      <w:jc w:val="left"/>
      <w:outlineLvl w:val="1"/>
    </w:pPr>
    <w:rPr>
      <w:rFonts w:hint="default" w:ascii="Arial" w:hAnsi="Arial" w:eastAsia="黑体" w:cs="Times New Roman"/>
      <w:b/>
      <w:bCs/>
      <w:kern w:val="2"/>
      <w:sz w:val="28"/>
      <w:szCs w:val="28"/>
      <w:lang w:val="en-US" w:eastAsia="zh-CN" w:bidi="ar"/>
    </w:rPr>
  </w:style>
  <w:style w:type="character" w:default="1" w:styleId="15">
    <w:name w:val="Default Paragraph Font"/>
    <w:semiHidden/>
    <w:qFormat/>
    <w:uiPriority w:val="0"/>
  </w:style>
  <w:style w:type="table" w:default="1" w:styleId="1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Indent"/>
    <w:basedOn w:val="1"/>
    <w:next w:val="3"/>
    <w:qFormat/>
    <w:uiPriority w:val="0"/>
    <w:pPr>
      <w:keepNext w:val="0"/>
      <w:keepLines w:val="0"/>
      <w:widowControl w:val="0"/>
      <w:suppressLineNumbers w:val="0"/>
      <w:spacing w:before="120" w:beforeAutospacing="0" w:after="120" w:afterAutospacing="0"/>
      <w:ind w:firstLine="479" w:firstLineChars="171"/>
      <w:jc w:val="both"/>
    </w:pPr>
    <w:rPr>
      <w:rFonts w:hint="default" w:ascii="Times New Roman" w:hAnsi="Times New Roman" w:eastAsia="仿宋" w:cs="Times New Roman"/>
      <w:kern w:val="0"/>
      <w:sz w:val="24"/>
      <w:szCs w:val="24"/>
      <w:lang w:val="en-US" w:eastAsia="zh-CN" w:bidi="ar"/>
    </w:rPr>
  </w:style>
  <w:style w:type="paragraph" w:styleId="3">
    <w:name w:val="envelope return"/>
    <w:basedOn w:val="1"/>
    <w:qFormat/>
    <w:uiPriority w:val="0"/>
    <w:pPr>
      <w:keepNext w:val="0"/>
      <w:keepLines w:val="0"/>
      <w:widowControl w:val="0"/>
      <w:suppressLineNumbers w:val="0"/>
      <w:snapToGrid w:val="0"/>
      <w:spacing w:before="120" w:beforeAutospacing="0" w:after="120" w:afterAutospacing="0"/>
      <w:jc w:val="both"/>
    </w:pPr>
    <w:rPr>
      <w:rFonts w:hint="default" w:ascii="Arial" w:hAnsi="Arial" w:eastAsia="仿宋" w:cs="Times New Roman"/>
      <w:kern w:val="2"/>
      <w:sz w:val="24"/>
      <w:szCs w:val="24"/>
      <w:lang w:val="en-US" w:eastAsia="zh-CN" w:bidi="ar"/>
    </w:rPr>
  </w:style>
  <w:style w:type="paragraph" w:styleId="6">
    <w:name w:val="annotation text"/>
    <w:basedOn w:val="1"/>
    <w:link w:val="18"/>
    <w:qFormat/>
    <w:uiPriority w:val="0"/>
    <w:pPr>
      <w:keepNext w:val="0"/>
      <w:keepLines w:val="0"/>
      <w:widowControl w:val="0"/>
      <w:suppressLineNumbers w:val="0"/>
      <w:spacing w:before="120" w:beforeAutospacing="0" w:after="120" w:afterAutospacing="0"/>
      <w:jc w:val="left"/>
    </w:pPr>
    <w:rPr>
      <w:rFonts w:hint="default" w:ascii="Times New Roman" w:hAnsi="Times New Roman" w:eastAsia="仿宋" w:cs="Times New Roman"/>
      <w:kern w:val="0"/>
      <w:sz w:val="24"/>
      <w:szCs w:val="24"/>
      <w:lang w:val="en-US" w:eastAsia="zh-CN" w:bidi="ar"/>
    </w:rPr>
  </w:style>
  <w:style w:type="paragraph" w:styleId="7">
    <w:name w:val="Plain Text"/>
    <w:basedOn w:val="1"/>
    <w:qFormat/>
    <w:uiPriority w:val="0"/>
    <w:pPr>
      <w:keepNext w:val="0"/>
      <w:keepLines w:val="0"/>
      <w:widowControl w:val="0"/>
      <w:suppressLineNumbers w:val="0"/>
      <w:spacing w:before="120" w:beforeAutospacing="0" w:after="120" w:afterAutospacing="0"/>
      <w:jc w:val="both"/>
    </w:pPr>
    <w:rPr>
      <w:rFonts w:hint="eastAsia" w:ascii="宋体" w:hAnsi="Courier New" w:eastAsia="仿宋" w:cs="Times New Roman"/>
      <w:kern w:val="0"/>
      <w:sz w:val="24"/>
      <w:szCs w:val="24"/>
      <w:lang w:val="en-US" w:eastAsia="zh-CN" w:bidi="ar"/>
    </w:rPr>
  </w:style>
  <w:style w:type="paragraph" w:styleId="8">
    <w:name w:val="Balloon Text"/>
    <w:basedOn w:val="1"/>
    <w:link w:val="19"/>
    <w:qFormat/>
    <w:uiPriority w:val="0"/>
    <w:rPr>
      <w:sz w:val="18"/>
      <w:szCs w:val="18"/>
    </w:rPr>
  </w:style>
  <w:style w:type="paragraph" w:styleId="9">
    <w:name w:val="footer"/>
    <w:basedOn w:val="1"/>
    <w:link w:val="20"/>
    <w:qFormat/>
    <w:uiPriority w:val="0"/>
    <w:pPr>
      <w:tabs>
        <w:tab w:val="center" w:pos="4153"/>
        <w:tab w:val="right" w:pos="8306"/>
      </w:tabs>
      <w:snapToGrid w:val="0"/>
      <w:jc w:val="left"/>
    </w:pPr>
    <w:rPr>
      <w:sz w:val="18"/>
      <w:szCs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2">
    <w:name w:val="annotation subject"/>
    <w:basedOn w:val="6"/>
    <w:next w:val="6"/>
    <w:link w:val="22"/>
    <w:qFormat/>
    <w:uiPriority w:val="0"/>
    <w:rPr>
      <w:b/>
      <w:bC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annotation reference"/>
    <w:qFormat/>
    <w:uiPriority w:val="0"/>
    <w:rPr>
      <w:sz w:val="21"/>
      <w:szCs w:val="21"/>
    </w:rPr>
  </w:style>
  <w:style w:type="character" w:customStyle="1" w:styleId="18">
    <w:name w:val="批注文字 Char"/>
    <w:link w:val="6"/>
    <w:qFormat/>
    <w:uiPriority w:val="0"/>
    <w:rPr>
      <w:kern w:val="2"/>
      <w:sz w:val="21"/>
      <w:szCs w:val="24"/>
    </w:rPr>
  </w:style>
  <w:style w:type="character" w:customStyle="1" w:styleId="19">
    <w:name w:val="批注框文本 Char"/>
    <w:link w:val="8"/>
    <w:qFormat/>
    <w:uiPriority w:val="0"/>
    <w:rPr>
      <w:kern w:val="2"/>
      <w:sz w:val="18"/>
      <w:szCs w:val="18"/>
    </w:rPr>
  </w:style>
  <w:style w:type="character" w:customStyle="1" w:styleId="20">
    <w:name w:val="页脚 Char"/>
    <w:link w:val="9"/>
    <w:qFormat/>
    <w:uiPriority w:val="0"/>
    <w:rPr>
      <w:kern w:val="2"/>
      <w:sz w:val="18"/>
      <w:szCs w:val="18"/>
    </w:rPr>
  </w:style>
  <w:style w:type="character" w:customStyle="1" w:styleId="21">
    <w:name w:val="页眉 Char"/>
    <w:link w:val="10"/>
    <w:qFormat/>
    <w:uiPriority w:val="0"/>
    <w:rPr>
      <w:kern w:val="2"/>
      <w:sz w:val="18"/>
      <w:szCs w:val="18"/>
    </w:rPr>
  </w:style>
  <w:style w:type="character" w:customStyle="1" w:styleId="22">
    <w:name w:val="批注主题 Char"/>
    <w:link w:val="12"/>
    <w:qFormat/>
    <w:uiPriority w:val="0"/>
    <w:rPr>
      <w:b/>
      <w:bCs/>
      <w:kern w:val="2"/>
      <w:sz w:val="21"/>
      <w:szCs w:val="24"/>
    </w:rPr>
  </w:style>
  <w:style w:type="paragraph" w:customStyle="1" w:styleId="23">
    <w:name w:val="Normal_4"/>
    <w:qFormat/>
    <w:uiPriority w:val="0"/>
    <w:rPr>
      <w:rFonts w:ascii="黑体" w:hAnsi="黑体" w:eastAsia="黑体" w:cs="Times New Roman"/>
      <w:b/>
      <w:sz w:val="32"/>
      <w:szCs w:val="24"/>
      <w:lang w:val="en-US" w:eastAsia="zh-CN" w:bidi="ar-SA"/>
    </w:rPr>
  </w:style>
  <w:style w:type="paragraph" w:customStyle="1" w:styleId="24">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5">
    <w:name w:val="正文_1_0"/>
    <w:qFormat/>
    <w:uiPriority w:val="0"/>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197</Words>
  <Characters>1129</Characters>
  <Lines>1</Lines>
  <Paragraphs>1</Paragraphs>
  <TotalTime>28</TotalTime>
  <ScaleCrop>false</ScaleCrop>
  <LinksUpToDate>false</LinksUpToDate>
  <CharactersWithSpaces>1324</CharactersWithSpaces>
  <Application>WPS Office WWO_wpscloud_20230920110637-dec0f19faa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2021-08-28T17:39:00Z</dcterms:created>
  <dc:creator>童晓蕾</dc:creator>
  <cp:lastModifiedBy>邱靖淇</cp:lastModifiedBy>
  <cp:lastPrinted>2020-04-18T00:32:00Z</cp:lastPrinted>
  <dcterms:modified xsi:type="dcterms:W3CDTF">2026-04-30T17:23:02Z</dcterms:modified>
  <dc:title>浙江工业大学屏峰校区体育馆灯光改造工程监理</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1A8BAB71C4F04AB48883876FC64B6D05</vt:lpwstr>
  </property>
</Properties>
</file>