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0F1243F">
      <w:pPr>
        <w:spacing w:line="360" w:lineRule="auto"/>
        <w:rPr>
          <w:rFonts w:hint="eastAsia" w:ascii="楷体" w:hAnsi="楷体" w:eastAsia="楷体"/>
          <w:b/>
          <w:sz w:val="72"/>
          <w:szCs w:val="72"/>
        </w:rPr>
      </w:pPr>
    </w:p>
    <w:p w14:paraId="21B46C8D">
      <w:pPr>
        <w:spacing w:line="360" w:lineRule="auto"/>
        <w:jc w:val="center"/>
        <w:rPr>
          <w:rFonts w:hint="default" w:ascii="楷体" w:hAnsi="楷体" w:eastAsia="楷体"/>
          <w:b/>
          <w:sz w:val="72"/>
          <w:szCs w:val="72"/>
          <w:lang w:val="en-US" w:eastAsia="zh-CN"/>
        </w:rPr>
      </w:pPr>
      <w:r>
        <w:rPr>
          <w:rFonts w:hint="eastAsia" w:ascii="楷体" w:hAnsi="楷体" w:eastAsia="楷体"/>
          <w:b/>
          <w:spacing w:val="-6"/>
          <w:sz w:val="52"/>
          <w:szCs w:val="52"/>
          <w:lang w:eastAsia="zh-CN"/>
        </w:rPr>
        <w:t>浙商银行股份有限公司潍坊分行同城支行弱电工程采购</w:t>
      </w:r>
      <w:r>
        <w:rPr>
          <w:rFonts w:hint="eastAsia" w:ascii="楷体" w:hAnsi="楷体" w:eastAsia="楷体"/>
          <w:b/>
          <w:spacing w:val="-6"/>
          <w:sz w:val="52"/>
          <w:szCs w:val="52"/>
          <w:lang w:val="en-US" w:eastAsia="zh-CN"/>
        </w:rPr>
        <w:t>项目</w:t>
      </w:r>
    </w:p>
    <w:p w14:paraId="267205E7">
      <w:pPr>
        <w:spacing w:line="360" w:lineRule="auto"/>
        <w:jc w:val="center"/>
        <w:rPr>
          <w:rFonts w:hint="eastAsia" w:ascii="楷体" w:hAnsi="楷体" w:eastAsia="楷体"/>
          <w:b/>
          <w:spacing w:val="-6"/>
          <w:sz w:val="72"/>
          <w:szCs w:val="72"/>
        </w:rPr>
      </w:pPr>
      <w:r>
        <w:rPr>
          <w:rFonts w:hint="eastAsia" w:ascii="楷体" w:hAnsi="楷体" w:eastAsia="楷体"/>
          <w:b/>
          <w:spacing w:val="-6"/>
          <w:sz w:val="72"/>
          <w:szCs w:val="72"/>
        </w:rPr>
        <w:t>招 标 文 件</w:t>
      </w:r>
    </w:p>
    <w:p w14:paraId="50E8FAE8">
      <w:pPr>
        <w:spacing w:line="360" w:lineRule="auto"/>
        <w:jc w:val="center"/>
        <w:rPr>
          <w:rFonts w:ascii="宋体" w:hAnsi="宋体" w:cs="宋体"/>
          <w:b/>
          <w:sz w:val="32"/>
          <w:szCs w:val="32"/>
        </w:rPr>
      </w:pPr>
      <w:r>
        <w:rPr>
          <w:rFonts w:hint="eastAsia" w:ascii="宋体" w:hAnsi="宋体" w:cs="宋体"/>
          <w:b/>
          <w:sz w:val="32"/>
          <w:szCs w:val="32"/>
        </w:rPr>
        <w:t>（公开招标）</w:t>
      </w:r>
    </w:p>
    <w:p w14:paraId="36489E5F">
      <w:pPr>
        <w:spacing w:line="360" w:lineRule="auto"/>
        <w:jc w:val="center"/>
        <w:rPr>
          <w:rFonts w:hint="eastAsia" w:ascii="宋体" w:hAnsi="宋体" w:cs="宋体"/>
          <w:b/>
          <w:sz w:val="32"/>
          <w:szCs w:val="32"/>
        </w:rPr>
      </w:pPr>
      <w:r>
        <w:rPr>
          <w:rFonts w:hint="eastAsia" w:ascii="宋体" w:hAnsi="宋体" w:cs="宋体"/>
          <w:b/>
          <w:sz w:val="32"/>
          <w:szCs w:val="32"/>
        </w:rPr>
        <w:t>（电子交易）</w:t>
      </w:r>
    </w:p>
    <w:p w14:paraId="49F851DF">
      <w:pPr>
        <w:spacing w:line="360" w:lineRule="auto"/>
        <w:jc w:val="center"/>
        <w:rPr>
          <w:rFonts w:ascii="宋体" w:hAnsi="宋体" w:cs="宋体"/>
          <w:b/>
          <w:sz w:val="32"/>
          <w:szCs w:val="32"/>
        </w:rPr>
      </w:pPr>
    </w:p>
    <w:p w14:paraId="316976A0">
      <w:pPr>
        <w:pStyle w:val="23"/>
      </w:pPr>
    </w:p>
    <w:p w14:paraId="2DED1252"/>
    <w:p w14:paraId="161D9222">
      <w:pPr>
        <w:pStyle w:val="23"/>
      </w:pPr>
    </w:p>
    <w:p w14:paraId="1F53AF68">
      <w:pPr>
        <w:rPr>
          <w:rFonts w:hint="eastAsia"/>
        </w:rPr>
      </w:pPr>
    </w:p>
    <w:p w14:paraId="62F771B7">
      <w:pPr>
        <w:spacing w:line="360" w:lineRule="auto"/>
        <w:ind w:firstLine="1446" w:firstLineChars="500"/>
        <w:rPr>
          <w:rFonts w:hint="default" w:ascii="楷体" w:hAnsi="楷体" w:eastAsia="楷体"/>
          <w:b/>
          <w:spacing w:val="-6"/>
          <w:sz w:val="30"/>
          <w:szCs w:val="30"/>
          <w:lang w:val="en-US" w:eastAsia="zh-CN"/>
        </w:rPr>
      </w:pPr>
      <w:r>
        <w:rPr>
          <w:rFonts w:hint="eastAsia" w:ascii="楷体" w:hAnsi="楷体" w:eastAsia="楷体"/>
          <w:b/>
          <w:spacing w:val="-6"/>
          <w:sz w:val="30"/>
          <w:szCs w:val="30"/>
        </w:rPr>
        <w:t>项目名称：</w:t>
      </w:r>
      <w:r>
        <w:rPr>
          <w:rFonts w:hint="eastAsia" w:ascii="楷体" w:hAnsi="楷体" w:eastAsia="楷体"/>
          <w:b/>
          <w:spacing w:val="-6"/>
          <w:sz w:val="30"/>
          <w:szCs w:val="30"/>
          <w:lang w:eastAsia="zh-CN"/>
        </w:rPr>
        <w:t>浙商银行股份有限公司潍坊分行同城支行弱电工程采购</w:t>
      </w:r>
      <w:r>
        <w:rPr>
          <w:rFonts w:hint="eastAsia" w:ascii="楷体" w:hAnsi="楷体" w:eastAsia="楷体"/>
          <w:b/>
          <w:spacing w:val="-6"/>
          <w:sz w:val="30"/>
          <w:szCs w:val="30"/>
          <w:lang w:val="en-US" w:eastAsia="zh-CN"/>
        </w:rPr>
        <w:t>项目</w:t>
      </w:r>
    </w:p>
    <w:p w14:paraId="1146FD97">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项目编号：</w:t>
      </w:r>
      <w:r>
        <w:rPr>
          <w:rFonts w:hint="eastAsia" w:ascii="楷体" w:hAnsi="楷体" w:eastAsia="楷体"/>
          <w:b/>
          <w:spacing w:val="-6"/>
          <w:sz w:val="30"/>
          <w:szCs w:val="30"/>
          <w:lang w:eastAsia="zh-CN"/>
        </w:rPr>
        <w:t>JNJC2025HQGKb018</w:t>
      </w:r>
    </w:p>
    <w:p w14:paraId="5C812C50">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招 标 人：浙商银行股份有限公司</w:t>
      </w:r>
      <w:r>
        <w:rPr>
          <w:rFonts w:hint="eastAsia" w:ascii="楷体" w:hAnsi="楷体" w:eastAsia="楷体"/>
          <w:b/>
          <w:spacing w:val="-6"/>
          <w:sz w:val="30"/>
          <w:szCs w:val="30"/>
          <w:lang w:val="en-US" w:eastAsia="zh-CN"/>
        </w:rPr>
        <w:t>济南</w:t>
      </w:r>
      <w:r>
        <w:rPr>
          <w:rFonts w:hint="eastAsia" w:ascii="楷体" w:hAnsi="楷体" w:eastAsia="楷体"/>
          <w:b/>
          <w:spacing w:val="-6"/>
          <w:sz w:val="30"/>
          <w:szCs w:val="30"/>
          <w:lang w:eastAsia="zh-CN"/>
        </w:rPr>
        <w:t>分行</w:t>
      </w:r>
    </w:p>
    <w:p w14:paraId="7229CD82">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招标代理机构：</w:t>
      </w:r>
      <w:r>
        <w:rPr>
          <w:rFonts w:hint="eastAsia" w:ascii="楷体" w:hAnsi="楷体" w:eastAsia="楷体"/>
          <w:b/>
          <w:spacing w:val="-6"/>
          <w:sz w:val="30"/>
          <w:szCs w:val="30"/>
          <w:lang w:val="en-US" w:eastAsia="zh-CN"/>
        </w:rPr>
        <w:t>公诚管理咨询有限公司</w:t>
      </w:r>
    </w:p>
    <w:p w14:paraId="3862BA45">
      <w:pPr>
        <w:pStyle w:val="17"/>
        <w:spacing w:before="0" w:beforeLines="0" w:after="0" w:afterLines="0" w:line="288" w:lineRule="auto"/>
        <w:rPr>
          <w:rFonts w:hint="eastAsia" w:ascii="楷体" w:hAnsi="楷体" w:eastAsia="楷体"/>
          <w:b/>
          <w:sz w:val="21"/>
          <w:szCs w:val="21"/>
        </w:rPr>
      </w:pPr>
    </w:p>
    <w:p w14:paraId="75C3E0AB">
      <w:pPr>
        <w:adjustRightInd w:val="0"/>
        <w:spacing w:line="360" w:lineRule="auto"/>
        <w:jc w:val="center"/>
        <w:rPr>
          <w:rFonts w:ascii="宋体" w:hAnsi="宋体" w:cs="宋体"/>
          <w:b/>
          <w:sz w:val="36"/>
        </w:rPr>
      </w:pPr>
      <w:r>
        <w:rPr>
          <w:rFonts w:hint="eastAsia" w:ascii="楷体" w:hAnsi="楷体" w:eastAsia="楷体"/>
          <w:b/>
          <w:sz w:val="21"/>
          <w:szCs w:val="21"/>
        </w:rPr>
        <w:br w:type="page"/>
      </w:r>
      <w:r>
        <w:rPr>
          <w:rFonts w:hint="eastAsia" w:ascii="宋体" w:hAnsi="宋体" w:cs="宋体"/>
          <w:b/>
          <w:sz w:val="36"/>
        </w:rPr>
        <w:t>电子交易说明</w:t>
      </w:r>
    </w:p>
    <w:p w14:paraId="792802EF">
      <w:pPr>
        <w:adjustRightInd w:val="0"/>
        <w:spacing w:line="360" w:lineRule="auto"/>
        <w:jc w:val="center"/>
        <w:rPr>
          <w:rFonts w:hint="eastAsia" w:ascii="宋体" w:hAnsi="宋体" w:cs="宋体"/>
          <w:b/>
          <w:sz w:val="36"/>
        </w:rPr>
      </w:pPr>
    </w:p>
    <w:p w14:paraId="7675CE8B">
      <w:pPr>
        <w:spacing w:line="360" w:lineRule="auto"/>
        <w:ind w:firstLine="482" w:firstLineChars="200"/>
        <w:rPr>
          <w:rFonts w:hint="eastAsia" w:ascii="宋体" w:hAnsi="宋体" w:cs="宋体"/>
          <w:sz w:val="24"/>
        </w:rPr>
      </w:pPr>
      <w:r>
        <w:rPr>
          <w:rFonts w:hint="eastAsia" w:ascii="宋体" w:hAnsi="宋体" w:cs="宋体"/>
          <w:b/>
          <w:bCs/>
          <w:sz w:val="24"/>
        </w:rPr>
        <w:t>电子交易：</w:t>
      </w:r>
      <w:r>
        <w:rPr>
          <w:rFonts w:hint="eastAsia" w:ascii="宋体" w:hAnsi="宋体" w:cs="宋体"/>
          <w:sz w:val="24"/>
        </w:rPr>
        <w:t>以数据电文形式，依托“浙商银行数智采购平台（https://ccgp.szcgpt.czbank.com/）”进行招投标活动，不接受纸质投标文件。</w:t>
      </w:r>
    </w:p>
    <w:p w14:paraId="0D1F1313">
      <w:pPr>
        <w:spacing w:line="360" w:lineRule="auto"/>
        <w:ind w:firstLine="482" w:firstLineChars="200"/>
        <w:rPr>
          <w:rFonts w:hint="eastAsia" w:ascii="宋体" w:hAnsi="宋体" w:cs="宋体"/>
          <w:sz w:val="24"/>
        </w:rPr>
      </w:pPr>
      <w:r>
        <w:rPr>
          <w:rFonts w:hint="eastAsia" w:ascii="宋体" w:hAnsi="宋体" w:cs="宋体"/>
          <w:b/>
          <w:bCs/>
          <w:sz w:val="24"/>
        </w:rPr>
        <w:t>投标准备：</w:t>
      </w:r>
      <w:r>
        <w:rPr>
          <w:rFonts w:hint="eastAsia" w:ascii="宋体" w:hAnsi="宋体" w:cs="宋体"/>
          <w:sz w:val="24"/>
        </w:rPr>
        <w:t>注册账号--点击“供应商注册”，进行采购供应商资料填写；申领CA数字证书--申领流程详见“浙商银行数智采购平台CA申领使用操作手册”；安装“浙商银行数智采购一体化管理投标客户端”</w:t>
      </w:r>
      <w:bookmarkStart w:id="0" w:name="_Hlk184908641"/>
      <w:r>
        <w:rPr>
          <w:rFonts w:hint="eastAsia" w:ascii="宋体" w:hAnsi="宋体" w:cs="宋体"/>
          <w:sz w:val="24"/>
        </w:rPr>
        <w:t>--前往“浙商银行数智采购平台-帮助中心-资料下载-浙商银行数智采购一体化管理投标客户端下载”进行下载并安装。</w:t>
      </w:r>
    </w:p>
    <w:bookmarkEnd w:id="0"/>
    <w:p w14:paraId="21485063">
      <w:pPr>
        <w:spacing w:line="360" w:lineRule="auto"/>
        <w:ind w:firstLine="482" w:firstLineChars="200"/>
        <w:rPr>
          <w:rFonts w:hint="eastAsia" w:ascii="宋体" w:hAnsi="宋体" w:cs="宋体"/>
          <w:sz w:val="24"/>
        </w:rPr>
      </w:pPr>
      <w:r>
        <w:rPr>
          <w:rFonts w:hint="eastAsia" w:ascii="宋体" w:hAnsi="宋体" w:cs="宋体"/>
          <w:b/>
          <w:bCs/>
          <w:sz w:val="24"/>
        </w:rPr>
        <w:t>招标文件的获取：</w:t>
      </w:r>
      <w:r>
        <w:rPr>
          <w:rFonts w:hint="eastAsia" w:ascii="宋体" w:hAnsi="宋体" w:cs="宋体"/>
          <w:sz w:val="24"/>
        </w:rPr>
        <w:t>使用账号登录或者使用CA登录浙商银行数智采购平台；进入“项目采购”应用，在获取采购文件菜单中选择项目，获取招标文件。</w:t>
      </w:r>
    </w:p>
    <w:p w14:paraId="5EADBE2B">
      <w:pPr>
        <w:spacing w:line="360" w:lineRule="auto"/>
        <w:ind w:firstLine="482" w:firstLineChars="200"/>
        <w:rPr>
          <w:rFonts w:hint="eastAsia" w:ascii="宋体" w:hAnsi="宋体" w:cs="宋体"/>
          <w:sz w:val="24"/>
        </w:rPr>
      </w:pPr>
      <w:r>
        <w:rPr>
          <w:rFonts w:hint="eastAsia" w:ascii="宋体" w:hAnsi="宋体" w:cs="宋体"/>
          <w:b/>
          <w:bCs/>
          <w:sz w:val="24"/>
        </w:rPr>
        <w:t>投标文件的制作：</w:t>
      </w:r>
      <w:r>
        <w:rPr>
          <w:rFonts w:hint="eastAsia" w:ascii="宋体" w:hAnsi="宋体" w:cs="宋体"/>
          <w:sz w:val="24"/>
        </w:rPr>
        <w:t>在“浙商银行数智采购一体化管理投标客户端”中完成“填写基本信息”、“导入投标文件”、“标书关联”、“标书检查”、“电子签名”、“生成电子标书”等操作。</w:t>
      </w:r>
    </w:p>
    <w:p w14:paraId="190CC8C8">
      <w:pPr>
        <w:spacing w:line="360" w:lineRule="auto"/>
        <w:ind w:firstLine="482" w:firstLineChars="200"/>
        <w:rPr>
          <w:rFonts w:ascii="宋体" w:hAnsi="宋体" w:cs="宋体"/>
          <w:sz w:val="24"/>
        </w:rPr>
      </w:pPr>
      <w:r>
        <w:rPr>
          <w:rFonts w:hint="eastAsia" w:ascii="宋体" w:hAnsi="宋体" w:cs="宋体"/>
          <w:b/>
          <w:bCs/>
          <w:sz w:val="24"/>
        </w:rPr>
        <w:t>投标文件的传输递交：</w:t>
      </w:r>
      <w:r>
        <w:rPr>
          <w:rFonts w:hint="eastAsia" w:ascii="宋体" w:hAnsi="宋体" w:cs="宋体"/>
          <w:sz w:val="24"/>
        </w:rPr>
        <w:t>投标人在投标截止时间前将加密的投标文件上传至浙商银行数智采购平台。</w:t>
      </w:r>
    </w:p>
    <w:p w14:paraId="5E2FDE64">
      <w:pPr>
        <w:pStyle w:val="8"/>
        <w:spacing w:line="360" w:lineRule="auto"/>
        <w:ind w:firstLine="480"/>
        <w:rPr>
          <w:rFonts w:hint="eastAsia" w:hAnsi="宋体" w:cs="宋体"/>
          <w:bCs/>
          <w:sz w:val="24"/>
          <w:szCs w:val="24"/>
        </w:rPr>
      </w:pPr>
      <w:r>
        <w:rPr>
          <w:rFonts w:hint="eastAsia" w:hAnsi="宋体" w:cs="宋体"/>
          <w:bCs/>
          <w:sz w:val="24"/>
          <w:szCs w:val="24"/>
        </w:rPr>
        <w:t>“电子备份投标文件”是指与“电子加密投标文件”同时生成的数据电文形式的投标文件。投标人在电子交易平台上传“电子加密投标文件”后，还可以邮寄或送达的方式在投标截止时间前提交以介质（U盘）存储的“电子备份投标文件”。“电子备份投标文件”应当密封包装并在包装上标注采购项目编号、项目名称、投标单位名称等并加盖公章。</w:t>
      </w:r>
    </w:p>
    <w:p w14:paraId="4FADB006">
      <w:pPr>
        <w:spacing w:line="360" w:lineRule="auto"/>
        <w:ind w:firstLine="482" w:firstLineChars="200"/>
        <w:rPr>
          <w:rFonts w:hint="eastAsia" w:ascii="宋体" w:hAnsi="宋体" w:cs="宋体"/>
          <w:sz w:val="24"/>
        </w:rPr>
      </w:pPr>
      <w:r>
        <w:rPr>
          <w:rFonts w:hint="eastAsia" w:ascii="宋体" w:hAnsi="宋体" w:cs="宋体"/>
          <w:b/>
          <w:bCs/>
          <w:sz w:val="24"/>
        </w:rPr>
        <w:t>投标文件的解密：</w:t>
      </w:r>
      <w:r>
        <w:rPr>
          <w:rFonts w:hint="eastAsia" w:ascii="宋体" w:hAnsi="宋体" w:cs="宋体"/>
          <w:sz w:val="24"/>
        </w:rPr>
        <w:t>投标人按照平台提示和招标文件的规定在半小时内完成在线解密。通过“浙商银行数智采购平台”上传递交的投标文件无法按时解密，投标人递交了电子备份投标文件的，以电子备份投标文件为依据，否则视为投标文件撤回。通过“浙商银行数智采购平台”上传递交的投标文件已按时解密的，电子备份投标文件自动失效。</w:t>
      </w:r>
      <w:r>
        <w:rPr>
          <w:rFonts w:hint="eastAsia" w:ascii="宋体" w:hAnsi="宋体" w:cs="宋体"/>
          <w:b/>
          <w:bCs/>
          <w:sz w:val="24"/>
        </w:rPr>
        <w:t>投标人仅提交电子备份投标文件，没有在电子交易平台传输递交投标文件的，投标无效。</w:t>
      </w:r>
    </w:p>
    <w:p w14:paraId="48B70903">
      <w:pPr>
        <w:spacing w:line="360" w:lineRule="auto"/>
        <w:ind w:firstLine="482" w:firstLineChars="200"/>
        <w:rPr>
          <w:rFonts w:hint="eastAsia" w:ascii="宋体" w:hAnsi="宋体" w:cs="宋体"/>
          <w:b/>
          <w:bCs/>
          <w:sz w:val="24"/>
        </w:rPr>
      </w:pPr>
      <w:r>
        <w:rPr>
          <w:rFonts w:hint="eastAsia" w:ascii="宋体" w:hAnsi="宋体" w:cs="宋体"/>
          <w:b/>
          <w:bCs/>
          <w:sz w:val="24"/>
        </w:rPr>
        <w:t>电子交易活动的中止</w:t>
      </w:r>
    </w:p>
    <w:p w14:paraId="355FEA8C">
      <w:pPr>
        <w:spacing w:line="360" w:lineRule="auto"/>
        <w:ind w:firstLine="480" w:firstLineChars="200"/>
        <w:rPr>
          <w:rFonts w:hint="eastAsia" w:ascii="宋体" w:hAnsi="宋体" w:cs="宋体"/>
          <w:sz w:val="24"/>
        </w:rPr>
      </w:pPr>
      <w:r>
        <w:rPr>
          <w:rFonts w:hint="eastAsia" w:ascii="宋体" w:hAnsi="宋体" w:cs="宋体"/>
          <w:sz w:val="24"/>
        </w:rPr>
        <w:t>1.招标过程中出现以下情形，导致电子交易平台无法正常运行，或者无法保证电子交易的公平、公正和安全时，可中止电子交易活动：</w:t>
      </w:r>
    </w:p>
    <w:p w14:paraId="32E69E2A">
      <w:pPr>
        <w:spacing w:line="360" w:lineRule="auto"/>
        <w:ind w:firstLine="480" w:firstLineChars="200"/>
        <w:rPr>
          <w:rFonts w:hint="eastAsia" w:ascii="宋体" w:hAnsi="宋体" w:cs="宋体"/>
          <w:sz w:val="24"/>
        </w:rPr>
      </w:pPr>
      <w:r>
        <w:rPr>
          <w:rFonts w:hint="eastAsia" w:ascii="宋体" w:hAnsi="宋体" w:cs="宋体"/>
          <w:sz w:val="24"/>
        </w:rPr>
        <w:t xml:space="preserve">1.1电子交易平台发生故障而无法登录访问的； </w:t>
      </w:r>
    </w:p>
    <w:p w14:paraId="51CB4EFC">
      <w:pPr>
        <w:spacing w:line="360" w:lineRule="auto"/>
        <w:ind w:firstLine="480" w:firstLineChars="200"/>
        <w:rPr>
          <w:rFonts w:hint="eastAsia" w:ascii="宋体" w:hAnsi="宋体" w:cs="宋体"/>
          <w:sz w:val="24"/>
        </w:rPr>
      </w:pPr>
      <w:r>
        <w:rPr>
          <w:rFonts w:hint="eastAsia" w:ascii="宋体" w:hAnsi="宋体" w:cs="宋体"/>
          <w:sz w:val="24"/>
        </w:rPr>
        <w:t>1.2电子交易平台应用或数据库出现错误，不能进行正常操作的；</w:t>
      </w:r>
    </w:p>
    <w:p w14:paraId="418ED17A">
      <w:pPr>
        <w:spacing w:line="360" w:lineRule="auto"/>
        <w:ind w:firstLine="480" w:firstLineChars="200"/>
        <w:rPr>
          <w:rFonts w:hint="eastAsia" w:ascii="宋体" w:hAnsi="宋体" w:cs="宋体"/>
          <w:sz w:val="24"/>
        </w:rPr>
      </w:pPr>
      <w:r>
        <w:rPr>
          <w:rFonts w:hint="eastAsia" w:ascii="宋体" w:hAnsi="宋体" w:cs="宋体"/>
          <w:sz w:val="24"/>
        </w:rPr>
        <w:t>1.3电子交易平台发现严重安全漏洞，有潜在泄密危险的；</w:t>
      </w:r>
    </w:p>
    <w:p w14:paraId="00118BC5">
      <w:pPr>
        <w:spacing w:line="360" w:lineRule="auto"/>
        <w:ind w:firstLine="480" w:firstLineChars="200"/>
        <w:rPr>
          <w:rFonts w:hint="eastAsia" w:ascii="宋体" w:hAnsi="宋体" w:cs="宋体"/>
          <w:sz w:val="24"/>
        </w:rPr>
      </w:pPr>
      <w:r>
        <w:rPr>
          <w:rFonts w:hint="eastAsia" w:ascii="宋体" w:hAnsi="宋体" w:cs="宋体"/>
          <w:sz w:val="24"/>
        </w:rPr>
        <w:t xml:space="preserve">1.4病毒发作导致不能进行正常操作的； </w:t>
      </w:r>
    </w:p>
    <w:p w14:paraId="4C35647C">
      <w:pPr>
        <w:spacing w:line="360" w:lineRule="auto"/>
        <w:ind w:firstLine="480" w:firstLineChars="200"/>
        <w:rPr>
          <w:rFonts w:hint="eastAsia" w:ascii="宋体" w:hAnsi="宋体" w:cs="宋体"/>
          <w:sz w:val="24"/>
        </w:rPr>
      </w:pPr>
      <w:r>
        <w:rPr>
          <w:rFonts w:hint="eastAsia" w:ascii="宋体" w:hAnsi="宋体" w:cs="宋体"/>
          <w:sz w:val="24"/>
        </w:rPr>
        <w:t>1.5其他无法保证电子交易的公平、公正和安全的情况。</w:t>
      </w:r>
    </w:p>
    <w:p w14:paraId="038863A5">
      <w:pPr>
        <w:spacing w:line="360" w:lineRule="auto"/>
        <w:ind w:firstLine="480" w:firstLineChars="200"/>
        <w:rPr>
          <w:rFonts w:hint="eastAsia" w:ascii="宋体" w:hAnsi="宋体" w:cs="宋体"/>
          <w:sz w:val="24"/>
        </w:rPr>
      </w:pPr>
      <w:r>
        <w:rPr>
          <w:rFonts w:hint="eastAsia" w:ascii="宋体" w:hAnsi="宋体" w:cs="宋体"/>
          <w:sz w:val="24"/>
        </w:rPr>
        <w:t>2.出现以上情形，不影响采购公平、公正性的，可以待上述情形消除后继续组织电子交易活动，也可以决定某些环节以纸质形式进行；影响或可能影响采购公平、公正性的，应当重新组织招标。</w:t>
      </w:r>
    </w:p>
    <w:p w14:paraId="58834FA0">
      <w:pPr>
        <w:spacing w:line="360" w:lineRule="auto"/>
        <w:ind w:firstLine="482" w:firstLineChars="200"/>
        <w:rPr>
          <w:rFonts w:ascii="宋体" w:hAnsi="宋体" w:cs="宋体"/>
          <w:sz w:val="24"/>
        </w:rPr>
      </w:pPr>
      <w:r>
        <w:rPr>
          <w:rFonts w:hint="eastAsia" w:ascii="宋体" w:hAnsi="宋体" w:cs="宋体"/>
          <w:b/>
          <w:bCs/>
          <w:sz w:val="24"/>
        </w:rPr>
        <w:t>具体操作指南：</w:t>
      </w:r>
      <w:r>
        <w:rPr>
          <w:rFonts w:hint="eastAsia" w:ascii="宋体" w:hAnsi="宋体" w:cs="宋体"/>
          <w:sz w:val="24"/>
        </w:rPr>
        <w:t>详见浙商银行数智采购平台“帮助中心-资料下载-浙商银行数智采购平台供应商操作手册”。</w:t>
      </w:r>
    </w:p>
    <w:p w14:paraId="3E0A0561">
      <w:pPr>
        <w:spacing w:line="360" w:lineRule="auto"/>
        <w:ind w:firstLine="482" w:firstLineChars="200"/>
        <w:rPr>
          <w:rFonts w:ascii="宋体" w:hAnsi="宋体" w:cs="宋体"/>
          <w:b/>
          <w:bCs/>
          <w:sz w:val="24"/>
        </w:rPr>
      </w:pPr>
      <w:r>
        <w:rPr>
          <w:rFonts w:hint="eastAsia" w:ascii="宋体" w:hAnsi="宋体" w:cs="宋体"/>
          <w:b/>
          <w:bCs/>
          <w:sz w:val="24"/>
        </w:rPr>
        <w:t>浙商银行数智采购平台技术咨询电话：95763。</w:t>
      </w:r>
    </w:p>
    <w:p w14:paraId="59E896AB">
      <w:pPr>
        <w:pStyle w:val="17"/>
        <w:spacing w:before="0" w:beforeLines="0" w:after="0" w:afterLines="0" w:line="288" w:lineRule="auto"/>
        <w:ind w:firstLine="482" w:firstLineChars="200"/>
        <w:rPr>
          <w:rFonts w:hAnsi="宋体" w:cs="宋体"/>
          <w:b/>
          <w:bCs/>
        </w:rPr>
      </w:pPr>
      <w:r>
        <w:rPr>
          <w:rFonts w:hint="eastAsia" w:hAnsi="宋体" w:cs="宋体"/>
          <w:b/>
          <w:bCs/>
        </w:rPr>
        <w:t>CA问题联系电话（人工）：汇信CA 400-888-4636；天谷CA 400-087-8198。</w:t>
      </w:r>
    </w:p>
    <w:p w14:paraId="63759486">
      <w:pPr>
        <w:pStyle w:val="17"/>
        <w:spacing w:before="0" w:beforeLines="0" w:after="0" w:afterLines="0" w:line="288" w:lineRule="auto"/>
        <w:rPr>
          <w:rFonts w:hint="eastAsia" w:ascii="楷体" w:hAnsi="楷体" w:eastAsia="楷体"/>
          <w:b/>
          <w:sz w:val="21"/>
          <w:szCs w:val="21"/>
        </w:rPr>
        <w:sectPr>
          <w:headerReference r:id="rId3" w:type="default"/>
          <w:footerReference r:id="rId4" w:type="default"/>
          <w:pgSz w:w="11906" w:h="16838"/>
          <w:pgMar w:top="1440" w:right="1247" w:bottom="1440" w:left="1247" w:header="283" w:footer="850" w:gutter="0"/>
          <w:cols w:space="720" w:num="1"/>
          <w:docGrid w:linePitch="381" w:charSpace="0"/>
        </w:sectPr>
      </w:pPr>
    </w:p>
    <w:p w14:paraId="5D450422">
      <w:pPr>
        <w:pStyle w:val="17"/>
        <w:spacing w:before="0" w:beforeLines="0" w:after="0" w:afterLines="0" w:line="288" w:lineRule="auto"/>
        <w:rPr>
          <w:rFonts w:hint="eastAsia" w:ascii="楷体" w:hAnsi="楷体" w:eastAsia="楷体"/>
          <w:b/>
          <w:sz w:val="21"/>
          <w:szCs w:val="21"/>
        </w:rPr>
      </w:pPr>
    </w:p>
    <w:p w14:paraId="22F8C644">
      <w:pPr>
        <w:pStyle w:val="17"/>
        <w:spacing w:before="0" w:beforeLines="0" w:after="0" w:afterLines="0" w:line="480" w:lineRule="auto"/>
        <w:jc w:val="center"/>
        <w:outlineLvl w:val="0"/>
        <w:rPr>
          <w:rFonts w:hint="eastAsia" w:ascii="楷体" w:hAnsi="楷体" w:eastAsia="楷体"/>
          <w:b/>
          <w:sz w:val="30"/>
          <w:szCs w:val="30"/>
        </w:rPr>
      </w:pPr>
      <w:r>
        <w:rPr>
          <w:rFonts w:ascii="楷体" w:hAnsi="楷体" w:eastAsia="楷体"/>
          <w:b/>
          <w:sz w:val="30"/>
          <w:szCs w:val="30"/>
        </w:rPr>
        <w:t>目</w:t>
      </w:r>
      <w:r>
        <w:rPr>
          <w:rFonts w:hint="eastAsia" w:ascii="楷体" w:hAnsi="楷体" w:eastAsia="楷体"/>
          <w:b/>
          <w:sz w:val="30"/>
          <w:szCs w:val="30"/>
        </w:rPr>
        <w:t xml:space="preserve">    </w:t>
      </w:r>
      <w:r>
        <w:rPr>
          <w:rFonts w:ascii="楷体" w:hAnsi="楷体" w:eastAsia="楷体"/>
          <w:b/>
          <w:sz w:val="30"/>
          <w:szCs w:val="30"/>
        </w:rPr>
        <w:t>录</w:t>
      </w:r>
    </w:p>
    <w:p w14:paraId="78FA9F3C">
      <w:pPr>
        <w:spacing w:before="120" w:beforeLines="50" w:line="288" w:lineRule="auto"/>
        <w:ind w:left="742"/>
        <w:outlineLvl w:val="9"/>
        <w:rPr>
          <w:rFonts w:ascii="楷体" w:hAnsi="楷体" w:eastAsia="楷体"/>
          <w:b/>
          <w:spacing w:val="-6"/>
          <w:sz w:val="30"/>
          <w:szCs w:val="30"/>
        </w:rPr>
      </w:pPr>
      <w:r>
        <w:rPr>
          <w:rFonts w:hint="eastAsia" w:ascii="楷体" w:hAnsi="楷体" w:eastAsia="楷体"/>
          <w:b/>
          <w:spacing w:val="-6"/>
          <w:sz w:val="30"/>
          <w:szCs w:val="30"/>
        </w:rPr>
        <w:t>第一章  招标公告</w:t>
      </w:r>
    </w:p>
    <w:p w14:paraId="1658DF98">
      <w:pPr>
        <w:spacing w:before="120" w:beforeLines="50" w:line="288" w:lineRule="auto"/>
        <w:ind w:left="164" w:firstLine="578" w:firstLineChars="200"/>
        <w:outlineLvl w:val="9"/>
        <w:rPr>
          <w:rFonts w:hint="eastAsia" w:ascii="楷体" w:hAnsi="楷体" w:eastAsia="楷体"/>
          <w:b/>
          <w:spacing w:val="-6"/>
          <w:sz w:val="30"/>
          <w:szCs w:val="30"/>
        </w:rPr>
      </w:pPr>
      <w:r>
        <w:rPr>
          <w:rFonts w:hint="eastAsia" w:ascii="楷体" w:hAnsi="楷体" w:eastAsia="楷体"/>
          <w:b/>
          <w:spacing w:val="-6"/>
          <w:sz w:val="30"/>
          <w:szCs w:val="30"/>
        </w:rPr>
        <w:t>第二章  投标人须知</w:t>
      </w:r>
    </w:p>
    <w:p w14:paraId="29054BA3">
      <w:pPr>
        <w:spacing w:before="120" w:beforeLines="50" w:line="288" w:lineRule="auto"/>
        <w:ind w:left="164" w:firstLine="578" w:firstLineChars="200"/>
        <w:outlineLvl w:val="9"/>
        <w:rPr>
          <w:rFonts w:hint="eastAsia" w:ascii="楷体" w:hAnsi="楷体" w:eastAsia="楷体"/>
          <w:b/>
          <w:spacing w:val="-6"/>
          <w:sz w:val="30"/>
          <w:szCs w:val="30"/>
        </w:rPr>
      </w:pPr>
      <w:r>
        <w:rPr>
          <w:rFonts w:hint="eastAsia" w:ascii="楷体" w:hAnsi="楷体" w:eastAsia="楷体"/>
          <w:b/>
          <w:spacing w:val="-6"/>
          <w:sz w:val="30"/>
          <w:szCs w:val="30"/>
        </w:rPr>
        <w:t>第三章  招标需求</w:t>
      </w:r>
    </w:p>
    <w:p w14:paraId="116B0EA7">
      <w:pPr>
        <w:spacing w:before="120" w:beforeLines="50" w:line="288" w:lineRule="auto"/>
        <w:ind w:left="164" w:firstLine="578" w:firstLineChars="200"/>
        <w:outlineLvl w:val="9"/>
        <w:rPr>
          <w:rFonts w:hint="eastAsia" w:ascii="楷体" w:hAnsi="楷体" w:eastAsia="楷体"/>
          <w:b/>
          <w:spacing w:val="-6"/>
          <w:sz w:val="30"/>
          <w:szCs w:val="30"/>
        </w:rPr>
      </w:pPr>
      <w:r>
        <w:rPr>
          <w:rFonts w:hint="eastAsia" w:ascii="楷体" w:hAnsi="楷体" w:eastAsia="楷体"/>
          <w:b/>
          <w:spacing w:val="-6"/>
          <w:sz w:val="30"/>
          <w:szCs w:val="30"/>
        </w:rPr>
        <w:t>第四章  评标办法及评分标准</w:t>
      </w:r>
    </w:p>
    <w:p w14:paraId="7B05FD1B">
      <w:pPr>
        <w:spacing w:before="120" w:beforeLines="50" w:line="288" w:lineRule="auto"/>
        <w:ind w:left="164" w:firstLine="578" w:firstLineChars="200"/>
        <w:outlineLvl w:val="9"/>
        <w:rPr>
          <w:rFonts w:hint="eastAsia" w:ascii="楷体" w:hAnsi="楷体" w:eastAsia="楷体"/>
          <w:b/>
          <w:spacing w:val="-6"/>
          <w:sz w:val="30"/>
          <w:szCs w:val="30"/>
        </w:rPr>
      </w:pPr>
      <w:r>
        <w:rPr>
          <w:rFonts w:hint="eastAsia" w:ascii="楷体" w:hAnsi="楷体" w:eastAsia="楷体"/>
          <w:b/>
          <w:spacing w:val="-6"/>
          <w:sz w:val="30"/>
          <w:szCs w:val="30"/>
        </w:rPr>
        <w:t>第五章  拟签订合同的主要条款</w:t>
      </w:r>
    </w:p>
    <w:p w14:paraId="4CF6C5EB">
      <w:pPr>
        <w:spacing w:before="120" w:beforeLines="50" w:line="288" w:lineRule="auto"/>
        <w:ind w:left="164" w:firstLine="578" w:firstLineChars="200"/>
        <w:outlineLvl w:val="9"/>
        <w:rPr>
          <w:rFonts w:ascii="楷体" w:hAnsi="楷体" w:eastAsia="楷体"/>
          <w:b/>
          <w:spacing w:val="-6"/>
          <w:sz w:val="30"/>
          <w:szCs w:val="30"/>
        </w:rPr>
      </w:pPr>
      <w:r>
        <w:rPr>
          <w:rFonts w:hint="eastAsia" w:ascii="楷体" w:hAnsi="楷体" w:eastAsia="楷体"/>
          <w:b/>
          <w:spacing w:val="-6"/>
          <w:sz w:val="30"/>
          <w:szCs w:val="30"/>
        </w:rPr>
        <w:t>第六章  投标文件格式</w:t>
      </w:r>
    </w:p>
    <w:p w14:paraId="405C73DD">
      <w:pPr>
        <w:pStyle w:val="17"/>
        <w:spacing w:before="0" w:beforeLines="0" w:after="0" w:afterLines="0" w:line="288" w:lineRule="auto"/>
        <w:jc w:val="center"/>
        <w:outlineLvl w:val="0"/>
        <w:rPr>
          <w:rFonts w:hAnsi="宋体"/>
          <w:b/>
          <w:spacing w:val="-6"/>
          <w:sz w:val="32"/>
          <w:szCs w:val="32"/>
        </w:rPr>
        <w:sectPr>
          <w:footerReference r:id="rId5" w:type="default"/>
          <w:pgSz w:w="11906" w:h="16838"/>
          <w:pgMar w:top="1440" w:right="1247" w:bottom="1440" w:left="1247" w:header="283" w:footer="850" w:gutter="0"/>
          <w:cols w:space="720" w:num="1"/>
          <w:docGrid w:linePitch="381" w:charSpace="0"/>
        </w:sectPr>
      </w:pPr>
    </w:p>
    <w:p w14:paraId="64EE3955">
      <w:pPr>
        <w:pStyle w:val="17"/>
        <w:spacing w:before="0" w:beforeLines="0" w:after="0" w:afterLines="0" w:line="288" w:lineRule="auto"/>
        <w:jc w:val="center"/>
        <w:outlineLvl w:val="0"/>
        <w:rPr>
          <w:rFonts w:hAnsi="宋体"/>
          <w:b/>
          <w:spacing w:val="-6"/>
          <w:sz w:val="32"/>
          <w:szCs w:val="32"/>
        </w:rPr>
      </w:pPr>
      <w:r>
        <w:rPr>
          <w:rFonts w:hAnsi="宋体"/>
          <w:b/>
          <w:spacing w:val="-6"/>
          <w:sz w:val="32"/>
          <w:szCs w:val="32"/>
        </w:rPr>
        <w:t xml:space="preserve">第一章  </w:t>
      </w:r>
      <w:r>
        <w:rPr>
          <w:rFonts w:hint="eastAsia" w:hAnsi="宋体"/>
          <w:b/>
          <w:spacing w:val="-6"/>
          <w:sz w:val="32"/>
          <w:szCs w:val="32"/>
        </w:rPr>
        <w:t>招标公告</w:t>
      </w:r>
    </w:p>
    <w:p w14:paraId="52D3DDF4">
      <w:pPr>
        <w:spacing w:line="360" w:lineRule="auto"/>
        <w:ind w:firstLine="480" w:firstLineChars="200"/>
        <w:rPr>
          <w:rFonts w:ascii="宋体" w:hAnsi="宋体" w:cs="宋体"/>
          <w:sz w:val="24"/>
          <w:szCs w:val="24"/>
        </w:rPr>
      </w:pPr>
      <w:r>
        <w:rPr>
          <w:rFonts w:hint="eastAsia" w:ascii="宋体" w:hAnsi="宋体" w:cs="宋体"/>
          <w:sz w:val="24"/>
          <w:szCs w:val="24"/>
        </w:rPr>
        <w:t>浙商银行股份有限公司</w:t>
      </w:r>
      <w:r>
        <w:rPr>
          <w:rFonts w:hint="eastAsia" w:ascii="宋体" w:hAnsi="宋体" w:cs="宋体"/>
          <w:sz w:val="24"/>
          <w:szCs w:val="24"/>
          <w:lang w:val="en-US" w:eastAsia="zh-CN"/>
        </w:rPr>
        <w:t>济南分行</w:t>
      </w:r>
      <w:r>
        <w:rPr>
          <w:rFonts w:hint="eastAsia" w:ascii="宋体" w:hAnsi="宋体" w:cs="宋体"/>
          <w:sz w:val="24"/>
          <w:szCs w:val="24"/>
        </w:rPr>
        <w:t>就以下项目进行公开招标，欢迎国内合格的投标人积极参加。</w:t>
      </w:r>
    </w:p>
    <w:p w14:paraId="2742D2C5">
      <w:pPr>
        <w:spacing w:line="288" w:lineRule="auto"/>
        <w:rPr>
          <w:rFonts w:hint="default" w:ascii="宋体" w:hAnsi="宋体" w:eastAsia="宋体" w:cs="Arial"/>
          <w:b/>
          <w:spacing w:val="-6"/>
          <w:sz w:val="24"/>
          <w:szCs w:val="24"/>
          <w:lang w:val="en-US" w:eastAsia="zh-CN"/>
        </w:rPr>
      </w:pPr>
      <w:r>
        <w:rPr>
          <w:rFonts w:hint="eastAsia" w:ascii="宋体" w:hAnsi="宋体" w:cs="Arial"/>
          <w:b/>
          <w:spacing w:val="-6"/>
          <w:sz w:val="24"/>
          <w:szCs w:val="24"/>
        </w:rPr>
        <w:t>一、项目</w:t>
      </w:r>
      <w:r>
        <w:rPr>
          <w:rFonts w:ascii="宋体" w:hAnsi="宋体" w:cs="Arial"/>
          <w:b/>
          <w:spacing w:val="-6"/>
          <w:sz w:val="24"/>
          <w:szCs w:val="24"/>
        </w:rPr>
        <w:t>名称</w:t>
      </w:r>
      <w:r>
        <w:rPr>
          <w:rFonts w:hint="eastAsia" w:ascii="宋体" w:hAnsi="宋体" w:cs="Arial"/>
          <w:b/>
          <w:spacing w:val="-6"/>
          <w:sz w:val="24"/>
          <w:szCs w:val="24"/>
        </w:rPr>
        <w:t>：</w:t>
      </w:r>
      <w:r>
        <w:rPr>
          <w:rFonts w:hint="eastAsia" w:hAnsi="宋体" w:cs="宋体"/>
          <w:bCs/>
          <w:color w:val="000000"/>
          <w:sz w:val="24"/>
          <w:szCs w:val="24"/>
          <w:lang w:eastAsia="zh-CN"/>
        </w:rPr>
        <w:t>浙商银行股份有限公司潍坊分行同城支行弱电工程采购</w:t>
      </w:r>
      <w:r>
        <w:rPr>
          <w:rFonts w:hint="eastAsia" w:hAnsi="宋体" w:cs="宋体"/>
          <w:bCs/>
          <w:color w:val="000000"/>
          <w:sz w:val="24"/>
          <w:szCs w:val="24"/>
          <w:lang w:val="en-US" w:eastAsia="zh-CN"/>
        </w:rPr>
        <w:t>项目</w:t>
      </w:r>
    </w:p>
    <w:p w14:paraId="53D25B1E">
      <w:pPr>
        <w:spacing w:line="288" w:lineRule="auto"/>
        <w:rPr>
          <w:rFonts w:hint="eastAsia" w:ascii="宋体" w:hAnsi="宋体" w:eastAsia="宋体"/>
          <w:spacing w:val="-6"/>
          <w:kern w:val="0"/>
          <w:sz w:val="24"/>
          <w:szCs w:val="24"/>
          <w:lang w:eastAsia="zh-CN"/>
        </w:rPr>
      </w:pPr>
      <w:r>
        <w:rPr>
          <w:rFonts w:hint="eastAsia" w:ascii="宋体" w:hAnsi="宋体" w:cs="Arial"/>
          <w:b/>
          <w:spacing w:val="-6"/>
          <w:sz w:val="24"/>
          <w:szCs w:val="24"/>
        </w:rPr>
        <w:t>二</w:t>
      </w:r>
      <w:r>
        <w:rPr>
          <w:rFonts w:ascii="宋体" w:hAnsi="宋体" w:cs="Arial"/>
          <w:b/>
          <w:spacing w:val="-6"/>
          <w:sz w:val="24"/>
          <w:szCs w:val="24"/>
        </w:rPr>
        <w:t>、</w:t>
      </w:r>
      <w:r>
        <w:rPr>
          <w:rFonts w:hint="eastAsia" w:ascii="宋体" w:hAnsi="宋体" w:cs="Arial"/>
          <w:b/>
          <w:bCs/>
          <w:spacing w:val="-6"/>
          <w:sz w:val="24"/>
          <w:szCs w:val="24"/>
        </w:rPr>
        <w:t>项目编号：</w:t>
      </w:r>
      <w:r>
        <w:rPr>
          <w:rFonts w:hint="eastAsia" w:hAnsi="宋体" w:cs="宋体"/>
          <w:bCs/>
          <w:color w:val="000000"/>
          <w:sz w:val="24"/>
          <w:szCs w:val="24"/>
          <w:lang w:eastAsia="zh-CN"/>
        </w:rPr>
        <w:t>JNJC2025HQGKb018</w:t>
      </w:r>
    </w:p>
    <w:p w14:paraId="4D63CC2C">
      <w:pPr>
        <w:spacing w:line="288" w:lineRule="auto"/>
        <w:rPr>
          <w:rFonts w:hint="eastAsia" w:hAnsi="宋体" w:eastAsia="宋体" w:cs="宋体"/>
          <w:bCs w:val="0"/>
          <w:color w:val="000000"/>
          <w:sz w:val="24"/>
          <w:szCs w:val="24"/>
          <w:lang w:eastAsia="zh-CN"/>
        </w:rPr>
      </w:pPr>
      <w:r>
        <w:rPr>
          <w:rFonts w:hint="eastAsia" w:ascii="宋体" w:hAnsi="宋体" w:cs="Arial"/>
          <w:b/>
          <w:bCs/>
          <w:spacing w:val="-6"/>
          <w:sz w:val="24"/>
          <w:szCs w:val="24"/>
        </w:rPr>
        <w:t>三、最高限价：</w:t>
      </w:r>
      <w:r>
        <w:rPr>
          <w:rFonts w:hint="eastAsia" w:ascii="宋体" w:hAnsi="宋体" w:cs="Arial"/>
          <w:b/>
          <w:bCs/>
          <w:spacing w:val="-6"/>
          <w:sz w:val="24"/>
          <w:szCs w:val="24"/>
          <w:lang w:val="en-US" w:eastAsia="zh-CN"/>
        </w:rPr>
        <w:t>含税总价</w:t>
      </w:r>
      <w:r>
        <w:rPr>
          <w:rFonts w:hint="eastAsia" w:ascii="宋体" w:hAnsi="宋体" w:cs="Arial"/>
          <w:b w:val="0"/>
          <w:bCs w:val="0"/>
          <w:spacing w:val="-6"/>
          <w:sz w:val="24"/>
          <w:szCs w:val="24"/>
          <w:lang w:val="en-US" w:eastAsia="zh-CN"/>
        </w:rPr>
        <w:t>508046.16元。</w:t>
      </w:r>
    </w:p>
    <w:p w14:paraId="09DB8618">
      <w:pPr>
        <w:spacing w:line="288" w:lineRule="auto"/>
        <w:rPr>
          <w:rFonts w:hint="eastAsia" w:ascii="宋体" w:hAnsi="宋体" w:cs="Arial"/>
          <w:b/>
          <w:spacing w:val="-6"/>
          <w:sz w:val="24"/>
          <w:szCs w:val="24"/>
        </w:rPr>
      </w:pPr>
      <w:r>
        <w:rPr>
          <w:rFonts w:hint="eastAsia" w:ascii="宋体" w:hAnsi="宋体" w:cs="Arial"/>
          <w:b/>
          <w:spacing w:val="-6"/>
          <w:sz w:val="24"/>
          <w:szCs w:val="24"/>
        </w:rPr>
        <w:t>四、招标内容：</w:t>
      </w:r>
    </w:p>
    <w:tbl>
      <w:tblPr>
        <w:tblStyle w:val="33"/>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9"/>
        <w:gridCol w:w="1503"/>
        <w:gridCol w:w="1505"/>
        <w:gridCol w:w="4347"/>
      </w:tblGrid>
      <w:tr w14:paraId="0D7A0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261" w:type="pct"/>
            <w:noWrap w:val="0"/>
            <w:vAlign w:val="center"/>
          </w:tcPr>
          <w:p w14:paraId="41E45779">
            <w:pPr>
              <w:jc w:val="center"/>
              <w:rPr>
                <w:rFonts w:hint="eastAsia" w:ascii="宋体" w:hAnsi="宋体" w:cs="宋体"/>
                <w:b/>
                <w:bCs/>
                <w:sz w:val="24"/>
                <w:szCs w:val="24"/>
              </w:rPr>
            </w:pPr>
            <w:r>
              <w:rPr>
                <w:rFonts w:hint="eastAsia" w:ascii="宋体" w:hAnsi="宋体" w:cs="宋体"/>
                <w:b/>
                <w:bCs/>
                <w:sz w:val="24"/>
                <w:szCs w:val="24"/>
              </w:rPr>
              <w:t>招标内容</w:t>
            </w:r>
          </w:p>
        </w:tc>
        <w:tc>
          <w:tcPr>
            <w:tcW w:w="764" w:type="pct"/>
            <w:noWrap w:val="0"/>
            <w:vAlign w:val="center"/>
          </w:tcPr>
          <w:p w14:paraId="43150E75">
            <w:pPr>
              <w:jc w:val="center"/>
              <w:rPr>
                <w:rFonts w:hint="eastAsia" w:ascii="宋体" w:hAnsi="宋体" w:cs="宋体"/>
                <w:b/>
                <w:bCs/>
                <w:sz w:val="24"/>
                <w:szCs w:val="24"/>
              </w:rPr>
            </w:pPr>
            <w:r>
              <w:rPr>
                <w:rFonts w:hint="eastAsia" w:ascii="宋体" w:hAnsi="宋体" w:cs="宋体"/>
                <w:b/>
                <w:bCs/>
                <w:sz w:val="24"/>
                <w:szCs w:val="24"/>
              </w:rPr>
              <w:t>数量</w:t>
            </w:r>
          </w:p>
        </w:tc>
        <w:tc>
          <w:tcPr>
            <w:tcW w:w="765" w:type="pct"/>
            <w:noWrap w:val="0"/>
            <w:vAlign w:val="center"/>
          </w:tcPr>
          <w:p w14:paraId="563A9C3B">
            <w:pPr>
              <w:jc w:val="center"/>
              <w:rPr>
                <w:rFonts w:hint="eastAsia" w:ascii="宋体" w:hAnsi="宋体" w:cs="宋体"/>
                <w:b/>
                <w:bCs/>
                <w:sz w:val="24"/>
                <w:szCs w:val="24"/>
              </w:rPr>
            </w:pPr>
            <w:r>
              <w:rPr>
                <w:rFonts w:hint="eastAsia" w:ascii="宋体" w:hAnsi="宋体" w:cs="宋体"/>
                <w:b/>
                <w:bCs/>
                <w:sz w:val="24"/>
                <w:szCs w:val="24"/>
              </w:rPr>
              <w:t>单位</w:t>
            </w:r>
          </w:p>
        </w:tc>
        <w:tc>
          <w:tcPr>
            <w:tcW w:w="2209" w:type="pct"/>
            <w:noWrap w:val="0"/>
            <w:vAlign w:val="center"/>
          </w:tcPr>
          <w:p w14:paraId="33632C85">
            <w:pPr>
              <w:jc w:val="center"/>
              <w:rPr>
                <w:rFonts w:hint="eastAsia" w:ascii="宋体" w:hAnsi="宋体" w:cs="宋体"/>
                <w:b/>
                <w:bCs/>
                <w:sz w:val="24"/>
                <w:szCs w:val="24"/>
              </w:rPr>
            </w:pPr>
            <w:r>
              <w:rPr>
                <w:rFonts w:hint="eastAsia" w:ascii="宋体" w:hAnsi="宋体" w:cs="宋体"/>
                <w:b/>
                <w:bCs/>
                <w:sz w:val="24"/>
                <w:szCs w:val="24"/>
              </w:rPr>
              <w:t>说明</w:t>
            </w:r>
          </w:p>
        </w:tc>
      </w:tr>
      <w:tr w14:paraId="06E6F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61" w:type="pct"/>
            <w:noWrap w:val="0"/>
            <w:vAlign w:val="center"/>
          </w:tcPr>
          <w:p w14:paraId="5064CE45">
            <w:pPr>
              <w:jc w:val="center"/>
              <w:rPr>
                <w:rFonts w:hint="default" w:ascii="宋体" w:hAnsi="宋体" w:eastAsia="宋体" w:cs="宋体"/>
                <w:sz w:val="24"/>
                <w:szCs w:val="24"/>
                <w:lang w:val="en-US" w:eastAsia="zh-CN"/>
              </w:rPr>
            </w:pPr>
            <w:r>
              <w:rPr>
                <w:rFonts w:hint="eastAsia" w:ascii="宋体" w:hAnsi="宋体" w:cs="宋体"/>
                <w:sz w:val="24"/>
                <w:szCs w:val="24"/>
              </w:rPr>
              <w:t>浙商银行股份有限公司潍坊分行同城支行弱电工程</w:t>
            </w:r>
            <w:r>
              <w:rPr>
                <w:rFonts w:hint="eastAsia" w:ascii="宋体" w:hAnsi="宋体" w:cs="宋体"/>
                <w:sz w:val="24"/>
                <w:szCs w:val="24"/>
                <w:lang w:val="en-US" w:eastAsia="zh-CN"/>
              </w:rPr>
              <w:t>采购项目</w:t>
            </w:r>
          </w:p>
        </w:tc>
        <w:tc>
          <w:tcPr>
            <w:tcW w:w="764" w:type="pct"/>
            <w:noWrap w:val="0"/>
            <w:vAlign w:val="center"/>
          </w:tcPr>
          <w:p w14:paraId="70F5D2CC">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1</w:t>
            </w:r>
          </w:p>
        </w:tc>
        <w:tc>
          <w:tcPr>
            <w:tcW w:w="765" w:type="pct"/>
            <w:noWrap w:val="0"/>
            <w:vAlign w:val="center"/>
          </w:tcPr>
          <w:p w14:paraId="4D1D6682">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项</w:t>
            </w:r>
          </w:p>
        </w:tc>
        <w:tc>
          <w:tcPr>
            <w:tcW w:w="2209" w:type="pct"/>
            <w:noWrap w:val="0"/>
            <w:vAlign w:val="center"/>
          </w:tcPr>
          <w:p w14:paraId="3E5CDE07">
            <w:pPr>
              <w:jc w:val="center"/>
              <w:rPr>
                <w:rFonts w:hint="eastAsia" w:ascii="宋体" w:hAnsi="宋体" w:eastAsia="宋体" w:cs="宋体"/>
                <w:bCs/>
                <w:sz w:val="24"/>
                <w:szCs w:val="24"/>
                <w:lang w:eastAsia="zh-CN"/>
              </w:rPr>
            </w:pPr>
            <w:r>
              <w:rPr>
                <w:rFonts w:hint="eastAsia" w:ascii="宋体" w:hAnsi="宋体" w:cs="宋体"/>
                <w:bCs/>
                <w:sz w:val="24"/>
                <w:szCs w:val="24"/>
              </w:rPr>
              <w:t>本项目的工程范围为浙商银行股份有限公司潍坊同城支行弱电工程，总建筑面积844.36平方米。本工程工期为45日历天。</w:t>
            </w:r>
          </w:p>
        </w:tc>
      </w:tr>
      <w:tr w14:paraId="77ACF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000" w:type="pct"/>
            <w:gridSpan w:val="4"/>
            <w:noWrap w:val="0"/>
            <w:vAlign w:val="center"/>
          </w:tcPr>
          <w:p w14:paraId="2E7E8646">
            <w:pPr>
              <w:jc w:val="left"/>
              <w:rPr>
                <w:rFonts w:hint="eastAsia" w:ascii="宋体" w:hAnsi="宋体" w:eastAsia="宋体" w:cs="宋体"/>
                <w:b/>
                <w:bCs/>
                <w:sz w:val="24"/>
                <w:szCs w:val="24"/>
                <w:lang w:val="en-US" w:eastAsia="zh-CN"/>
              </w:rPr>
            </w:pPr>
            <w:r>
              <w:rPr>
                <w:rFonts w:hint="eastAsia" w:ascii="宋体" w:hAnsi="宋体" w:cs="宋体"/>
                <w:b/>
                <w:bCs/>
                <w:sz w:val="24"/>
                <w:szCs w:val="24"/>
              </w:rPr>
              <w:t>备注：</w:t>
            </w:r>
          </w:p>
        </w:tc>
      </w:tr>
    </w:tbl>
    <w:p w14:paraId="5517F227">
      <w:pPr>
        <w:spacing w:line="288" w:lineRule="auto"/>
        <w:rPr>
          <w:rFonts w:hint="eastAsia" w:ascii="宋体" w:hAnsi="宋体" w:cs="Arial"/>
          <w:b/>
          <w:bCs/>
          <w:spacing w:val="-6"/>
          <w:sz w:val="24"/>
          <w:szCs w:val="24"/>
        </w:rPr>
      </w:pPr>
      <w:r>
        <w:rPr>
          <w:rFonts w:hint="eastAsia" w:ascii="宋体" w:hAnsi="宋体" w:cs="Arial"/>
          <w:b/>
          <w:spacing w:val="-6"/>
          <w:sz w:val="24"/>
          <w:szCs w:val="24"/>
        </w:rPr>
        <w:t>五</w:t>
      </w:r>
      <w:r>
        <w:rPr>
          <w:rFonts w:hint="eastAsia" w:ascii="宋体" w:hAnsi="宋体" w:cs="Arial"/>
          <w:spacing w:val="-6"/>
          <w:sz w:val="24"/>
          <w:szCs w:val="24"/>
        </w:rPr>
        <w:t>、</w:t>
      </w:r>
      <w:r>
        <w:rPr>
          <w:rFonts w:hint="eastAsia" w:ascii="宋体" w:hAnsi="宋体" w:cs="Arial"/>
          <w:b/>
          <w:bCs/>
          <w:spacing w:val="-6"/>
          <w:sz w:val="24"/>
          <w:szCs w:val="24"/>
        </w:rPr>
        <w:t>投标人的资格要求：</w:t>
      </w:r>
    </w:p>
    <w:p w14:paraId="62C44251">
      <w:pPr>
        <w:spacing w:line="288" w:lineRule="auto"/>
        <w:ind w:firstLine="480" w:firstLineChars="200"/>
        <w:rPr>
          <w:rFonts w:hint="eastAsia" w:ascii="宋体" w:hAnsi="宋体" w:cs="宋体"/>
          <w:sz w:val="24"/>
          <w:szCs w:val="24"/>
        </w:rPr>
      </w:pPr>
      <w:r>
        <w:rPr>
          <w:rFonts w:hint="eastAsia" w:ascii="宋体" w:hAnsi="宋体" w:cs="宋体"/>
          <w:sz w:val="24"/>
          <w:szCs w:val="24"/>
          <w:lang w:eastAsia="zh-CN"/>
        </w:rPr>
        <w:t>1</w:t>
      </w:r>
      <w:r>
        <w:rPr>
          <w:rFonts w:hint="eastAsia" w:ascii="宋体" w:hAnsi="宋体" w:cs="宋体"/>
          <w:sz w:val="24"/>
          <w:szCs w:val="24"/>
          <w:lang w:val="en-US" w:eastAsia="zh-CN"/>
        </w:rPr>
        <w:t>.</w:t>
      </w:r>
      <w:r>
        <w:rPr>
          <w:rFonts w:hint="eastAsia" w:ascii="宋体" w:hAnsi="宋体" w:cs="宋体"/>
          <w:sz w:val="24"/>
          <w:szCs w:val="24"/>
        </w:rPr>
        <w:t>在中华人民共和国境内注册,具有独立法人资格</w:t>
      </w:r>
      <w:r>
        <w:rPr>
          <w:rFonts w:hint="eastAsia" w:ascii="宋体" w:hAnsi="宋体" w:cs="宋体"/>
          <w:sz w:val="24"/>
          <w:szCs w:val="24"/>
          <w:lang w:eastAsia="zh-CN"/>
        </w:rPr>
        <w:t>；</w:t>
      </w:r>
    </w:p>
    <w:p w14:paraId="151F961A">
      <w:pPr>
        <w:spacing w:line="288"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2.1投标人未被“中国执行信息公开网”（https://zxgk.court.gov.cn/shixin/）列入失信被执行人；</w:t>
      </w:r>
    </w:p>
    <w:p w14:paraId="3357944D">
      <w:pPr>
        <w:spacing w:line="288"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2.2投标人未被“信用中国”（https://www.creditchina.gov.cn）列入重大税收违法失信主体；</w:t>
      </w:r>
    </w:p>
    <w:p w14:paraId="46B09B89">
      <w:pPr>
        <w:spacing w:line="288"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2.3投标人未被“中国政府采购网”（https://www.ccgp.gov.cn）列入政府采购严重违法失信行为记录名单；</w:t>
      </w:r>
    </w:p>
    <w:p w14:paraId="2F670001">
      <w:pPr>
        <w:spacing w:line="288"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2.4投标人未被“国家企业信用信息公示系统”（https://www.gsxt.gov.cn/index.html）列入严重违法失信企业名单；</w:t>
      </w:r>
    </w:p>
    <w:p w14:paraId="2B12E2A9">
      <w:pPr>
        <w:spacing w:line="288"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2.5投标人未被列入建筑市场严重失信名单（查询网站：全国建筑市场监管公共服务平台，内容：黑名单记录、失信联合惩戒记录，网址：https://jzsc.mohurd.gov.cn/home）；</w:t>
      </w:r>
    </w:p>
    <w:p w14:paraId="4BAB69F4">
      <w:pPr>
        <w:spacing w:line="288"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2.6投标人未被人力资源社会保障行政部门列入失信联合惩戒名单（有效期内）并共享至信用信息共享平台（查询网站：信用中国，内容：拖欠农民工工资失信联合惩戒对象名单，网址：https://www.creditchina.gov.cn）；</w:t>
      </w:r>
    </w:p>
    <w:p w14:paraId="7A1CF4B8">
      <w:pPr>
        <w:spacing w:line="288" w:lineRule="auto"/>
        <w:ind w:firstLine="480" w:firstLineChars="200"/>
        <w:rPr>
          <w:rFonts w:hint="eastAsia" w:ascii="宋体" w:hAnsi="宋体" w:cs="宋体"/>
          <w:sz w:val="24"/>
          <w:szCs w:val="24"/>
        </w:rPr>
      </w:pPr>
      <w:r>
        <w:rPr>
          <w:rFonts w:hint="eastAsia" w:ascii="宋体" w:hAnsi="宋体" w:cs="宋体"/>
          <w:sz w:val="24"/>
          <w:szCs w:val="24"/>
          <w:lang w:eastAsia="zh-CN"/>
        </w:rPr>
        <w:t>2.7投标人未被招标人通报禁止其参加招标人集中采购活动的（有效期内）；</w:t>
      </w:r>
    </w:p>
    <w:p w14:paraId="40A3607D">
      <w:pPr>
        <w:spacing w:line="288" w:lineRule="auto"/>
        <w:ind w:firstLine="480" w:firstLineChars="200"/>
        <w:rPr>
          <w:rFonts w:hint="eastAsia" w:ascii="宋体" w:hAnsi="宋体" w:cs="宋体"/>
          <w:sz w:val="24"/>
          <w:szCs w:val="24"/>
        </w:rPr>
      </w:pPr>
      <w:r>
        <w:rPr>
          <w:rFonts w:hint="eastAsia" w:ascii="宋体" w:hAnsi="宋体" w:cs="宋体"/>
          <w:sz w:val="24"/>
          <w:szCs w:val="24"/>
          <w:lang w:eastAsia="zh-CN"/>
        </w:rPr>
        <w:t>3</w:t>
      </w:r>
      <w:r>
        <w:rPr>
          <w:rFonts w:hint="eastAsia" w:ascii="宋体" w:hAnsi="宋体" w:cs="宋体"/>
          <w:sz w:val="24"/>
          <w:szCs w:val="24"/>
          <w:lang w:val="en-US" w:eastAsia="zh-CN"/>
        </w:rPr>
        <w:t>.</w:t>
      </w:r>
      <w:r>
        <w:rPr>
          <w:rFonts w:hint="eastAsia" w:ascii="宋体" w:hAnsi="宋体" w:cs="宋体"/>
          <w:sz w:val="24"/>
          <w:szCs w:val="24"/>
        </w:rPr>
        <w:t>投标人参加招标活动前三年内（2023年1月1日至今，新成立不满三年的公司自成立之日起算）在经营活动中没有重大违法记录；</w:t>
      </w:r>
    </w:p>
    <w:p w14:paraId="3CDE6BC4">
      <w:pPr>
        <w:spacing w:line="288" w:lineRule="auto"/>
        <w:ind w:firstLine="480" w:firstLineChars="200"/>
        <w:rPr>
          <w:rFonts w:hint="eastAsia" w:ascii="宋体" w:hAnsi="宋体" w:cs="宋体"/>
          <w:sz w:val="24"/>
          <w:szCs w:val="24"/>
        </w:rPr>
      </w:pPr>
      <w:r>
        <w:rPr>
          <w:rFonts w:hint="eastAsia" w:ascii="宋体" w:hAnsi="宋体" w:cs="宋体"/>
          <w:sz w:val="24"/>
          <w:szCs w:val="24"/>
          <w:lang w:eastAsia="zh-CN"/>
        </w:rPr>
        <w:t>4</w:t>
      </w:r>
      <w:r>
        <w:rPr>
          <w:rFonts w:hint="eastAsia" w:ascii="宋体" w:hAnsi="宋体" w:cs="宋体"/>
          <w:sz w:val="24"/>
          <w:szCs w:val="24"/>
          <w:lang w:val="en-US" w:eastAsia="zh-CN"/>
        </w:rPr>
        <w:t>.与招标人存在利害关系可能影响招标公正性的法人、其他组织或者个人，不得参加投标；</w:t>
      </w:r>
      <w:r>
        <w:rPr>
          <w:rFonts w:hint="eastAsia" w:ascii="宋体" w:hAnsi="宋体" w:cs="宋体"/>
          <w:sz w:val="24"/>
          <w:szCs w:val="24"/>
        </w:rPr>
        <w:t>单位负责人为同一人或者存在直接控股、管理关系的不同投标人，不得参加同一项目标段项下的投标活动</w:t>
      </w:r>
      <w:r>
        <w:rPr>
          <w:rFonts w:hint="eastAsia" w:ascii="宋体" w:hAnsi="宋体" w:cs="宋体"/>
          <w:sz w:val="24"/>
          <w:szCs w:val="24"/>
          <w:lang w:eastAsia="zh-CN"/>
        </w:rPr>
        <w:t>；</w:t>
      </w:r>
    </w:p>
    <w:p w14:paraId="53086B61">
      <w:pPr>
        <w:spacing w:line="288" w:lineRule="auto"/>
        <w:ind w:firstLine="480" w:firstLineChars="200"/>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.提供投标人诚信经营和诚信履约承诺书；</w:t>
      </w:r>
    </w:p>
    <w:p w14:paraId="4415237B">
      <w:pPr>
        <w:spacing w:line="288" w:lineRule="auto"/>
        <w:ind w:firstLine="480" w:firstLineChars="200"/>
        <w:rPr>
          <w:rFonts w:hint="eastAsia"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.法律、行政法规规定的其他条件。</w:t>
      </w:r>
    </w:p>
    <w:p w14:paraId="621644AD">
      <w:pPr>
        <w:spacing w:line="288" w:lineRule="auto"/>
        <w:ind w:firstLine="480" w:firstLineChars="200"/>
        <w:rPr>
          <w:rFonts w:hint="eastAsia"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.本项目的特定资格要求：</w:t>
      </w:r>
    </w:p>
    <w:p w14:paraId="590DEF3A">
      <w:pPr>
        <w:spacing w:line="288" w:lineRule="auto"/>
        <w:ind w:firstLine="480" w:firstLineChars="200"/>
        <w:rPr>
          <w:rFonts w:hint="eastAsia" w:ascii="宋体" w:hAnsi="宋体" w:cs="宋体"/>
          <w:sz w:val="24"/>
          <w:szCs w:val="24"/>
        </w:rPr>
      </w:pPr>
      <w:r>
        <w:rPr>
          <w:rFonts w:hint="eastAsia" w:ascii="宋体" w:hAnsi="宋体" w:cs="宋体"/>
          <w:sz w:val="24"/>
          <w:szCs w:val="24"/>
        </w:rPr>
        <w:t>7.1资质等级：本次招标要求潜在投标人具有建设行政主管部门颁发的</w:t>
      </w:r>
      <w:r>
        <w:rPr>
          <w:rFonts w:hint="eastAsia" w:ascii="宋体" w:hAnsi="宋体" w:cs="宋体"/>
          <w:sz w:val="24"/>
          <w:szCs w:val="24"/>
          <w:lang w:val="en-US" w:eastAsia="zh-CN"/>
        </w:rPr>
        <w:t>电子与智能化</w:t>
      </w:r>
      <w:r>
        <w:rPr>
          <w:rFonts w:hint="eastAsia" w:ascii="宋体" w:hAnsi="宋体" w:cs="宋体"/>
          <w:sz w:val="24"/>
          <w:szCs w:val="24"/>
        </w:rPr>
        <w:t>工程专业承包贰级及以上资质，具有有效的安全生产许可证。</w:t>
      </w:r>
    </w:p>
    <w:p w14:paraId="334959DB">
      <w:pPr>
        <w:spacing w:line="288" w:lineRule="auto"/>
        <w:ind w:firstLine="480" w:firstLineChars="200"/>
        <w:rPr>
          <w:rFonts w:hint="eastAsia" w:ascii="宋体" w:hAnsi="宋体" w:cs="宋体"/>
          <w:sz w:val="24"/>
          <w:szCs w:val="24"/>
        </w:rPr>
      </w:pPr>
      <w:r>
        <w:rPr>
          <w:rFonts w:hint="eastAsia" w:ascii="宋体" w:hAnsi="宋体" w:cs="宋体"/>
          <w:sz w:val="24"/>
          <w:szCs w:val="24"/>
        </w:rPr>
        <w:t>7.2人员要求：拟派项目负责人（项目经理）应持有有效的注册二级及以上级建造师（</w:t>
      </w:r>
      <w:r>
        <w:rPr>
          <w:rFonts w:hint="eastAsia" w:ascii="宋体" w:hAnsi="宋体" w:cs="宋体"/>
          <w:sz w:val="24"/>
          <w:szCs w:val="24"/>
          <w:lang w:val="en-US" w:eastAsia="zh-CN"/>
        </w:rPr>
        <w:t>机电工程</w:t>
      </w:r>
      <w:r>
        <w:rPr>
          <w:rFonts w:hint="eastAsia" w:ascii="宋体" w:hAnsi="宋体" w:cs="宋体"/>
          <w:sz w:val="24"/>
          <w:szCs w:val="24"/>
        </w:rPr>
        <w:t>专业）注册证书（一级建造师注册证书必须为电子证书并符合《住房和城乡建设部办公厅关于全面实行一级建造师电子注册证书的通知》（建办市〔2021〕40号）的规定），具备有效的安全生产考核合格证书（B类）；造价、安全、施工、材料、质检（量）等人员，应满足项目实际需求。</w:t>
      </w:r>
    </w:p>
    <w:p w14:paraId="474FF37B">
      <w:pPr>
        <w:spacing w:line="288" w:lineRule="auto"/>
        <w:ind w:firstLine="480" w:firstLineChars="200"/>
        <w:rPr>
          <w:rFonts w:hint="eastAsia" w:ascii="宋体" w:hAnsi="宋体" w:cs="宋体"/>
          <w:sz w:val="24"/>
          <w:szCs w:val="24"/>
        </w:rPr>
      </w:pPr>
      <w:r>
        <w:rPr>
          <w:rFonts w:hint="eastAsia" w:ascii="宋体" w:hAnsi="宋体" w:cs="宋体"/>
          <w:sz w:val="24"/>
          <w:szCs w:val="24"/>
        </w:rPr>
        <w:t>8.本项目接受联合体投标：□是；☑否。</w:t>
      </w:r>
    </w:p>
    <w:p w14:paraId="3EC30322">
      <w:pPr>
        <w:spacing w:line="288" w:lineRule="auto"/>
        <w:rPr>
          <w:rFonts w:ascii="宋体" w:hAnsi="宋体" w:cs="Arial"/>
          <w:b/>
          <w:bCs/>
          <w:spacing w:val="-6"/>
          <w:sz w:val="24"/>
          <w:szCs w:val="24"/>
        </w:rPr>
      </w:pPr>
      <w:r>
        <w:rPr>
          <w:rFonts w:hint="eastAsia" w:ascii="宋体" w:hAnsi="宋体" w:cs="Arial"/>
          <w:b/>
          <w:bCs/>
          <w:spacing w:val="-6"/>
          <w:sz w:val="24"/>
          <w:szCs w:val="24"/>
        </w:rPr>
        <w:t>六、获取招标文件的时间期限、地点、方式：</w:t>
      </w:r>
    </w:p>
    <w:p w14:paraId="2B60D137">
      <w:pPr>
        <w:spacing w:line="288" w:lineRule="auto"/>
        <w:ind w:firstLine="480" w:firstLineChars="200"/>
        <w:rPr>
          <w:rFonts w:ascii="宋体" w:hAnsi="宋体" w:cs="Arial"/>
          <w:spacing w:val="-6"/>
          <w:sz w:val="24"/>
          <w:szCs w:val="24"/>
        </w:rPr>
      </w:pPr>
      <w:r>
        <w:rPr>
          <w:rFonts w:hint="eastAsia" w:ascii="宋体" w:hAnsi="宋体"/>
          <w:sz w:val="24"/>
          <w:szCs w:val="24"/>
        </w:rPr>
        <w:t>时间：自招标公告发布之日起至20</w:t>
      </w:r>
      <w:r>
        <w:rPr>
          <w:rFonts w:hint="eastAsia" w:ascii="宋体" w:hAnsi="宋体"/>
          <w:sz w:val="24"/>
          <w:szCs w:val="24"/>
          <w:lang w:val="en-US" w:eastAsia="zh-CN"/>
        </w:rPr>
        <w:t>26</w:t>
      </w:r>
      <w:r>
        <w:rPr>
          <w:rFonts w:hint="eastAsia" w:ascii="宋体" w:hAnsi="宋体"/>
          <w:sz w:val="24"/>
          <w:szCs w:val="24"/>
        </w:rPr>
        <w:t>年</w:t>
      </w:r>
      <w:r>
        <w:rPr>
          <w:rFonts w:hint="eastAsia" w:ascii="宋体" w:hAnsi="宋体"/>
          <w:sz w:val="24"/>
          <w:szCs w:val="24"/>
          <w:lang w:val="en-US" w:eastAsia="zh-CN"/>
        </w:rPr>
        <w:t>1</w:t>
      </w:r>
      <w:r>
        <w:rPr>
          <w:rFonts w:hint="eastAsia" w:ascii="宋体" w:hAnsi="宋体"/>
          <w:sz w:val="24"/>
          <w:szCs w:val="24"/>
        </w:rPr>
        <w:t>月</w:t>
      </w:r>
      <w:r>
        <w:rPr>
          <w:rFonts w:hint="eastAsia" w:ascii="宋体" w:hAnsi="宋体"/>
          <w:sz w:val="24"/>
          <w:szCs w:val="24"/>
          <w:lang w:val="en-US" w:eastAsia="zh-CN"/>
        </w:rPr>
        <w:t>18</w:t>
      </w:r>
      <w:r>
        <w:rPr>
          <w:rFonts w:hint="eastAsia" w:ascii="宋体" w:hAnsi="宋体"/>
          <w:sz w:val="24"/>
          <w:szCs w:val="24"/>
        </w:rPr>
        <w:t>日。</w:t>
      </w:r>
    </w:p>
    <w:p w14:paraId="4A2AC8C5">
      <w:pPr>
        <w:spacing w:line="288" w:lineRule="auto"/>
        <w:ind w:left="420"/>
        <w:rPr>
          <w:rFonts w:ascii="宋体" w:hAnsi="宋体"/>
          <w:sz w:val="24"/>
          <w:szCs w:val="24"/>
        </w:rPr>
      </w:pPr>
      <w:r>
        <w:rPr>
          <w:rFonts w:hint="eastAsia" w:ascii="宋体" w:hAnsi="宋体"/>
          <w:sz w:val="24"/>
          <w:szCs w:val="24"/>
        </w:rPr>
        <w:t>1.地址（网址）：</w:t>
      </w:r>
      <w:r>
        <w:rPr>
          <w:rFonts w:hint="eastAsia" w:ascii="宋体" w:hAnsi="宋体"/>
          <w:sz w:val="24"/>
          <w:szCs w:val="24"/>
        </w:rPr>
        <w:fldChar w:fldCharType="begin"/>
      </w:r>
      <w:r>
        <w:rPr>
          <w:rFonts w:hint="eastAsia" w:ascii="宋体" w:hAnsi="宋体"/>
          <w:sz w:val="24"/>
          <w:szCs w:val="24"/>
        </w:rPr>
        <w:instrText xml:space="preserve">HYPERLINK "https://ccgp.szcgpt.czbank.com"</w:instrText>
      </w:r>
      <w:r>
        <w:rPr>
          <w:rFonts w:hint="eastAsia" w:ascii="宋体" w:hAnsi="宋体"/>
          <w:sz w:val="24"/>
          <w:szCs w:val="24"/>
        </w:rPr>
        <w:fldChar w:fldCharType="separate"/>
      </w:r>
      <w:r>
        <w:rPr>
          <w:rFonts w:hint="eastAsia" w:ascii="宋体" w:hAnsi="宋体"/>
          <w:sz w:val="24"/>
          <w:szCs w:val="24"/>
        </w:rPr>
        <w:t>https://ccgp.szcgpt.czbank.com</w:t>
      </w:r>
      <w:r>
        <w:rPr>
          <w:rFonts w:hint="eastAsia" w:ascii="宋体" w:hAnsi="宋体"/>
          <w:sz w:val="24"/>
          <w:szCs w:val="24"/>
        </w:rPr>
        <w:fldChar w:fldCharType="end"/>
      </w:r>
      <w:r>
        <w:rPr>
          <w:rFonts w:hint="eastAsia" w:ascii="宋体" w:hAnsi="宋体"/>
          <w:sz w:val="24"/>
          <w:szCs w:val="24"/>
        </w:rPr>
        <w:t>。</w:t>
      </w:r>
    </w:p>
    <w:p w14:paraId="3ED5F513">
      <w:pPr>
        <w:spacing w:line="360" w:lineRule="auto"/>
        <w:ind w:firstLine="480" w:firstLineChars="200"/>
        <w:rPr>
          <w:rFonts w:hint="eastAsia" w:ascii="宋体" w:hAnsi="宋体"/>
          <w:sz w:val="24"/>
          <w:szCs w:val="24"/>
        </w:rPr>
      </w:pPr>
      <w:r>
        <w:rPr>
          <w:rFonts w:hint="eastAsia" w:ascii="宋体" w:hAnsi="宋体"/>
          <w:sz w:val="24"/>
          <w:szCs w:val="24"/>
        </w:rPr>
        <w:t>2.获取时间段：每天上午00:00至12:00，下午12:00至23:59（北京时间）。</w:t>
      </w:r>
    </w:p>
    <w:p w14:paraId="18EC6AE8">
      <w:pPr>
        <w:spacing w:line="360" w:lineRule="auto"/>
        <w:ind w:firstLine="480" w:firstLineChars="200"/>
        <w:rPr>
          <w:rFonts w:ascii="宋体" w:hAnsi="宋体" w:cs="宋体"/>
          <w:sz w:val="24"/>
          <w:szCs w:val="24"/>
        </w:rPr>
      </w:pPr>
      <w:r>
        <w:rPr>
          <w:rFonts w:hint="eastAsia" w:ascii="宋体" w:hAnsi="宋体"/>
          <w:sz w:val="24"/>
          <w:szCs w:val="24"/>
        </w:rPr>
        <w:t>3.方式：投标人登录浙商银行数智采购平台https://ccgp.szcgpt.czbank.com在线申请获取招标文件（进入“项目采购”应用，在获取招标文件菜单中选择项目，申请获取招标文件，具体操作步骤详见“浙商银行数智采购平台-帮助中心”。）。</w:t>
      </w:r>
    </w:p>
    <w:p w14:paraId="13756BDB">
      <w:pPr>
        <w:spacing w:line="288" w:lineRule="auto"/>
        <w:rPr>
          <w:rFonts w:hint="eastAsia" w:ascii="宋体" w:hAnsi="宋体" w:cs="Arial"/>
          <w:spacing w:val="-6"/>
          <w:sz w:val="24"/>
          <w:szCs w:val="24"/>
        </w:rPr>
      </w:pPr>
      <w:r>
        <w:rPr>
          <w:rFonts w:hint="eastAsia" w:ascii="宋体" w:hAnsi="宋体" w:cs="Arial"/>
          <w:b/>
          <w:spacing w:val="-6"/>
          <w:sz w:val="24"/>
          <w:szCs w:val="24"/>
        </w:rPr>
        <w:t>七、</w:t>
      </w:r>
      <w:r>
        <w:rPr>
          <w:rFonts w:hint="eastAsia" w:ascii="宋体" w:hAnsi="宋体" w:cs="Arial"/>
          <w:b/>
          <w:bCs/>
          <w:spacing w:val="-6"/>
          <w:sz w:val="24"/>
          <w:szCs w:val="24"/>
        </w:rPr>
        <w:t>投标截止时间和地点</w:t>
      </w:r>
      <w:r>
        <w:rPr>
          <w:rFonts w:hint="eastAsia" w:ascii="宋体" w:hAnsi="宋体" w:cs="Arial"/>
          <w:spacing w:val="-6"/>
          <w:sz w:val="24"/>
          <w:szCs w:val="24"/>
        </w:rPr>
        <w:t>：</w:t>
      </w:r>
      <w:r>
        <w:rPr>
          <w:rFonts w:hint="eastAsia" w:ascii="宋体" w:hAnsi="宋体"/>
          <w:b/>
          <w:bCs/>
          <w:sz w:val="24"/>
          <w:szCs w:val="24"/>
        </w:rPr>
        <w:t xml:space="preserve"> </w:t>
      </w:r>
    </w:p>
    <w:p w14:paraId="64CBC6A9">
      <w:pPr>
        <w:spacing w:line="288" w:lineRule="auto"/>
        <w:ind w:firstLine="480" w:firstLineChars="200"/>
        <w:rPr>
          <w:rFonts w:hint="eastAsia" w:ascii="宋体" w:hAnsi="宋体"/>
          <w:sz w:val="24"/>
          <w:szCs w:val="24"/>
        </w:rPr>
      </w:pPr>
      <w:r>
        <w:rPr>
          <w:rFonts w:hint="eastAsia" w:ascii="宋体" w:hAnsi="宋体"/>
          <w:sz w:val="24"/>
          <w:szCs w:val="24"/>
        </w:rPr>
        <w:t>时间：20</w:t>
      </w:r>
      <w:r>
        <w:rPr>
          <w:rFonts w:hint="eastAsia" w:ascii="宋体" w:hAnsi="宋体"/>
          <w:sz w:val="24"/>
          <w:szCs w:val="24"/>
          <w:lang w:val="en-US" w:eastAsia="zh-CN"/>
        </w:rPr>
        <w:t>26</w:t>
      </w:r>
      <w:r>
        <w:rPr>
          <w:rFonts w:hint="eastAsia" w:ascii="宋体" w:hAnsi="宋体"/>
          <w:sz w:val="24"/>
          <w:szCs w:val="24"/>
        </w:rPr>
        <w:t>年</w:t>
      </w:r>
      <w:r>
        <w:rPr>
          <w:rFonts w:hint="eastAsia" w:ascii="宋体" w:hAnsi="宋体"/>
          <w:sz w:val="24"/>
          <w:szCs w:val="24"/>
          <w:lang w:val="en-US" w:eastAsia="zh-CN"/>
        </w:rPr>
        <w:t>1</w:t>
      </w:r>
      <w:r>
        <w:rPr>
          <w:rFonts w:hint="eastAsia" w:ascii="宋体" w:hAnsi="宋体"/>
          <w:sz w:val="24"/>
          <w:szCs w:val="24"/>
        </w:rPr>
        <w:t>月</w:t>
      </w:r>
      <w:r>
        <w:rPr>
          <w:rFonts w:hint="eastAsia" w:ascii="宋体" w:hAnsi="宋体"/>
          <w:sz w:val="24"/>
          <w:szCs w:val="24"/>
          <w:lang w:val="en-US" w:eastAsia="zh-CN"/>
        </w:rPr>
        <w:t>19</w:t>
      </w:r>
      <w:r>
        <w:rPr>
          <w:rFonts w:hint="eastAsia" w:ascii="宋体" w:hAnsi="宋体"/>
          <w:sz w:val="24"/>
          <w:szCs w:val="24"/>
        </w:rPr>
        <w:t>日</w:t>
      </w:r>
      <w:r>
        <w:rPr>
          <w:rFonts w:hint="eastAsia" w:ascii="宋体" w:hAnsi="宋体"/>
          <w:sz w:val="24"/>
          <w:szCs w:val="24"/>
          <w:lang w:val="en-US" w:eastAsia="zh-CN"/>
        </w:rPr>
        <w:t>13</w:t>
      </w:r>
      <w:r>
        <w:rPr>
          <w:rFonts w:hint="eastAsia" w:ascii="宋体" w:hAnsi="宋体"/>
          <w:sz w:val="24"/>
          <w:szCs w:val="24"/>
        </w:rPr>
        <w:t>:</w:t>
      </w:r>
      <w:r>
        <w:rPr>
          <w:rFonts w:hint="eastAsia" w:ascii="宋体" w:hAnsi="宋体"/>
          <w:sz w:val="24"/>
          <w:szCs w:val="24"/>
          <w:lang w:val="en-US" w:eastAsia="zh-CN"/>
        </w:rPr>
        <w:t>3</w:t>
      </w:r>
      <w:r>
        <w:rPr>
          <w:rFonts w:hint="eastAsia" w:ascii="宋体" w:hAnsi="宋体"/>
          <w:sz w:val="24"/>
          <w:szCs w:val="24"/>
        </w:rPr>
        <w:t>0:00（北京时间）</w:t>
      </w:r>
    </w:p>
    <w:p w14:paraId="5C2EB130">
      <w:pPr>
        <w:spacing w:line="288" w:lineRule="auto"/>
        <w:ind w:firstLine="480" w:firstLineChars="200"/>
        <w:rPr>
          <w:rFonts w:ascii="宋体" w:hAnsi="宋体"/>
          <w:sz w:val="24"/>
          <w:szCs w:val="24"/>
        </w:rPr>
      </w:pPr>
      <w:r>
        <w:rPr>
          <w:rFonts w:hint="eastAsia" w:ascii="宋体" w:hAnsi="宋体"/>
          <w:sz w:val="24"/>
          <w:szCs w:val="24"/>
        </w:rPr>
        <w:t>地点（网址）：浙商银行数智采购平台（</w:t>
      </w:r>
      <w:r>
        <w:rPr>
          <w:rFonts w:hint="eastAsia" w:ascii="宋体" w:hAnsi="宋体"/>
          <w:sz w:val="24"/>
          <w:szCs w:val="24"/>
        </w:rPr>
        <w:fldChar w:fldCharType="begin"/>
      </w:r>
      <w:r>
        <w:rPr>
          <w:rFonts w:hint="eastAsia" w:ascii="宋体" w:hAnsi="宋体"/>
          <w:sz w:val="24"/>
          <w:szCs w:val="24"/>
        </w:rPr>
        <w:instrText xml:space="preserve">HYPERLINK "https://ccgp.szcgpt.czbank.com"</w:instrText>
      </w:r>
      <w:r>
        <w:rPr>
          <w:rFonts w:hint="eastAsia" w:ascii="宋体" w:hAnsi="宋体"/>
          <w:sz w:val="24"/>
          <w:szCs w:val="24"/>
        </w:rPr>
        <w:fldChar w:fldCharType="separate"/>
      </w:r>
      <w:r>
        <w:rPr>
          <w:rStyle w:val="40"/>
          <w:rFonts w:hint="eastAsia" w:ascii="宋体" w:hAnsi="宋体"/>
          <w:sz w:val="24"/>
          <w:szCs w:val="24"/>
        </w:rPr>
        <w:t>https://ccgp.szcgpt.czbank.com</w:t>
      </w:r>
      <w:r>
        <w:rPr>
          <w:rFonts w:hint="eastAsia" w:ascii="宋体" w:hAnsi="宋体"/>
          <w:sz w:val="24"/>
          <w:szCs w:val="24"/>
        </w:rPr>
        <w:fldChar w:fldCharType="end"/>
      </w:r>
      <w:r>
        <w:rPr>
          <w:rFonts w:hint="eastAsia" w:ascii="宋体" w:hAnsi="宋体"/>
          <w:sz w:val="24"/>
          <w:szCs w:val="24"/>
        </w:rPr>
        <w:t>）。</w:t>
      </w:r>
    </w:p>
    <w:p w14:paraId="35DD165E">
      <w:pPr>
        <w:spacing w:line="288" w:lineRule="auto"/>
        <w:rPr>
          <w:rFonts w:hint="eastAsia" w:ascii="宋体" w:hAnsi="宋体" w:cs="Arial"/>
          <w:spacing w:val="-6"/>
          <w:sz w:val="24"/>
          <w:szCs w:val="24"/>
        </w:rPr>
      </w:pPr>
      <w:r>
        <w:rPr>
          <w:rFonts w:hint="eastAsia" w:ascii="宋体" w:hAnsi="宋体" w:cs="Arial"/>
          <w:b/>
          <w:bCs/>
          <w:spacing w:val="-6"/>
          <w:sz w:val="24"/>
          <w:szCs w:val="24"/>
        </w:rPr>
        <w:t>八、开标时间及地点</w:t>
      </w:r>
      <w:r>
        <w:rPr>
          <w:rFonts w:hint="eastAsia" w:ascii="宋体" w:hAnsi="宋体" w:cs="Arial"/>
          <w:spacing w:val="-6"/>
          <w:sz w:val="24"/>
          <w:szCs w:val="24"/>
        </w:rPr>
        <w:t>：</w:t>
      </w:r>
    </w:p>
    <w:p w14:paraId="58DD6BAF">
      <w:pPr>
        <w:spacing w:line="288" w:lineRule="auto"/>
        <w:ind w:firstLine="456" w:firstLineChars="200"/>
        <w:rPr>
          <w:rFonts w:hint="eastAsia" w:ascii="宋体" w:hAnsi="宋体"/>
          <w:sz w:val="24"/>
          <w:szCs w:val="24"/>
        </w:rPr>
      </w:pPr>
      <w:r>
        <w:rPr>
          <w:rFonts w:hint="eastAsia" w:ascii="宋体" w:hAnsi="宋体"/>
          <w:spacing w:val="-6"/>
          <w:sz w:val="24"/>
          <w:szCs w:val="24"/>
        </w:rPr>
        <w:t>时间：</w:t>
      </w:r>
      <w:r>
        <w:rPr>
          <w:rFonts w:hint="eastAsia" w:ascii="宋体" w:hAnsi="宋体"/>
          <w:sz w:val="24"/>
          <w:szCs w:val="24"/>
        </w:rPr>
        <w:t>20</w:t>
      </w:r>
      <w:r>
        <w:rPr>
          <w:rFonts w:hint="eastAsia" w:ascii="宋体" w:hAnsi="宋体"/>
          <w:sz w:val="24"/>
          <w:szCs w:val="24"/>
          <w:lang w:val="en-US" w:eastAsia="zh-CN"/>
        </w:rPr>
        <w:t>26</w:t>
      </w:r>
      <w:r>
        <w:rPr>
          <w:rFonts w:hint="eastAsia" w:ascii="宋体" w:hAnsi="宋体"/>
          <w:sz w:val="24"/>
          <w:szCs w:val="24"/>
        </w:rPr>
        <w:t>年</w:t>
      </w:r>
      <w:r>
        <w:rPr>
          <w:rFonts w:hint="eastAsia" w:ascii="宋体" w:hAnsi="宋体"/>
          <w:sz w:val="24"/>
          <w:szCs w:val="24"/>
          <w:lang w:val="en-US" w:eastAsia="zh-CN"/>
        </w:rPr>
        <w:t>1</w:t>
      </w:r>
      <w:r>
        <w:rPr>
          <w:rFonts w:hint="eastAsia" w:ascii="宋体" w:hAnsi="宋体"/>
          <w:sz w:val="24"/>
          <w:szCs w:val="24"/>
        </w:rPr>
        <w:t>月</w:t>
      </w:r>
      <w:r>
        <w:rPr>
          <w:rFonts w:hint="eastAsia" w:ascii="宋体" w:hAnsi="宋体"/>
          <w:sz w:val="24"/>
          <w:szCs w:val="24"/>
          <w:lang w:val="en-US" w:eastAsia="zh-CN"/>
        </w:rPr>
        <w:t>19</w:t>
      </w:r>
      <w:r>
        <w:rPr>
          <w:rFonts w:hint="eastAsia" w:ascii="宋体" w:hAnsi="宋体"/>
          <w:sz w:val="24"/>
          <w:szCs w:val="24"/>
        </w:rPr>
        <w:t>日</w:t>
      </w:r>
      <w:r>
        <w:rPr>
          <w:rFonts w:hint="eastAsia" w:ascii="宋体" w:hAnsi="宋体"/>
          <w:sz w:val="24"/>
          <w:szCs w:val="24"/>
          <w:lang w:val="en-US" w:eastAsia="zh-CN"/>
        </w:rPr>
        <w:t>13</w:t>
      </w:r>
      <w:r>
        <w:rPr>
          <w:rFonts w:hint="eastAsia" w:ascii="宋体" w:hAnsi="宋体"/>
          <w:sz w:val="24"/>
          <w:szCs w:val="24"/>
        </w:rPr>
        <w:t>:</w:t>
      </w:r>
      <w:r>
        <w:rPr>
          <w:rFonts w:hint="eastAsia" w:ascii="宋体" w:hAnsi="宋体"/>
          <w:sz w:val="24"/>
          <w:szCs w:val="24"/>
          <w:lang w:val="en-US" w:eastAsia="zh-CN"/>
        </w:rPr>
        <w:t>3</w:t>
      </w:r>
      <w:r>
        <w:rPr>
          <w:rFonts w:hint="eastAsia" w:ascii="宋体" w:hAnsi="宋体"/>
          <w:sz w:val="24"/>
          <w:szCs w:val="24"/>
        </w:rPr>
        <w:t>0:00（北京时间）</w:t>
      </w:r>
    </w:p>
    <w:p w14:paraId="466D5B52">
      <w:pPr>
        <w:spacing w:line="288" w:lineRule="auto"/>
        <w:ind w:firstLine="456" w:firstLineChars="200"/>
        <w:rPr>
          <w:rFonts w:ascii="Segoe UI Symbol" w:hAnsi="Segoe UI Symbol" w:cs="Segoe UI Symbol"/>
          <w:spacing w:val="-6"/>
          <w:sz w:val="24"/>
          <w:szCs w:val="24"/>
        </w:rPr>
      </w:pPr>
      <w:r>
        <w:rPr>
          <w:rFonts w:hint="eastAsia" w:ascii="宋体" w:hAnsi="宋体"/>
          <w:spacing w:val="-6"/>
          <w:sz w:val="24"/>
          <w:szCs w:val="24"/>
        </w:rPr>
        <w:t>地点（网址）：浙商银行数智采购平台（https://ccgp.szcgpt.czbank.com），</w:t>
      </w:r>
    </w:p>
    <w:p w14:paraId="7F7AA88D">
      <w:pPr>
        <w:spacing w:line="360" w:lineRule="auto"/>
        <w:ind w:firstLine="458" w:firstLineChars="200"/>
        <w:rPr>
          <w:rFonts w:hint="eastAsia" w:ascii="宋体" w:hAnsi="宋体"/>
          <w:b/>
          <w:bCs/>
          <w:spacing w:val="-6"/>
          <w:sz w:val="24"/>
          <w:szCs w:val="24"/>
        </w:rPr>
      </w:pPr>
      <w:r>
        <w:rPr>
          <w:rFonts w:hint="eastAsia" w:ascii="宋体" w:hAnsi="宋体"/>
          <w:b/>
          <w:bCs/>
          <w:spacing w:val="-6"/>
          <w:sz w:val="24"/>
          <w:szCs w:val="24"/>
        </w:rPr>
        <w:t>备注：</w:t>
      </w:r>
      <w:r>
        <w:rPr>
          <w:rFonts w:hint="eastAsia" w:ascii="宋体" w:hAnsi="宋体"/>
          <w:b/>
          <w:bCs/>
          <w:spacing w:val="-6"/>
          <w:sz w:val="24"/>
          <w:szCs w:val="24"/>
          <w:lang w:val="en-US" w:eastAsia="zh-CN"/>
        </w:rPr>
        <w:t>本项目</w:t>
      </w:r>
      <w:r>
        <w:rPr>
          <w:rFonts w:hint="eastAsia" w:ascii="宋体" w:hAnsi="宋体"/>
          <w:b/>
          <w:bCs/>
          <w:spacing w:val="-6"/>
          <w:sz w:val="24"/>
          <w:szCs w:val="24"/>
        </w:rPr>
        <w:t>采用电子交易，投标人无须派代表到开标现场递交纸质投标文件，但中标人须在中标后5个工作日内提供与电子投标文件一致的纸质投标文件1份。</w:t>
      </w:r>
    </w:p>
    <w:p w14:paraId="69FCEDB4">
      <w:pPr>
        <w:spacing w:line="360" w:lineRule="auto"/>
        <w:rPr>
          <w:rFonts w:hint="eastAsia" w:ascii="宋体" w:hAnsi="宋体" w:cs="Arial"/>
          <w:b/>
          <w:spacing w:val="-6"/>
          <w:sz w:val="24"/>
          <w:szCs w:val="24"/>
        </w:rPr>
      </w:pPr>
      <w:r>
        <w:rPr>
          <w:rFonts w:hint="eastAsia" w:ascii="宋体" w:hAnsi="宋体" w:cs="Arial"/>
          <w:b/>
          <w:spacing w:val="-6"/>
          <w:sz w:val="24"/>
          <w:szCs w:val="24"/>
        </w:rPr>
        <w:t>九、投标保证金</w:t>
      </w:r>
    </w:p>
    <w:p w14:paraId="296468B1">
      <w:pPr>
        <w:pStyle w:val="23"/>
        <w:ind w:firstLine="482" w:firstLineChars="200"/>
        <w:jc w:val="both"/>
        <w:rPr>
          <w:rFonts w:hint="eastAsia"/>
          <w:sz w:val="24"/>
          <w:szCs w:val="24"/>
        </w:rPr>
      </w:pPr>
      <w:r>
        <w:rPr>
          <w:rFonts w:hint="eastAsia" w:ascii="宋体" w:hAnsi="宋体" w:cs="宋体"/>
          <w:sz w:val="24"/>
          <w:szCs w:val="24"/>
        </w:rPr>
        <w:t>□</w:t>
      </w:r>
      <w:r>
        <w:rPr>
          <w:rFonts w:hint="eastAsia" w:ascii="Segoe UI Symbol" w:hAnsi="Segoe UI Symbol" w:cs="Segoe UI Symbol"/>
          <w:spacing w:val="-6"/>
          <w:sz w:val="24"/>
          <w:szCs w:val="24"/>
        </w:rPr>
        <w:t>无。</w:t>
      </w:r>
    </w:p>
    <w:p w14:paraId="0498C8FC">
      <w:pPr>
        <w:spacing w:line="360" w:lineRule="auto"/>
        <w:ind w:firstLine="480" w:firstLineChars="200"/>
        <w:rPr>
          <w:rFonts w:hint="eastAsia" w:ascii="宋体" w:hAnsi="宋体"/>
          <w:spacing w:val="-6"/>
          <w:sz w:val="24"/>
          <w:szCs w:val="24"/>
        </w:rPr>
      </w:pPr>
      <w:r>
        <w:rPr>
          <w:rFonts w:hint="eastAsia" w:ascii="宋体" w:hAnsi="宋体" w:cs="宋体"/>
          <w:sz w:val="24"/>
          <w:szCs w:val="24"/>
          <w:lang w:eastAsia="zh-CN"/>
        </w:rPr>
        <w:t>☑</w:t>
      </w:r>
      <w:r>
        <w:rPr>
          <w:rFonts w:hint="eastAsia" w:ascii="Segoe UI Symbol" w:hAnsi="Segoe UI Symbol" w:cs="Segoe UI Symbol"/>
          <w:spacing w:val="-6"/>
          <w:sz w:val="24"/>
          <w:szCs w:val="24"/>
        </w:rPr>
        <w:t>有：</w:t>
      </w:r>
      <w:r>
        <w:rPr>
          <w:rFonts w:hint="eastAsia" w:ascii="宋体" w:hAnsi="宋体"/>
          <w:spacing w:val="-6"/>
          <w:sz w:val="24"/>
          <w:szCs w:val="24"/>
        </w:rPr>
        <w:t>投标保证金：人民币</w:t>
      </w:r>
      <w:r>
        <w:rPr>
          <w:rFonts w:hint="eastAsia" w:ascii="宋体" w:hAnsi="宋体"/>
          <w:spacing w:val="-6"/>
          <w:sz w:val="24"/>
          <w:szCs w:val="24"/>
          <w:lang w:val="en-US" w:eastAsia="zh-CN"/>
        </w:rPr>
        <w:t>1</w:t>
      </w:r>
      <w:r>
        <w:rPr>
          <w:rFonts w:hint="eastAsia" w:ascii="宋体" w:hAnsi="宋体"/>
          <w:spacing w:val="-6"/>
          <w:sz w:val="24"/>
          <w:szCs w:val="24"/>
        </w:rPr>
        <w:t>万元整（不分标段），投标人应于</w:t>
      </w:r>
      <w:r>
        <w:rPr>
          <w:rFonts w:hint="eastAsia" w:ascii="宋体" w:hAnsi="宋体" w:cs="Arial"/>
          <w:b/>
          <w:bCs/>
          <w:spacing w:val="-6"/>
          <w:sz w:val="24"/>
          <w:szCs w:val="24"/>
        </w:rPr>
        <w:t>投标截止时间</w:t>
      </w:r>
      <w:r>
        <w:rPr>
          <w:rFonts w:hint="eastAsia" w:ascii="宋体" w:hAnsi="宋体"/>
          <w:spacing w:val="-6"/>
          <w:sz w:val="24"/>
          <w:szCs w:val="24"/>
        </w:rPr>
        <w:t>前缴纳并到账。</w:t>
      </w:r>
    </w:p>
    <w:p w14:paraId="11A88E12">
      <w:pPr>
        <w:spacing w:line="360" w:lineRule="auto"/>
        <w:ind w:firstLine="456" w:firstLineChars="200"/>
        <w:rPr>
          <w:rFonts w:hint="eastAsia" w:ascii="宋体" w:hAnsi="宋体"/>
          <w:spacing w:val="-6"/>
          <w:sz w:val="24"/>
          <w:szCs w:val="24"/>
        </w:rPr>
      </w:pPr>
      <w:r>
        <w:rPr>
          <w:rFonts w:hint="eastAsia" w:ascii="宋体" w:hAnsi="宋体"/>
          <w:spacing w:val="-6"/>
          <w:sz w:val="24"/>
          <w:szCs w:val="24"/>
        </w:rPr>
        <w:t>保证金缴纳流程：【供应商在【金融服务】-【我的项目】中找到本项目，获取唯一的保证金虚拟账户信息。请按照采购文件要求从企业对公账户缴纳保证金至该虚拟账户。供应商每个项目的保证金虚拟账户是唯一的，即同一个项目的不同供应商虚拟账户信息不一样。同一供应商不同项目的虚拟账户信息也不一样，请勿泄露虚拟账户信息，注意不要打错。截止时间（即递交投标文件的截止时间，下同）前必须到账，投标保证金必须从供应商账户转出，否则视为无效。如线上缴纳保证金失败，请联系许先生，联系电话0571-87659622。】</w:t>
      </w:r>
    </w:p>
    <w:p w14:paraId="3FD18BEC">
      <w:pPr>
        <w:spacing w:line="288" w:lineRule="auto"/>
        <w:rPr>
          <w:rFonts w:hint="eastAsia" w:ascii="宋体" w:hAnsi="宋体" w:cs="Arial"/>
          <w:b/>
          <w:spacing w:val="-6"/>
          <w:sz w:val="24"/>
          <w:szCs w:val="24"/>
        </w:rPr>
      </w:pPr>
      <w:r>
        <w:rPr>
          <w:rFonts w:hint="eastAsia" w:ascii="宋体" w:hAnsi="宋体" w:cs="Arial"/>
          <w:b/>
          <w:spacing w:val="-6"/>
          <w:sz w:val="24"/>
          <w:szCs w:val="24"/>
        </w:rPr>
        <w:t>十、公告发布媒介：</w:t>
      </w:r>
    </w:p>
    <w:p w14:paraId="1993C9E2">
      <w:pPr>
        <w:keepNext w:val="0"/>
        <w:keepLines w:val="0"/>
        <w:pageBreakBefore w:val="0"/>
        <w:widowControl w:val="0"/>
        <w:kinsoku/>
        <w:wordWrap w:val="0"/>
        <w:overflowPunct/>
        <w:topLinePunct w:val="0"/>
        <w:autoSpaceDE/>
        <w:autoSpaceDN/>
        <w:bidi w:val="0"/>
        <w:adjustRightInd/>
        <w:snapToGrid/>
        <w:spacing w:line="360" w:lineRule="auto"/>
        <w:ind w:firstLine="456" w:firstLineChars="200"/>
        <w:textAlignment w:val="auto"/>
        <w:rPr>
          <w:rFonts w:hint="eastAsia" w:ascii="宋体" w:hAnsi="宋体"/>
          <w:spacing w:val="-6"/>
          <w:sz w:val="24"/>
          <w:szCs w:val="24"/>
        </w:rPr>
      </w:pPr>
      <w:r>
        <w:rPr>
          <w:rFonts w:hint="eastAsia" w:ascii="宋体" w:hAnsi="宋体"/>
          <w:spacing w:val="-6"/>
          <w:sz w:val="24"/>
          <w:szCs w:val="24"/>
        </w:rPr>
        <w:t>本次招标公告在金采网（www.cfcpn.com）、</w:t>
      </w:r>
      <w:r>
        <w:rPr>
          <w:rFonts w:hint="eastAsia" w:ascii="宋体" w:hAnsi="宋体"/>
          <w:spacing w:val="-6"/>
          <w:sz w:val="24"/>
          <w:szCs w:val="24"/>
          <w:lang w:val="en-US" w:eastAsia="zh-CN"/>
        </w:rPr>
        <w:t>山东省采购与招标</w:t>
      </w:r>
      <w:r>
        <w:rPr>
          <w:rFonts w:hint="eastAsia" w:ascii="宋体" w:hAnsi="宋体"/>
          <w:spacing w:val="-6"/>
          <w:sz w:val="24"/>
          <w:szCs w:val="24"/>
        </w:rPr>
        <w:t>网（https://www.sdbidding.org.cn）、浙商银行数智采购平台（https://ccgp.szcgpt.czbank.com）发布，因轻信其他组织、个人或媒体提供的信息而造成损失的，招标人、招标代理机构概不负责。</w:t>
      </w:r>
    </w:p>
    <w:p w14:paraId="6D9522B7">
      <w:pPr>
        <w:spacing w:line="288" w:lineRule="auto"/>
        <w:rPr>
          <w:rFonts w:hint="eastAsia" w:ascii="宋体" w:hAnsi="宋体" w:cs="Arial"/>
          <w:b/>
          <w:spacing w:val="-6"/>
          <w:sz w:val="24"/>
          <w:szCs w:val="24"/>
        </w:rPr>
      </w:pPr>
      <w:r>
        <w:rPr>
          <w:rFonts w:hint="eastAsia" w:ascii="宋体" w:hAnsi="宋体" w:cs="Arial"/>
          <w:b/>
          <w:spacing w:val="-6"/>
          <w:sz w:val="24"/>
          <w:szCs w:val="24"/>
        </w:rPr>
        <w:t>十一、业务咨询：</w:t>
      </w:r>
    </w:p>
    <w:p w14:paraId="51284485">
      <w:pPr>
        <w:widowControl/>
        <w:autoSpaceDE w:val="0"/>
        <w:adjustRightInd w:val="0"/>
        <w:snapToGrid w:val="0"/>
        <w:spacing w:line="360" w:lineRule="auto"/>
        <w:ind w:firstLine="480" w:firstLineChars="200"/>
        <w:jc w:val="left"/>
        <w:rPr>
          <w:rFonts w:hint="eastAsia" w:ascii="宋体" w:hAnsi="宋体" w:eastAsia="宋体" w:cs="宋体"/>
          <w:kern w:val="0"/>
          <w:sz w:val="24"/>
          <w:szCs w:val="24"/>
          <w:lang w:eastAsia="zh-CN" w:bidi="ar"/>
        </w:rPr>
      </w:pPr>
      <w:r>
        <w:rPr>
          <w:rFonts w:hint="eastAsia" w:ascii="宋体" w:hAnsi="宋体" w:cs="宋体"/>
          <w:kern w:val="0"/>
          <w:sz w:val="24"/>
          <w:szCs w:val="24"/>
          <w:lang w:bidi="ar"/>
        </w:rPr>
        <w:t>1.招标人名称：浙商银行股份有限公司</w:t>
      </w:r>
      <w:r>
        <w:rPr>
          <w:rFonts w:hint="eastAsia" w:ascii="宋体" w:hAnsi="宋体" w:cs="宋体"/>
          <w:kern w:val="0"/>
          <w:sz w:val="24"/>
          <w:szCs w:val="24"/>
          <w:lang w:val="en-US" w:eastAsia="zh-CN" w:bidi="ar"/>
        </w:rPr>
        <w:t>济南</w:t>
      </w:r>
      <w:r>
        <w:rPr>
          <w:rFonts w:hint="eastAsia" w:ascii="宋体" w:hAnsi="宋体" w:cs="宋体"/>
          <w:kern w:val="0"/>
          <w:sz w:val="24"/>
          <w:szCs w:val="24"/>
          <w:lang w:eastAsia="zh-CN" w:bidi="ar"/>
        </w:rPr>
        <w:t>分行</w:t>
      </w:r>
    </w:p>
    <w:p w14:paraId="304DCE42">
      <w:pPr>
        <w:widowControl/>
        <w:autoSpaceDE w:val="0"/>
        <w:adjustRightInd w:val="0"/>
        <w:snapToGrid w:val="0"/>
        <w:spacing w:line="360" w:lineRule="auto"/>
        <w:ind w:firstLine="720" w:firstLineChars="300"/>
        <w:jc w:val="left"/>
        <w:rPr>
          <w:rFonts w:hint="eastAsia" w:ascii="宋体" w:hAnsi="宋体" w:cs="宋体"/>
          <w:kern w:val="0"/>
          <w:sz w:val="24"/>
          <w:szCs w:val="24"/>
          <w:lang w:bidi="ar"/>
        </w:rPr>
      </w:pPr>
      <w:r>
        <w:rPr>
          <w:rFonts w:hint="eastAsia" w:ascii="宋体" w:hAnsi="宋体" w:cs="宋体"/>
          <w:kern w:val="0"/>
          <w:sz w:val="24"/>
          <w:szCs w:val="24"/>
          <w:lang w:bidi="ar"/>
        </w:rPr>
        <w:t>地址：济南市历下区草山岭南路801号</w:t>
      </w:r>
    </w:p>
    <w:p w14:paraId="1971C4A3">
      <w:pPr>
        <w:widowControl/>
        <w:autoSpaceDE w:val="0"/>
        <w:adjustRightInd w:val="0"/>
        <w:snapToGrid w:val="0"/>
        <w:spacing w:line="360" w:lineRule="auto"/>
        <w:ind w:firstLine="720" w:firstLineChars="300"/>
        <w:jc w:val="left"/>
        <w:rPr>
          <w:rFonts w:hint="eastAsia" w:ascii="宋体" w:hAnsi="宋体" w:eastAsia="宋体" w:cs="宋体"/>
          <w:kern w:val="0"/>
          <w:sz w:val="24"/>
          <w:szCs w:val="24"/>
          <w:highlight w:val="none"/>
          <w:lang w:eastAsia="zh-CN" w:bidi="ar"/>
        </w:rPr>
      </w:pPr>
      <w:r>
        <w:rPr>
          <w:rFonts w:hint="eastAsia" w:ascii="宋体" w:hAnsi="宋体" w:cs="宋体"/>
          <w:kern w:val="0"/>
          <w:sz w:val="24"/>
          <w:szCs w:val="24"/>
          <w:lang w:bidi="ar"/>
        </w:rPr>
        <w:t>联系人：</w:t>
      </w:r>
      <w:r>
        <w:rPr>
          <w:rFonts w:hint="eastAsia" w:ascii="宋体" w:hAnsi="宋体" w:cs="宋体"/>
          <w:kern w:val="0"/>
          <w:sz w:val="24"/>
          <w:szCs w:val="24"/>
          <w:highlight w:val="none"/>
          <w:lang w:val="en-US" w:eastAsia="zh-CN" w:bidi="ar"/>
        </w:rPr>
        <w:t>张老师</w:t>
      </w:r>
    </w:p>
    <w:p w14:paraId="073F02AC">
      <w:pPr>
        <w:widowControl/>
        <w:autoSpaceDE w:val="0"/>
        <w:adjustRightInd w:val="0"/>
        <w:snapToGrid w:val="0"/>
        <w:spacing w:line="360" w:lineRule="auto"/>
        <w:ind w:firstLine="720" w:firstLineChars="300"/>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联系方法：0531-59669925</w:t>
      </w:r>
    </w:p>
    <w:p w14:paraId="70265304">
      <w:pPr>
        <w:widowControl/>
        <w:autoSpaceDE w:val="0"/>
        <w:adjustRightInd w:val="0"/>
        <w:snapToGrid w:val="0"/>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2.招标代理机构名称：公诚管理咨询有限公司</w:t>
      </w:r>
    </w:p>
    <w:p w14:paraId="6C069DF2">
      <w:pPr>
        <w:widowControl/>
        <w:autoSpaceDE w:val="0"/>
        <w:adjustRightInd w:val="0"/>
        <w:snapToGrid w:val="0"/>
        <w:spacing w:line="360" w:lineRule="auto"/>
        <w:ind w:firstLine="720" w:firstLineChars="300"/>
        <w:jc w:val="left"/>
        <w:rPr>
          <w:rFonts w:ascii="宋体" w:hAnsi="宋体" w:cs="宋体"/>
          <w:kern w:val="0"/>
          <w:sz w:val="24"/>
          <w:szCs w:val="24"/>
          <w:lang w:bidi="ar"/>
        </w:rPr>
      </w:pPr>
      <w:r>
        <w:rPr>
          <w:rFonts w:hint="eastAsia" w:ascii="宋体" w:hAnsi="宋体" w:cs="宋体"/>
          <w:kern w:val="0"/>
          <w:sz w:val="24"/>
          <w:szCs w:val="24"/>
          <w:lang w:bidi="ar"/>
        </w:rPr>
        <w:t>地址：济南市历下区经十路10690号建邦数字中心11楼</w:t>
      </w:r>
    </w:p>
    <w:p w14:paraId="24B9E5F5">
      <w:pPr>
        <w:widowControl/>
        <w:autoSpaceDE w:val="0"/>
        <w:adjustRightInd w:val="0"/>
        <w:snapToGrid w:val="0"/>
        <w:spacing w:line="360" w:lineRule="auto"/>
        <w:ind w:firstLine="720" w:firstLineChars="300"/>
        <w:jc w:val="left"/>
        <w:rPr>
          <w:rFonts w:hint="eastAsia" w:ascii="宋体" w:hAnsi="宋体" w:cs="宋体"/>
          <w:kern w:val="0"/>
          <w:sz w:val="24"/>
          <w:szCs w:val="24"/>
          <w:lang w:bidi="ar"/>
        </w:rPr>
      </w:pPr>
      <w:r>
        <w:rPr>
          <w:rFonts w:hint="eastAsia" w:ascii="宋体" w:hAnsi="宋体" w:cs="宋体"/>
          <w:kern w:val="0"/>
          <w:sz w:val="24"/>
          <w:szCs w:val="24"/>
          <w:lang w:bidi="ar"/>
        </w:rPr>
        <w:t>业务联系人：吴振鲁、汪珊珊、阴欣悦、唐建鑫</w:t>
      </w:r>
    </w:p>
    <w:p w14:paraId="79E6A44A">
      <w:pPr>
        <w:widowControl/>
        <w:autoSpaceDE w:val="0"/>
        <w:adjustRightInd w:val="0"/>
        <w:snapToGrid w:val="0"/>
        <w:spacing w:line="360" w:lineRule="auto"/>
        <w:ind w:firstLine="720" w:firstLineChars="300"/>
        <w:jc w:val="left"/>
        <w:rPr>
          <w:rFonts w:ascii="宋体" w:hAnsi="宋体" w:cs="宋体"/>
          <w:kern w:val="0"/>
          <w:sz w:val="24"/>
          <w:szCs w:val="24"/>
          <w:lang w:bidi="ar"/>
        </w:rPr>
      </w:pPr>
      <w:r>
        <w:rPr>
          <w:rFonts w:hint="eastAsia" w:ascii="宋体" w:hAnsi="宋体" w:cs="宋体"/>
          <w:kern w:val="0"/>
          <w:sz w:val="24"/>
          <w:szCs w:val="24"/>
          <w:lang w:bidi="ar"/>
        </w:rPr>
        <w:t>联系方法：</w:t>
      </w:r>
      <w:r>
        <w:rPr>
          <w:rFonts w:hint="eastAsia" w:ascii="宋体" w:hAnsi="宋体" w:cs="宋体"/>
          <w:kern w:val="0"/>
          <w:sz w:val="24"/>
          <w:szCs w:val="24"/>
          <w:lang w:val="en-US" w:eastAsia="zh-CN" w:bidi="ar"/>
        </w:rPr>
        <w:t>13702005631</w:t>
      </w:r>
      <w:r>
        <w:rPr>
          <w:rFonts w:hint="eastAsia" w:ascii="宋体" w:hAnsi="宋体" w:cs="宋体"/>
          <w:kern w:val="0"/>
          <w:sz w:val="24"/>
          <w:szCs w:val="24"/>
          <w:lang w:bidi="ar"/>
        </w:rPr>
        <w:t>、13105319259</w:t>
      </w:r>
    </w:p>
    <w:p w14:paraId="0FEA06E2">
      <w:pPr>
        <w:widowControl/>
        <w:autoSpaceDE w:val="0"/>
        <w:adjustRightInd w:val="0"/>
        <w:snapToGrid w:val="0"/>
        <w:spacing w:line="360" w:lineRule="auto"/>
        <w:ind w:firstLine="720" w:firstLineChars="300"/>
        <w:jc w:val="left"/>
        <w:rPr>
          <w:rFonts w:hint="eastAsia" w:ascii="宋体" w:hAnsi="宋体" w:cs="宋体"/>
          <w:kern w:val="0"/>
          <w:sz w:val="24"/>
          <w:szCs w:val="24"/>
          <w:lang w:bidi="ar"/>
        </w:rPr>
      </w:pPr>
      <w:r>
        <w:rPr>
          <w:rFonts w:hint="eastAsia" w:ascii="宋体" w:hAnsi="宋体" w:cs="宋体"/>
          <w:kern w:val="0"/>
          <w:sz w:val="24"/>
          <w:szCs w:val="24"/>
          <w:lang w:bidi="ar"/>
        </w:rPr>
        <w:t>电子邮箱：15106367708@139.com</w:t>
      </w:r>
    </w:p>
    <w:p w14:paraId="44E7ADAF">
      <w:pPr>
        <w:widowControl/>
        <w:autoSpaceDE w:val="0"/>
        <w:adjustRightInd w:val="0"/>
        <w:snapToGrid w:val="0"/>
        <w:spacing w:line="360" w:lineRule="auto"/>
        <w:ind w:firstLine="720" w:firstLineChars="300"/>
        <w:jc w:val="left"/>
        <w:rPr>
          <w:rFonts w:hint="eastAsia" w:ascii="宋体" w:hAnsi="宋体" w:cs="宋体"/>
          <w:kern w:val="0"/>
          <w:sz w:val="24"/>
          <w:szCs w:val="24"/>
          <w:lang w:bidi="ar"/>
        </w:rPr>
      </w:pPr>
      <w:r>
        <w:rPr>
          <w:rFonts w:hint="eastAsia" w:ascii="宋体" w:hAnsi="宋体" w:cs="宋体"/>
          <w:kern w:val="0"/>
          <w:sz w:val="24"/>
          <w:szCs w:val="24"/>
          <w:lang w:bidi="ar"/>
        </w:rPr>
        <w:t>招标代理机构异议联系人：吴振鲁</w:t>
      </w:r>
    </w:p>
    <w:p w14:paraId="1EB8D222">
      <w:pPr>
        <w:widowControl/>
        <w:autoSpaceDE w:val="0"/>
        <w:adjustRightInd w:val="0"/>
        <w:snapToGrid w:val="0"/>
        <w:spacing w:line="360" w:lineRule="auto"/>
        <w:ind w:firstLine="720" w:firstLineChars="300"/>
        <w:jc w:val="left"/>
        <w:rPr>
          <w:rFonts w:ascii="宋体" w:hAnsi="宋体" w:cs="宋体"/>
          <w:kern w:val="0"/>
          <w:sz w:val="24"/>
          <w:szCs w:val="24"/>
          <w:lang w:bidi="ar"/>
        </w:rPr>
      </w:pPr>
      <w:r>
        <w:rPr>
          <w:rFonts w:hint="eastAsia" w:ascii="宋体" w:hAnsi="宋体" w:cs="宋体"/>
          <w:kern w:val="0"/>
          <w:sz w:val="24"/>
          <w:szCs w:val="24"/>
          <w:lang w:bidi="ar"/>
        </w:rPr>
        <w:t>联系方法：</w:t>
      </w:r>
      <w:r>
        <w:rPr>
          <w:rFonts w:hint="eastAsia" w:ascii="宋体" w:hAnsi="宋体" w:cs="宋体"/>
          <w:kern w:val="0"/>
          <w:sz w:val="24"/>
          <w:szCs w:val="24"/>
          <w:lang w:val="en-US" w:eastAsia="zh-CN" w:bidi="ar"/>
        </w:rPr>
        <w:t>13702005631</w:t>
      </w:r>
    </w:p>
    <w:p w14:paraId="59D19089">
      <w:pPr>
        <w:spacing w:line="288" w:lineRule="auto"/>
        <w:rPr>
          <w:rFonts w:hint="eastAsia" w:ascii="宋体" w:hAnsi="宋体" w:cs="Arial"/>
          <w:b/>
          <w:spacing w:val="-6"/>
          <w:sz w:val="24"/>
          <w:szCs w:val="24"/>
        </w:rPr>
      </w:pPr>
      <w:r>
        <w:rPr>
          <w:rFonts w:hint="eastAsia" w:ascii="宋体" w:hAnsi="宋体" w:cs="Arial"/>
          <w:b/>
          <w:spacing w:val="-6"/>
          <w:sz w:val="24"/>
          <w:szCs w:val="24"/>
        </w:rPr>
        <w:t>十二、电子招投标的说明：</w:t>
      </w:r>
    </w:p>
    <w:p w14:paraId="0984CD5D">
      <w:pPr>
        <w:spacing w:line="360" w:lineRule="auto"/>
        <w:ind w:firstLine="480" w:firstLineChars="200"/>
        <w:rPr>
          <w:rFonts w:hint="eastAsia" w:ascii="宋体" w:hAnsi="宋体" w:cs="宋体"/>
          <w:sz w:val="24"/>
          <w:szCs w:val="24"/>
        </w:rPr>
      </w:pPr>
      <w:r>
        <w:rPr>
          <w:rFonts w:hint="eastAsia" w:ascii="宋体" w:hAnsi="宋体" w:cs="宋体"/>
          <w:sz w:val="24"/>
          <w:szCs w:val="24"/>
        </w:rPr>
        <w:t>1.①电子招投标：本项目以数据电文形式，依托“浙商银行数智采购平台（https://ccgp.szcgpt.czbank.com）”进行招投标活动，不接受纸质投标文件；②投标准备：注册账号--点击“供应商注册”，进行采购供应商资料填写；申领CA数字证书---浙商银行数智采购平台CA申领使用操作手册”；安装“浙商银行数智采购一体化管理投标客户端”--前往“浙商银行数智采购平台-帮助中心-资料下载-浙商银行数智采购一体化管理投标客户端下载”进行下载并安装；③招标文件的获取：使用账号登录或者使用CA数字证书登录浙商银行数智采购平台；进入“项目采购”应用，在获取采购文件菜单中选择项目，获取招标文件；④投标文件的制作：在“浙商银行数智采购一体化管理投标客户端”中完成“填写基本信息”、“导入投标文件”、“标书关联”、“标书检查”、“电子签名”、“生成电子标书”等操作；⑤招标人、代理机构将依托浙商银行数智采购平台完成本项目的电子交易活动，平台不接受未按上述方式获取招标文件的投标人进行投标活动； ⑥对未按上述方式获取招标文件的投标人对该文件提出的质疑，招标人或采购代理机构将不予处理；⑦不提供招标文件纸质版；⑧投标文件的传输递交：投标人在投标截止时间前将加密的投标文件上传至浙商银行数智采购平台，还可以在投标截止时间前直接提交或者以邮政快递方式递交备份投标文件1份。备份投标文件的制作、存储、密封详见招标文件第二章  投标人须知“投标人须知前附表”；⑨投标文件的解密：投标人按照平台提示和招标文件的规定在半小时内完成在线解密。通过“浙商银行数智采购平台”上传递交的投标文件无法按时解密，投标人递交了备份投标文件的，以备份投标文件为依据，否则视为投标文件撤回。通过“浙商银行数智采购平台”上传递交的投标文件已按时解密的，备份投标文件自动失效。投标人仅提交备份投标文件，未在电子交易平台传输递交投标文件的，投标无效；⑩具体操作指南：详见浙商银行数智采购平台“帮助中心-资料下载-浙商银行数智采购平台供应商操作手册”。</w:t>
      </w:r>
    </w:p>
    <w:p w14:paraId="1F17831F">
      <w:pPr>
        <w:spacing w:line="360" w:lineRule="auto"/>
        <w:ind w:firstLine="480" w:firstLineChars="200"/>
        <w:rPr>
          <w:rFonts w:hint="eastAsia" w:ascii="宋体" w:hAnsi="宋体" w:cs="宋体"/>
          <w:sz w:val="24"/>
          <w:szCs w:val="24"/>
        </w:rPr>
      </w:pPr>
      <w:r>
        <w:rPr>
          <w:rFonts w:hint="eastAsia" w:ascii="宋体" w:hAnsi="宋体" w:cs="宋体"/>
          <w:sz w:val="24"/>
          <w:szCs w:val="24"/>
        </w:rPr>
        <w:t>2.若对项目采购电子交易系统操作有疑问，可平台服务热线95763获取热线服务帮助。</w:t>
      </w:r>
    </w:p>
    <w:p w14:paraId="4F43B4C9">
      <w:pPr>
        <w:autoSpaceDE w:val="0"/>
        <w:adjustRightInd w:val="0"/>
        <w:snapToGrid w:val="0"/>
        <w:spacing w:line="360" w:lineRule="auto"/>
        <w:rPr>
          <w:rFonts w:hint="eastAsia" w:ascii="宋体" w:hAnsi="宋体" w:cs="宋体"/>
          <w:b/>
          <w:sz w:val="24"/>
          <w:szCs w:val="24"/>
          <w:lang w:bidi="ar"/>
        </w:rPr>
      </w:pPr>
      <w:r>
        <w:rPr>
          <w:rFonts w:hint="eastAsia" w:ascii="宋体" w:hAnsi="宋体" w:cs="宋体"/>
          <w:sz w:val="24"/>
          <w:szCs w:val="24"/>
        </w:rPr>
        <w:t>CA问题联系电话（人工）：汇信CA 400-888-4636；天谷CA 400-087-8198。</w:t>
      </w:r>
    </w:p>
    <w:p w14:paraId="07E9BFD5">
      <w:pPr>
        <w:ind w:firstLine="964" w:firstLineChars="300"/>
        <w:jc w:val="center"/>
        <w:outlineLvl w:val="0"/>
        <w:rPr>
          <w:rFonts w:hint="eastAsia" w:ascii="宋体" w:hAnsi="宋体"/>
          <w:sz w:val="21"/>
          <w:szCs w:val="21"/>
        </w:rPr>
      </w:pPr>
      <w:r>
        <w:rPr>
          <w:rFonts w:hint="eastAsia" w:ascii="宋体" w:hAnsi="宋体"/>
          <w:b/>
          <w:sz w:val="32"/>
          <w:szCs w:val="32"/>
        </w:rPr>
        <w:br w:type="page"/>
      </w:r>
      <w:r>
        <w:rPr>
          <w:rFonts w:hint="eastAsia" w:ascii="宋体" w:hAnsi="宋体"/>
          <w:b/>
          <w:sz w:val="32"/>
          <w:szCs w:val="32"/>
        </w:rPr>
        <w:t>第二章  投标人须知</w:t>
      </w:r>
    </w:p>
    <w:p w14:paraId="7C62ECD7">
      <w:pPr>
        <w:spacing w:line="288" w:lineRule="auto"/>
        <w:ind w:left="238"/>
        <w:jc w:val="center"/>
        <w:outlineLvl w:val="1"/>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p w14:paraId="15EBBE90">
      <w:pPr>
        <w:pStyle w:val="12"/>
        <w:kinsoku w:val="0"/>
        <w:overflowPunct w:val="0"/>
        <w:spacing w:before="12" w:line="360" w:lineRule="auto"/>
        <w:rPr>
          <w:rFonts w:hint="eastAsia" w:ascii="宋体" w:hAnsi="宋体" w:cs="宋体"/>
          <w:b/>
          <w:bCs/>
          <w:sz w:val="12"/>
          <w:szCs w:val="12"/>
        </w:rPr>
      </w:pPr>
    </w:p>
    <w:tbl>
      <w:tblPr>
        <w:tblStyle w:val="33"/>
        <w:tblW w:w="10122" w:type="dxa"/>
        <w:jc w:val="center"/>
        <w:tblLayout w:type="fixed"/>
        <w:tblCellMar>
          <w:top w:w="0" w:type="dxa"/>
          <w:left w:w="0" w:type="dxa"/>
          <w:bottom w:w="0" w:type="dxa"/>
          <w:right w:w="0" w:type="dxa"/>
        </w:tblCellMar>
      </w:tblPr>
      <w:tblGrid>
        <w:gridCol w:w="1272"/>
        <w:gridCol w:w="1840"/>
        <w:gridCol w:w="7010"/>
      </w:tblGrid>
      <w:tr w14:paraId="7087460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0C5C949">
            <w:pPr>
              <w:pStyle w:val="123"/>
              <w:kinsoku w:val="0"/>
              <w:overflowPunct w:val="0"/>
              <w:spacing w:before="41" w:line="360" w:lineRule="auto"/>
              <w:ind w:left="259"/>
              <w:jc w:val="center"/>
              <w:rPr>
                <w:rFonts w:hint="eastAsia" w:ascii="宋体" w:hAnsi="宋体" w:cs="宋体"/>
                <w:kern w:val="2"/>
              </w:rPr>
            </w:pPr>
            <w:r>
              <w:rPr>
                <w:rFonts w:hint="eastAsia" w:ascii="宋体" w:hAnsi="宋体" w:cs="宋体"/>
                <w:b/>
                <w:bCs/>
                <w:kern w:val="2"/>
              </w:rPr>
              <w:t>条款号</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E4D23B1">
            <w:pPr>
              <w:pStyle w:val="123"/>
              <w:kinsoku w:val="0"/>
              <w:overflowPunct w:val="0"/>
              <w:spacing w:before="41" w:line="360" w:lineRule="auto"/>
              <w:jc w:val="center"/>
              <w:rPr>
                <w:rFonts w:hint="eastAsia" w:ascii="宋体" w:hAnsi="宋体" w:cs="宋体"/>
                <w:kern w:val="2"/>
              </w:rPr>
            </w:pPr>
            <w:r>
              <w:rPr>
                <w:rFonts w:hint="eastAsia" w:ascii="宋体" w:hAnsi="宋体" w:cs="宋体"/>
                <w:b/>
                <w:bCs/>
                <w:kern w:val="2"/>
              </w:rPr>
              <w:t>条款名称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855FEA9">
            <w:pPr>
              <w:pStyle w:val="123"/>
              <w:kinsoku w:val="0"/>
              <w:overflowPunct w:val="0"/>
              <w:spacing w:before="41" w:line="360" w:lineRule="auto"/>
              <w:ind w:left="2"/>
              <w:jc w:val="center"/>
              <w:rPr>
                <w:rFonts w:hint="eastAsia" w:ascii="宋体" w:hAnsi="宋体" w:cs="宋体"/>
                <w:kern w:val="2"/>
              </w:rPr>
            </w:pPr>
            <w:r>
              <w:rPr>
                <w:rFonts w:hint="eastAsia" w:ascii="宋体" w:hAnsi="宋体" w:cs="宋体"/>
                <w:b/>
                <w:bCs/>
                <w:kern w:val="2"/>
              </w:rPr>
              <w:t>编列内容</w:t>
            </w:r>
          </w:p>
        </w:tc>
      </w:tr>
      <w:tr w14:paraId="584A6EB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D3076E0">
            <w:pPr>
              <w:pStyle w:val="123"/>
              <w:kinsoku w:val="0"/>
              <w:overflowPunct w:val="0"/>
              <w:spacing w:line="360" w:lineRule="auto"/>
              <w:jc w:val="center"/>
              <w:rPr>
                <w:rFonts w:hint="eastAsia" w:ascii="宋体" w:hAnsi="宋体" w:cs="宋体"/>
                <w:kern w:val="2"/>
              </w:rPr>
            </w:pPr>
            <w:r>
              <w:rPr>
                <w:rFonts w:hint="eastAsia" w:ascii="宋体" w:hAnsi="宋体" w:cs="宋体"/>
                <w:kern w:val="2"/>
              </w:rPr>
              <w:t>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7F18BFC">
            <w:pPr>
              <w:pStyle w:val="123"/>
              <w:kinsoku w:val="0"/>
              <w:overflowPunct w:val="0"/>
              <w:spacing w:line="360" w:lineRule="auto"/>
              <w:jc w:val="center"/>
              <w:rPr>
                <w:rFonts w:hint="eastAsia" w:ascii="宋体" w:hAnsi="宋体" w:cs="宋体"/>
                <w:b w:val="0"/>
                <w:bCs w:val="0"/>
                <w:kern w:val="2"/>
              </w:rPr>
            </w:pPr>
            <w:r>
              <w:rPr>
                <w:rFonts w:hint="eastAsia" w:ascii="宋体" w:hAnsi="宋体" w:cs="宋体"/>
                <w:b w:val="0"/>
                <w:bCs w:val="0"/>
                <w:kern w:val="2"/>
              </w:rPr>
              <w:t>项目名称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5C804F6">
            <w:pPr>
              <w:pStyle w:val="123"/>
              <w:kinsoku w:val="0"/>
              <w:overflowPunct w:val="0"/>
              <w:spacing w:before="41" w:line="360" w:lineRule="auto"/>
              <w:ind w:left="2"/>
              <w:rPr>
                <w:rFonts w:hint="default" w:ascii="宋体" w:hAnsi="宋体" w:eastAsia="宋体" w:cs="宋体"/>
                <w:b w:val="0"/>
                <w:bCs w:val="0"/>
                <w:kern w:val="2"/>
                <w:lang w:val="en-US" w:eastAsia="zh-CN"/>
              </w:rPr>
            </w:pPr>
            <w:r>
              <w:rPr>
                <w:rFonts w:hint="eastAsia" w:ascii="宋体" w:hAnsi="宋体" w:cs="宋体"/>
                <w:b w:val="0"/>
                <w:bCs w:val="0"/>
                <w:kern w:val="2"/>
                <w:lang w:eastAsia="zh-CN"/>
              </w:rPr>
              <w:t>浙商银行股份有限公司潍坊分行同城支行弱电工程采购</w:t>
            </w:r>
            <w:r>
              <w:rPr>
                <w:rFonts w:hint="eastAsia" w:ascii="宋体" w:hAnsi="宋体" w:cs="宋体"/>
                <w:b w:val="0"/>
                <w:bCs w:val="0"/>
                <w:kern w:val="2"/>
                <w:lang w:val="en-US" w:eastAsia="zh-CN"/>
              </w:rPr>
              <w:t>项目</w:t>
            </w:r>
          </w:p>
        </w:tc>
      </w:tr>
      <w:tr w14:paraId="5EEC768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F5325E5">
            <w:pPr>
              <w:pStyle w:val="123"/>
              <w:kinsoku w:val="0"/>
              <w:overflowPunct w:val="0"/>
              <w:spacing w:line="360" w:lineRule="auto"/>
              <w:jc w:val="center"/>
              <w:rPr>
                <w:rFonts w:hint="eastAsia" w:ascii="宋体" w:hAnsi="宋体" w:cs="宋体"/>
                <w:kern w:val="2"/>
              </w:rPr>
            </w:pPr>
            <w:r>
              <w:rPr>
                <w:rFonts w:hint="eastAsia" w:ascii="宋体" w:hAnsi="宋体" w:cs="宋体"/>
                <w:kern w:val="2"/>
              </w:rPr>
              <w:t>1.2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9DAFE90">
            <w:pPr>
              <w:pStyle w:val="123"/>
              <w:kinsoku w:val="0"/>
              <w:overflowPunct w:val="0"/>
              <w:spacing w:line="360" w:lineRule="auto"/>
              <w:jc w:val="center"/>
              <w:rPr>
                <w:rFonts w:hint="eastAsia" w:ascii="宋体" w:hAnsi="宋体" w:cs="宋体"/>
                <w:kern w:val="2"/>
              </w:rPr>
            </w:pPr>
            <w:r>
              <w:rPr>
                <w:rFonts w:hint="eastAsia" w:ascii="宋体" w:hAnsi="宋体" w:cs="宋体"/>
                <w:kern w:val="2"/>
              </w:rPr>
              <w:t>招标人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BA3EA60">
            <w:pPr>
              <w:pStyle w:val="123"/>
              <w:kinsoku w:val="0"/>
              <w:overflowPunct w:val="0"/>
              <w:spacing w:before="41" w:line="360" w:lineRule="auto"/>
              <w:ind w:left="2"/>
              <w:rPr>
                <w:rFonts w:hint="eastAsia" w:ascii="宋体" w:hAnsi="宋体" w:eastAsia="宋体" w:cs="宋体"/>
                <w:bCs/>
                <w:kern w:val="2"/>
                <w:lang w:eastAsia="zh-CN"/>
              </w:rPr>
            </w:pPr>
            <w:r>
              <w:rPr>
                <w:rFonts w:hint="eastAsia" w:ascii="宋体" w:hAnsi="宋体" w:cs="宋体"/>
                <w:bCs/>
                <w:kern w:val="2"/>
              </w:rPr>
              <w:t>名称：浙商银行股份有限公司</w:t>
            </w:r>
            <w:r>
              <w:rPr>
                <w:rFonts w:hint="eastAsia" w:ascii="宋体" w:hAnsi="宋体" w:cs="宋体"/>
                <w:bCs/>
                <w:kern w:val="2"/>
                <w:lang w:val="en-US" w:eastAsia="zh-CN"/>
              </w:rPr>
              <w:t>济南</w:t>
            </w:r>
            <w:r>
              <w:rPr>
                <w:rFonts w:hint="eastAsia" w:ascii="宋体" w:hAnsi="宋体" w:cs="宋体"/>
                <w:bCs/>
                <w:kern w:val="2"/>
                <w:lang w:eastAsia="zh-CN"/>
              </w:rPr>
              <w:t>分行</w:t>
            </w:r>
          </w:p>
          <w:p w14:paraId="3716C173">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地址：济南市历下区草山岭南路801号</w:t>
            </w:r>
          </w:p>
          <w:p w14:paraId="694C4BBE">
            <w:pPr>
              <w:pStyle w:val="123"/>
              <w:kinsoku w:val="0"/>
              <w:overflowPunct w:val="0"/>
              <w:spacing w:before="41" w:line="360" w:lineRule="auto"/>
              <w:ind w:left="2"/>
              <w:rPr>
                <w:rFonts w:hint="eastAsia" w:ascii="宋体" w:hAnsi="宋体" w:eastAsia="宋体" w:cs="宋体"/>
                <w:bCs/>
                <w:kern w:val="2"/>
                <w:lang w:val="en-US" w:eastAsia="zh-CN"/>
              </w:rPr>
            </w:pPr>
            <w:r>
              <w:rPr>
                <w:rFonts w:hint="eastAsia" w:ascii="宋体" w:hAnsi="宋体" w:cs="宋体"/>
                <w:bCs/>
                <w:kern w:val="2"/>
              </w:rPr>
              <w:t>联系人：</w:t>
            </w:r>
            <w:r>
              <w:rPr>
                <w:rFonts w:hint="eastAsia" w:ascii="宋体" w:hAnsi="宋体" w:cs="宋体"/>
                <w:bCs/>
                <w:kern w:val="2"/>
                <w:lang w:val="en-US" w:eastAsia="zh-CN"/>
              </w:rPr>
              <w:t>张老师</w:t>
            </w:r>
          </w:p>
          <w:p w14:paraId="013CE887">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电话：0531-59669925</w:t>
            </w:r>
          </w:p>
          <w:p w14:paraId="2406ED93">
            <w:pPr>
              <w:pStyle w:val="123"/>
              <w:tabs>
                <w:tab w:val="left" w:pos="7200"/>
                <w:tab w:val="left" w:pos="7680"/>
              </w:tabs>
              <w:kinsoku w:val="0"/>
              <w:overflowPunct w:val="0"/>
              <w:spacing w:line="360" w:lineRule="auto"/>
              <w:ind w:right="360"/>
              <w:rPr>
                <w:rFonts w:hint="eastAsia" w:ascii="宋体" w:hAnsi="宋体" w:eastAsia="宋体" w:cs="宋体"/>
                <w:u w:val="single"/>
                <w:lang w:val="en-US" w:eastAsia="zh-CN"/>
              </w:rPr>
            </w:pPr>
            <w:r>
              <w:rPr>
                <w:rFonts w:hint="eastAsia" w:ascii="宋体" w:hAnsi="宋体" w:cs="宋体"/>
                <w:bCs/>
                <w:kern w:val="2"/>
              </w:rPr>
              <w:t>邮箱：</w:t>
            </w:r>
            <w:r>
              <w:rPr>
                <w:rFonts w:hint="eastAsia" w:ascii="宋体" w:hAnsi="宋体" w:cs="宋体"/>
                <w:bCs/>
                <w:kern w:val="2"/>
                <w:lang w:val="en-US" w:eastAsia="zh-CN"/>
              </w:rPr>
              <w:t>zth_jn@czbank.com</w:t>
            </w:r>
          </w:p>
        </w:tc>
      </w:tr>
      <w:tr w14:paraId="3AEAA9D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A8157E9">
            <w:pPr>
              <w:pStyle w:val="123"/>
              <w:kinsoku w:val="0"/>
              <w:overflowPunct w:val="0"/>
              <w:spacing w:line="360" w:lineRule="auto"/>
              <w:jc w:val="center"/>
              <w:rPr>
                <w:rFonts w:hint="eastAsia" w:ascii="宋体" w:hAnsi="宋体" w:cs="宋体"/>
                <w:kern w:val="2"/>
              </w:rPr>
            </w:pPr>
            <w:r>
              <w:rPr>
                <w:rFonts w:hint="eastAsia" w:ascii="宋体" w:hAnsi="宋体" w:cs="宋体"/>
                <w:kern w:val="2"/>
              </w:rPr>
              <w:t>1.3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35C980B">
            <w:pPr>
              <w:pStyle w:val="123"/>
              <w:kinsoku w:val="0"/>
              <w:overflowPunct w:val="0"/>
              <w:spacing w:line="360" w:lineRule="auto"/>
              <w:jc w:val="center"/>
              <w:rPr>
                <w:rFonts w:hint="eastAsia" w:ascii="宋体" w:hAnsi="宋体" w:cs="宋体"/>
                <w:kern w:val="2"/>
              </w:rPr>
            </w:pPr>
            <w:r>
              <w:rPr>
                <w:rFonts w:hint="eastAsia" w:ascii="宋体" w:hAnsi="宋体" w:cs="宋体"/>
                <w:kern w:val="2"/>
              </w:rPr>
              <w:t>招标代理机构</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BDC4854">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名称：公诚管理咨询有限公司</w:t>
            </w:r>
          </w:p>
          <w:p w14:paraId="7C4C138E">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地址：济南市历下区经十路10690号建邦数字中心11楼</w:t>
            </w:r>
          </w:p>
          <w:p w14:paraId="118569B0">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联系人：吴振鲁、汪珊珊、阴欣悦、唐建鑫</w:t>
            </w:r>
          </w:p>
          <w:p w14:paraId="6D5DD9A7">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电话：13702005631、13105319259</w:t>
            </w:r>
          </w:p>
          <w:p w14:paraId="79ED53A7">
            <w:pPr>
              <w:pStyle w:val="123"/>
              <w:tabs>
                <w:tab w:val="left" w:pos="7200"/>
                <w:tab w:val="left" w:pos="7680"/>
              </w:tabs>
              <w:kinsoku w:val="0"/>
              <w:overflowPunct w:val="0"/>
              <w:spacing w:line="360" w:lineRule="auto"/>
              <w:ind w:right="360"/>
              <w:rPr>
                <w:rFonts w:hint="eastAsia" w:ascii="宋体" w:hAnsi="宋体" w:cs="宋体"/>
                <w:u w:val="single"/>
              </w:rPr>
            </w:pPr>
            <w:r>
              <w:rPr>
                <w:rFonts w:hint="eastAsia" w:ascii="宋体" w:hAnsi="宋体" w:cs="宋体"/>
                <w:bCs/>
                <w:kern w:val="2"/>
              </w:rPr>
              <w:t>邮箱：15106367708@139.com</w:t>
            </w:r>
          </w:p>
        </w:tc>
      </w:tr>
      <w:tr w14:paraId="5FE1EE5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81AC8E5">
            <w:pPr>
              <w:pStyle w:val="123"/>
              <w:kinsoku w:val="0"/>
              <w:overflowPunct w:val="0"/>
              <w:spacing w:before="159" w:line="360" w:lineRule="auto"/>
              <w:jc w:val="center"/>
              <w:rPr>
                <w:rFonts w:hint="eastAsia" w:ascii="宋体" w:hAnsi="宋体" w:cs="宋体"/>
                <w:kern w:val="2"/>
              </w:rPr>
            </w:pPr>
            <w:r>
              <w:rPr>
                <w:rFonts w:hint="eastAsia" w:ascii="宋体" w:hAnsi="宋体" w:cs="宋体"/>
                <w:kern w:val="2"/>
              </w:rPr>
              <w:t>1.4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E1607B4">
            <w:pPr>
              <w:pStyle w:val="123"/>
              <w:kinsoku w:val="0"/>
              <w:overflowPunct w:val="0"/>
              <w:spacing w:before="41" w:line="360" w:lineRule="auto"/>
              <w:ind w:left="2"/>
              <w:jc w:val="center"/>
              <w:rPr>
                <w:rFonts w:hint="eastAsia" w:ascii="宋体" w:hAnsi="宋体" w:cs="宋体"/>
                <w:bCs/>
                <w:kern w:val="2"/>
              </w:rPr>
            </w:pPr>
            <w:r>
              <w:rPr>
                <w:rFonts w:hint="eastAsia" w:ascii="宋体" w:hAnsi="宋体" w:cs="宋体"/>
                <w:bCs/>
                <w:kern w:val="2"/>
              </w:rPr>
              <w:t>招标范围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B19724C">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图纸及工程量清单范围内的弱电工程，包括深化设计、设备、材料供货、安装、调试、技术培训以及通过相关验收、缺陷处理及后期服务等工作（具体详见招标文件）。具体设备的名称、型号、数量、品牌以招标人提供的图纸、工程量清单为准。</w:t>
            </w:r>
          </w:p>
        </w:tc>
      </w:tr>
      <w:tr w14:paraId="35CB6461">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auto" w:sz="4" w:space="0"/>
              <w:bottom w:val="single" w:color="auto" w:sz="4" w:space="0"/>
              <w:right w:val="single" w:color="auto" w:sz="4" w:space="0"/>
            </w:tcBorders>
            <w:noWrap w:val="0"/>
            <w:vAlign w:val="center"/>
          </w:tcPr>
          <w:p w14:paraId="25D8248E">
            <w:pPr>
              <w:pStyle w:val="123"/>
              <w:kinsoku w:val="0"/>
              <w:overflowPunct w:val="0"/>
              <w:spacing w:line="360" w:lineRule="auto"/>
              <w:jc w:val="center"/>
              <w:rPr>
                <w:rFonts w:hint="eastAsia" w:ascii="宋体" w:hAnsi="宋体" w:cs="宋体"/>
                <w:kern w:val="2"/>
              </w:rPr>
            </w:pPr>
            <w:r>
              <w:rPr>
                <w:rFonts w:hint="eastAsia" w:ascii="宋体" w:hAnsi="宋体" w:cs="宋体"/>
                <w:kern w:val="2"/>
              </w:rPr>
              <w:t>1.5</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0F3BE5B8">
            <w:pPr>
              <w:pStyle w:val="123"/>
              <w:kinsoku w:val="0"/>
              <w:overflowPunct w:val="0"/>
              <w:spacing w:before="41" w:line="360" w:lineRule="auto"/>
              <w:ind w:left="2"/>
              <w:jc w:val="center"/>
              <w:rPr>
                <w:rFonts w:hint="eastAsia" w:ascii="宋体" w:hAnsi="宋体" w:cs="宋体"/>
                <w:bCs/>
                <w:kern w:val="2"/>
              </w:rPr>
            </w:pPr>
            <w:r>
              <w:rPr>
                <w:rFonts w:hint="eastAsia" w:ascii="宋体" w:hAnsi="宋体" w:cs="宋体"/>
                <w:bCs/>
                <w:kern w:val="2"/>
              </w:rPr>
              <w:t>投标人资格要求</w:t>
            </w:r>
          </w:p>
        </w:tc>
        <w:tc>
          <w:tcPr>
            <w:tcW w:w="7010" w:type="dxa"/>
            <w:tcBorders>
              <w:top w:val="single" w:color="auto" w:sz="4" w:space="0"/>
              <w:left w:val="single" w:color="auto" w:sz="4" w:space="0"/>
              <w:bottom w:val="single" w:color="auto" w:sz="4" w:space="0"/>
              <w:right w:val="single" w:color="auto" w:sz="4" w:space="0"/>
            </w:tcBorders>
            <w:noWrap w:val="0"/>
            <w:vAlign w:val="center"/>
          </w:tcPr>
          <w:p w14:paraId="08FB9DEC">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详见招标公告。</w:t>
            </w:r>
          </w:p>
        </w:tc>
      </w:tr>
      <w:tr w14:paraId="4A9372B3">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7E0577A7">
            <w:pPr>
              <w:pStyle w:val="123"/>
              <w:kinsoku w:val="0"/>
              <w:overflowPunct w:val="0"/>
              <w:spacing w:before="147" w:line="360" w:lineRule="auto"/>
              <w:jc w:val="center"/>
              <w:rPr>
                <w:rFonts w:hint="eastAsia" w:ascii="宋体" w:hAnsi="宋体" w:cs="宋体"/>
                <w:kern w:val="2"/>
              </w:rPr>
            </w:pPr>
            <w:r>
              <w:rPr>
                <w:rFonts w:hint="eastAsia" w:ascii="宋体" w:hAnsi="宋体" w:cs="宋体"/>
                <w:kern w:val="2"/>
              </w:rPr>
              <w:t>1.6</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707B1B99">
            <w:pPr>
              <w:pStyle w:val="123"/>
              <w:kinsoku w:val="0"/>
              <w:overflowPunct w:val="0"/>
              <w:spacing w:line="360" w:lineRule="auto"/>
              <w:jc w:val="center"/>
              <w:rPr>
                <w:rFonts w:hint="eastAsia" w:ascii="宋体" w:hAnsi="宋体" w:cs="宋体"/>
                <w:kern w:val="2"/>
              </w:rPr>
            </w:pPr>
            <w:r>
              <w:rPr>
                <w:rFonts w:hint="eastAsia" w:ascii="宋体" w:hAnsi="宋体" w:cs="宋体"/>
                <w:kern w:val="2"/>
              </w:rPr>
              <w:t>关于联合体投标的要求</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143EDB14">
            <w:pPr>
              <w:wordWrap w:val="0"/>
              <w:snapToGrid w:val="0"/>
              <w:spacing w:line="36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不接受联合体投标</w:t>
            </w:r>
            <w:r>
              <w:rPr>
                <w:rFonts w:hint="eastAsia" w:ascii="宋体" w:hAnsi="宋体" w:cs="宋体"/>
                <w:sz w:val="24"/>
              </w:rPr>
              <w:t>。</w:t>
            </w:r>
          </w:p>
          <w:p w14:paraId="251FBBE4">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1.以联合体形式参加投标的，应按招标文件提供的格式签订联合体协议，明确联合体牵头人和各方权利义务；</w:t>
            </w:r>
          </w:p>
          <w:p w14:paraId="03144C9B">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2.联合体的各专业资质等级，根据联合体协议约定的专业分工，分别按照承担相应专业工作的资质等级较低的单位确定；</w:t>
            </w:r>
          </w:p>
          <w:p w14:paraId="4119DC76">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3.联合体成员不得再单独参加或者与其他投标人另外组成联合体参加同一项目的投标活动；</w:t>
            </w:r>
          </w:p>
          <w:p w14:paraId="53C0CBC4">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4.接受联合体投标并进行资格预审的，资格预审后联合体成员不得增减或更换；</w:t>
            </w:r>
          </w:p>
          <w:p w14:paraId="6ECE4CC9">
            <w:pPr>
              <w:pStyle w:val="11"/>
              <w:topLinePunct/>
              <w:spacing w:after="0" w:line="360" w:lineRule="auto"/>
              <w:rPr>
                <w:rFonts w:ascii="宋体" w:hAnsi="宋体" w:cs="Segoe UI Symbol"/>
                <w:spacing w:val="-6"/>
                <w:kern w:val="2"/>
                <w:sz w:val="24"/>
                <w:szCs w:val="24"/>
              </w:rPr>
            </w:pPr>
            <w:r>
              <w:rPr>
                <w:rFonts w:hint="eastAsia" w:ascii="宋体" w:hAnsi="宋体" w:cs="Segoe UI Symbol"/>
                <w:spacing w:val="-6"/>
                <w:kern w:val="2"/>
                <w:sz w:val="24"/>
                <w:szCs w:val="24"/>
              </w:rPr>
              <w:t>5.所有的签章，除联合体协议外，均由联合体牵头人完成。投标保证金由联合体牵头人缴纳完成。</w:t>
            </w:r>
          </w:p>
          <w:p w14:paraId="589D3FD7">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6.</w:t>
            </w:r>
            <w:r>
              <w:rPr>
                <w:rFonts w:hint="eastAsia"/>
              </w:rPr>
              <w:t xml:space="preserve"> </w:t>
            </w:r>
            <w:r>
              <w:rPr>
                <w:rFonts w:hint="eastAsia" w:ascii="宋体" w:hAnsi="宋体" w:cs="Segoe UI Symbol"/>
                <w:spacing w:val="-6"/>
                <w:kern w:val="2"/>
                <w:sz w:val="24"/>
                <w:szCs w:val="24"/>
              </w:rPr>
              <w:t>招标人支付项目各项费用的约定：</w:t>
            </w:r>
          </w:p>
          <w:p w14:paraId="33A55897">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□（1）各项费用由招标人直接支付给牵头人，再由牵头人按工作内容分配；</w:t>
            </w:r>
          </w:p>
          <w:p w14:paraId="227A78CF">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□（2）各项费用由招标人按联合体成员职责分工，分别支付给联合体各成员；</w:t>
            </w:r>
          </w:p>
          <w:p w14:paraId="24952B5E">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□（3）中标后由发承包双方另行约定；</w:t>
            </w:r>
          </w:p>
          <w:p w14:paraId="1B9FADD2">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□（4）其他约定：                。</w:t>
            </w:r>
          </w:p>
          <w:p w14:paraId="43FE51D6">
            <w:pPr>
              <w:pStyle w:val="11"/>
              <w:topLinePunct/>
              <w:spacing w:after="0" w:line="360" w:lineRule="auto"/>
              <w:rPr>
                <w:rFonts w:hint="eastAsia" w:ascii="宋体" w:hAnsi="宋体" w:cs="宋体"/>
                <w:kern w:val="2"/>
                <w:sz w:val="24"/>
                <w:szCs w:val="24"/>
                <w:u w:val="single"/>
              </w:rPr>
            </w:pPr>
            <w:r>
              <w:rPr>
                <w:rFonts w:ascii="宋体" w:hAnsi="宋体" w:cs="Segoe UI Symbol"/>
                <w:spacing w:val="-6"/>
                <w:kern w:val="2"/>
                <w:sz w:val="24"/>
                <w:szCs w:val="24"/>
              </w:rPr>
              <w:t>7</w:t>
            </w:r>
            <w:r>
              <w:rPr>
                <w:rFonts w:hint="eastAsia" w:ascii="宋体" w:hAnsi="宋体" w:cs="Segoe UI Symbol"/>
                <w:spacing w:val="-6"/>
                <w:kern w:val="2"/>
                <w:sz w:val="24"/>
                <w:szCs w:val="24"/>
              </w:rPr>
              <w:t>.其他：                         。</w:t>
            </w:r>
          </w:p>
        </w:tc>
      </w:tr>
      <w:tr w14:paraId="4BAC9445">
        <w:tblPrEx>
          <w:tblCellMar>
            <w:top w:w="0" w:type="dxa"/>
            <w:left w:w="0" w:type="dxa"/>
            <w:bottom w:w="0" w:type="dxa"/>
            <w:right w:w="0" w:type="dxa"/>
          </w:tblCellMar>
        </w:tblPrEx>
        <w:trPr>
          <w:trHeight w:val="740"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5D007397">
            <w:pPr>
              <w:pStyle w:val="123"/>
              <w:kinsoku w:val="0"/>
              <w:overflowPunct w:val="0"/>
              <w:spacing w:before="147" w:line="360" w:lineRule="auto"/>
              <w:jc w:val="center"/>
              <w:rPr>
                <w:rFonts w:hint="eastAsia" w:ascii="宋体" w:hAnsi="宋体" w:cs="宋体"/>
                <w:kern w:val="2"/>
              </w:rPr>
            </w:pPr>
            <w:r>
              <w:rPr>
                <w:rFonts w:hint="eastAsia" w:ascii="宋体" w:hAnsi="宋体" w:cs="宋体"/>
                <w:kern w:val="2"/>
              </w:rPr>
              <w:t>1.7</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66669FC4">
            <w:pPr>
              <w:pStyle w:val="123"/>
              <w:kinsoku w:val="0"/>
              <w:overflowPunct w:val="0"/>
              <w:spacing w:line="360" w:lineRule="auto"/>
              <w:jc w:val="center"/>
              <w:rPr>
                <w:rFonts w:hint="eastAsia" w:ascii="宋体" w:hAnsi="宋体" w:cs="宋体"/>
                <w:kern w:val="2"/>
              </w:rPr>
            </w:pPr>
            <w:r>
              <w:rPr>
                <w:rFonts w:hint="eastAsia" w:ascii="宋体" w:hAnsi="宋体" w:cs="宋体"/>
                <w:kern w:val="2"/>
              </w:rPr>
              <w:t>是否允许采购进口产品</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067EF1A6">
            <w:pPr>
              <w:spacing w:line="440" w:lineRule="exact"/>
              <w:ind w:left="2"/>
              <w:contextualSpacing/>
              <w:jc w:val="left"/>
              <w:rPr>
                <w:rFonts w:hint="eastAsia" w:ascii="宋体" w:hAnsi="宋体" w:cs="宋体"/>
                <w:kern w:val="0"/>
                <w:sz w:val="24"/>
              </w:rPr>
            </w:pPr>
            <w:bookmarkStart w:id="1" w:name="OLE_LINK28"/>
            <w:r>
              <w:rPr>
                <w:rFonts w:ascii="Wingdings 2" w:hAnsi="Wingdings 2" w:cs="宋体"/>
                <w:sz w:val="24"/>
              </w:rPr>
              <w:sym w:font="Wingdings 2" w:char="F052"/>
            </w:r>
            <w:bookmarkEnd w:id="1"/>
            <w:r>
              <w:rPr>
                <w:rFonts w:hint="eastAsia" w:ascii="宋体" w:hAnsi="宋体" w:cs="宋体"/>
                <w:kern w:val="0"/>
                <w:sz w:val="24"/>
              </w:rPr>
              <w:t>本项目不允许采购进口产品。</w:t>
            </w:r>
          </w:p>
          <w:p w14:paraId="0D7BFC49">
            <w:pPr>
              <w:pStyle w:val="11"/>
              <w:topLinePunct/>
              <w:spacing w:line="360" w:lineRule="auto"/>
              <w:rPr>
                <w:rFonts w:hint="eastAsia" w:ascii="宋体" w:hAnsi="宋体" w:eastAsia="宋体" w:cs="Segoe UI Symbol"/>
                <w:spacing w:val="-6"/>
                <w:kern w:val="2"/>
                <w:sz w:val="24"/>
                <w:szCs w:val="24"/>
                <w:lang w:eastAsia="zh-CN"/>
              </w:rPr>
            </w:pPr>
            <w:r>
              <w:rPr>
                <w:rFonts w:hint="eastAsia" w:ascii="宋体" w:hAnsi="宋体" w:cs="Segoe UI Symbol"/>
                <w:spacing w:val="-6"/>
                <w:sz w:val="24"/>
              </w:rPr>
              <w:t>□</w:t>
            </w:r>
            <w:r>
              <w:rPr>
                <w:rFonts w:hint="eastAsia" w:ascii="宋体" w:hAnsi="宋体" w:cs="宋体"/>
                <w:kern w:val="0"/>
                <w:sz w:val="24"/>
              </w:rPr>
              <w:t>可以就</w:t>
            </w:r>
            <w:r>
              <w:rPr>
                <w:rFonts w:hint="eastAsia" w:ascii="宋体" w:hAnsi="宋体" w:cs="宋体"/>
                <w:kern w:val="0"/>
                <w:sz w:val="24"/>
                <w:u w:val="single"/>
              </w:rPr>
              <w:t xml:space="preserve">    </w:t>
            </w:r>
            <w:r>
              <w:rPr>
                <w:rFonts w:hint="eastAsia" w:ascii="宋体" w:hAnsi="宋体" w:cs="宋体"/>
                <w:kern w:val="0"/>
                <w:sz w:val="24"/>
              </w:rPr>
              <w:t>采购进口产品。</w:t>
            </w:r>
          </w:p>
        </w:tc>
      </w:tr>
      <w:tr w14:paraId="5E7C7A10">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453A43F4">
            <w:pPr>
              <w:pStyle w:val="123"/>
              <w:kinsoku w:val="0"/>
              <w:overflowPunct w:val="0"/>
              <w:spacing w:before="147" w:line="360" w:lineRule="auto"/>
              <w:jc w:val="center"/>
              <w:rPr>
                <w:rFonts w:hint="eastAsia" w:ascii="宋体" w:hAnsi="宋体" w:cs="宋体"/>
                <w:kern w:val="2"/>
              </w:rPr>
            </w:pPr>
            <w:r>
              <w:rPr>
                <w:rFonts w:hint="eastAsia" w:ascii="宋体" w:hAnsi="宋体" w:cs="宋体"/>
                <w:kern w:val="2"/>
              </w:rPr>
              <w:t>1.8</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6CE7D0B0">
            <w:pPr>
              <w:pStyle w:val="123"/>
              <w:kinsoku w:val="0"/>
              <w:overflowPunct w:val="0"/>
              <w:spacing w:line="360" w:lineRule="auto"/>
              <w:jc w:val="center"/>
              <w:rPr>
                <w:rFonts w:hint="eastAsia" w:ascii="宋体" w:hAnsi="宋体" w:cs="宋体"/>
                <w:kern w:val="2"/>
              </w:rPr>
            </w:pPr>
            <w:r>
              <w:rPr>
                <w:rFonts w:hint="eastAsia" w:ascii="宋体" w:hAnsi="宋体" w:cs="宋体"/>
                <w:kern w:val="2"/>
              </w:rPr>
              <w:t>分包</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75FADF66">
            <w:pPr>
              <w:spacing w:line="340" w:lineRule="exact"/>
              <w:jc w:val="left"/>
              <w:rPr>
                <w:rFonts w:hint="eastAsia" w:ascii="宋体" w:hAnsi="宋体" w:cs="宋体"/>
                <w:sz w:val="24"/>
              </w:rPr>
            </w:pPr>
            <w:r>
              <w:rPr>
                <w:rFonts w:hint="eastAsia" w:ascii="宋体" w:hAnsi="宋体" w:cs="Segoe UI Symbol"/>
                <w:spacing w:val="-6"/>
                <w:sz w:val="24"/>
              </w:rPr>
              <w:t>□</w:t>
            </w:r>
            <w:r>
              <w:rPr>
                <w:rFonts w:hint="eastAsia" w:ascii="宋体" w:hAnsi="宋体" w:cs="宋体"/>
                <w:kern w:val="0"/>
                <w:sz w:val="24"/>
              </w:rPr>
              <w:t xml:space="preserve"> A</w:t>
            </w:r>
            <w:r>
              <w:rPr>
                <w:rFonts w:hint="eastAsia" w:ascii="宋体" w:hAnsi="宋体" w:cs="宋体"/>
                <w:sz w:val="24"/>
              </w:rPr>
              <w:t>同意将非主体、非关键性的</w:t>
            </w:r>
            <w:r>
              <w:rPr>
                <w:rFonts w:hint="eastAsia" w:ascii="宋体" w:hAnsi="宋体" w:cs="宋体"/>
                <w:sz w:val="24"/>
                <w:u w:val="single"/>
              </w:rPr>
              <w:t xml:space="preserve">         </w:t>
            </w:r>
            <w:r>
              <w:rPr>
                <w:rFonts w:hint="eastAsia" w:ascii="宋体" w:hAnsi="宋体" w:cs="宋体"/>
                <w:sz w:val="24"/>
              </w:rPr>
              <w:t>工作分包。</w:t>
            </w:r>
          </w:p>
          <w:p w14:paraId="2AE15ECF">
            <w:pPr>
              <w:spacing w:line="340" w:lineRule="exact"/>
              <w:jc w:val="left"/>
              <w:rPr>
                <w:rFonts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 xml:space="preserve"> B</w:t>
            </w:r>
            <w:r>
              <w:rPr>
                <w:rFonts w:hint="eastAsia" w:ascii="宋体" w:hAnsi="宋体" w:cs="宋体"/>
                <w:sz w:val="24"/>
              </w:rPr>
              <w:t>不同意分包。</w:t>
            </w:r>
          </w:p>
        </w:tc>
      </w:tr>
      <w:tr w14:paraId="69B3AAC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04D8836">
            <w:pPr>
              <w:pStyle w:val="123"/>
              <w:kinsoku w:val="0"/>
              <w:overflowPunct w:val="0"/>
              <w:spacing w:before="147" w:line="360" w:lineRule="auto"/>
              <w:jc w:val="center"/>
              <w:rPr>
                <w:rFonts w:hint="eastAsia" w:ascii="宋体" w:hAnsi="宋体" w:cs="宋体"/>
                <w:kern w:val="2"/>
              </w:rPr>
            </w:pPr>
            <w:r>
              <w:rPr>
                <w:rFonts w:hint="eastAsia" w:ascii="宋体" w:hAnsi="宋体" w:cs="宋体"/>
                <w:kern w:val="2"/>
              </w:rPr>
              <w:t>1.9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BC92BAC">
            <w:pPr>
              <w:pStyle w:val="123"/>
              <w:kinsoku w:val="0"/>
              <w:overflowPunct w:val="0"/>
              <w:spacing w:line="360" w:lineRule="auto"/>
              <w:jc w:val="center"/>
              <w:rPr>
                <w:rFonts w:hint="eastAsia" w:ascii="宋体" w:hAnsi="宋体" w:cs="宋体"/>
                <w:kern w:val="2"/>
              </w:rPr>
            </w:pPr>
            <w:r>
              <w:rPr>
                <w:rFonts w:hint="eastAsia" w:ascii="宋体" w:hAnsi="宋体" w:cs="宋体"/>
                <w:kern w:val="2"/>
              </w:rPr>
              <w:t>资格审查方式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AF539B7">
            <w:pPr>
              <w:pStyle w:val="123"/>
              <w:kinsoku w:val="0"/>
              <w:overflowPunct w:val="0"/>
              <w:spacing w:before="71" w:line="360" w:lineRule="auto"/>
              <w:rPr>
                <w:rFonts w:ascii="宋体" w:hAnsi="宋体" w:cs="宋体"/>
                <w:kern w:val="2"/>
              </w:rPr>
            </w:pPr>
            <w:r>
              <w:rPr>
                <w:rFonts w:hint="eastAsia" w:ascii="宋体" w:hAnsi="宋体" w:cs="Segoe UI Symbol"/>
                <w:spacing w:val="-6"/>
                <w:kern w:val="2"/>
                <w:lang w:eastAsia="zh-CN"/>
              </w:rPr>
              <w:t>☑</w:t>
            </w:r>
            <w:r>
              <w:rPr>
                <w:rFonts w:hint="eastAsia" w:ascii="宋体" w:hAnsi="宋体" w:cs="宋体"/>
                <w:kern w:val="2"/>
              </w:rPr>
              <w:t>采用资格后审</w:t>
            </w:r>
          </w:p>
          <w:p w14:paraId="2A28DE56">
            <w:pPr>
              <w:pStyle w:val="123"/>
              <w:kinsoku w:val="0"/>
              <w:overflowPunct w:val="0"/>
              <w:spacing w:before="71" w:line="360" w:lineRule="auto"/>
              <w:rPr>
                <w:rFonts w:hint="eastAsia" w:ascii="宋体" w:hAnsi="宋体" w:cs="宋体"/>
                <w:kern w:val="2"/>
              </w:rPr>
            </w:pPr>
            <w:r>
              <w:rPr>
                <w:rFonts w:hint="eastAsia" w:ascii="宋体" w:hAnsi="宋体" w:cs="Segoe UI Symbol"/>
                <w:spacing w:val="-6"/>
                <w:kern w:val="2"/>
              </w:rPr>
              <w:t>□</w:t>
            </w:r>
            <w:r>
              <w:rPr>
                <w:rFonts w:hint="eastAsia" w:ascii="宋体" w:hAnsi="宋体" w:cs="宋体"/>
                <w:kern w:val="2"/>
              </w:rPr>
              <w:t>采用资格预审</w:t>
            </w:r>
          </w:p>
        </w:tc>
      </w:tr>
      <w:tr w14:paraId="6FA278A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5A02073">
            <w:pPr>
              <w:pStyle w:val="123"/>
              <w:kinsoku w:val="0"/>
              <w:overflowPunct w:val="0"/>
              <w:spacing w:line="360" w:lineRule="auto"/>
              <w:jc w:val="center"/>
              <w:rPr>
                <w:rFonts w:hint="eastAsia" w:ascii="宋体" w:hAnsi="宋体" w:cs="宋体"/>
                <w:kern w:val="2"/>
              </w:rPr>
            </w:pPr>
            <w:r>
              <w:rPr>
                <w:rFonts w:hint="eastAsia" w:ascii="宋体" w:hAnsi="宋体" w:cs="宋体"/>
                <w:kern w:val="2"/>
              </w:rPr>
              <w:t>1.10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2D843AA">
            <w:pPr>
              <w:pStyle w:val="123"/>
              <w:kinsoku w:val="0"/>
              <w:overflowPunct w:val="0"/>
              <w:spacing w:line="360" w:lineRule="auto"/>
              <w:jc w:val="center"/>
              <w:rPr>
                <w:rFonts w:hint="eastAsia" w:ascii="宋体" w:hAnsi="宋体" w:cs="宋体"/>
                <w:kern w:val="2"/>
              </w:rPr>
            </w:pPr>
            <w:r>
              <w:rPr>
                <w:rFonts w:hint="eastAsia" w:ascii="宋体" w:hAnsi="宋体" w:cs="宋体"/>
                <w:kern w:val="2"/>
              </w:rPr>
              <w:t>踏勘现场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FA7A8DE">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不组织</w:t>
            </w:r>
            <w:r>
              <w:rPr>
                <w:rFonts w:hint="eastAsia" w:ascii="宋体" w:hAnsi="宋体" w:cs="宋体"/>
                <w:sz w:val="24"/>
              </w:rPr>
              <w:t>。</w:t>
            </w:r>
          </w:p>
          <w:p w14:paraId="7B7F20F6">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rPr>
              <w:t>投标人自行踏勘</w:t>
            </w:r>
            <w:r>
              <w:rPr>
                <w:rFonts w:hint="eastAsia" w:ascii="宋体" w:hAnsi="宋体" w:cs="宋体"/>
                <w:sz w:val="24"/>
                <w:lang w:eastAsia="zh-CN"/>
              </w:rPr>
              <w:t>，期间所产生的一切费用由投标人自行承担</w:t>
            </w:r>
            <w:r>
              <w:rPr>
                <w:rFonts w:hint="eastAsia" w:ascii="宋体" w:hAnsi="宋体" w:cs="宋体"/>
                <w:sz w:val="24"/>
              </w:rPr>
              <w:t>。</w:t>
            </w:r>
          </w:p>
          <w:p w14:paraId="565B6D79">
            <w:pPr>
              <w:pStyle w:val="123"/>
              <w:wordWrap w:val="0"/>
              <w:spacing w:line="300" w:lineRule="auto"/>
              <w:rPr>
                <w:rFonts w:hint="eastAsia" w:ascii="宋体" w:hAnsi="宋体" w:cs="宋体"/>
              </w:rPr>
            </w:pPr>
            <w:r>
              <w:rPr>
                <w:rFonts w:hint="eastAsia" w:ascii="宋体" w:hAnsi="宋体" w:cs="宋体"/>
              </w:rPr>
              <w:t>□由招标人组织，时间和地点：</w:t>
            </w:r>
            <w:r>
              <w:rPr>
                <w:rFonts w:hint="eastAsia" w:ascii="宋体" w:hAnsi="宋体" w:cs="宋体"/>
                <w:u w:val="single"/>
              </w:rPr>
              <w:t xml:space="preserve">       </w:t>
            </w:r>
            <w:r>
              <w:rPr>
                <w:rFonts w:hint="eastAsia" w:ascii="宋体" w:hAnsi="宋体" w:cs="宋体"/>
              </w:rPr>
              <w:t>，</w:t>
            </w:r>
          </w:p>
          <w:p w14:paraId="5C8D1C61">
            <w:pPr>
              <w:pStyle w:val="123"/>
              <w:kinsoku w:val="0"/>
              <w:overflowPunct w:val="0"/>
              <w:spacing w:before="33" w:line="360" w:lineRule="auto"/>
              <w:rPr>
                <w:rFonts w:hint="eastAsia" w:ascii="宋体" w:hAnsi="宋体" w:cs="宋体"/>
                <w:kern w:val="2"/>
              </w:rPr>
            </w:pPr>
            <w:r>
              <w:rPr>
                <w:rFonts w:hint="eastAsia" w:ascii="宋体" w:hAnsi="宋体" w:cs="宋体"/>
              </w:rPr>
              <w:t>联系人和联系电话：</w:t>
            </w:r>
            <w:r>
              <w:rPr>
                <w:rFonts w:hint="eastAsia" w:ascii="宋体" w:hAnsi="宋体" w:cs="宋体"/>
                <w:u w:val="single"/>
              </w:rPr>
              <w:t xml:space="preserve">        </w:t>
            </w:r>
            <w:r>
              <w:rPr>
                <w:rFonts w:hint="eastAsia" w:ascii="宋体" w:hAnsi="宋体" w:cs="宋体"/>
              </w:rPr>
              <w:t>。</w:t>
            </w:r>
          </w:p>
        </w:tc>
      </w:tr>
      <w:tr w14:paraId="625C82C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5D809A1">
            <w:pPr>
              <w:pStyle w:val="123"/>
              <w:kinsoku w:val="0"/>
              <w:overflowPunct w:val="0"/>
              <w:spacing w:line="360" w:lineRule="auto"/>
              <w:jc w:val="center"/>
              <w:rPr>
                <w:rFonts w:hint="eastAsia" w:ascii="宋体" w:hAnsi="宋体" w:cs="宋体"/>
                <w:kern w:val="2"/>
              </w:rPr>
            </w:pPr>
            <w:r>
              <w:rPr>
                <w:rFonts w:hint="eastAsia" w:ascii="宋体" w:hAnsi="宋体" w:cs="宋体"/>
                <w:kern w:val="2"/>
              </w:rPr>
              <w:t>1.11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365C517">
            <w:pPr>
              <w:pStyle w:val="123"/>
              <w:kinsoku w:val="0"/>
              <w:overflowPunct w:val="0"/>
              <w:spacing w:line="360" w:lineRule="auto"/>
              <w:jc w:val="center"/>
              <w:rPr>
                <w:rFonts w:hint="eastAsia" w:ascii="宋体" w:hAnsi="宋体" w:cs="宋体"/>
                <w:kern w:val="2"/>
              </w:rPr>
            </w:pPr>
            <w:r>
              <w:rPr>
                <w:rFonts w:hint="eastAsia" w:ascii="宋体" w:hAnsi="宋体" w:cs="宋体"/>
                <w:kern w:val="2"/>
              </w:rPr>
              <w:t>构成招标文件的其他资料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28F3AC7">
            <w:pPr>
              <w:wordWrap w:val="0"/>
              <w:snapToGrid w:val="0"/>
              <w:spacing w:line="300" w:lineRule="auto"/>
              <w:jc w:val="left"/>
              <w:rPr>
                <w:rFonts w:hint="eastAsia" w:ascii="宋体" w:hAnsi="宋体" w:eastAsia="宋体" w:cs="宋体"/>
                <w:sz w:val="24"/>
                <w:lang w:val="en-US" w:eastAsia="zh-CN"/>
              </w:rPr>
            </w:pPr>
            <w:r>
              <w:rPr>
                <w:rFonts w:hint="eastAsia" w:ascii="宋体" w:hAnsi="宋体"/>
                <w:sz w:val="24"/>
              </w:rPr>
              <w:t>本项目招标文件的澄清、答复、修改、补充的内容</w:t>
            </w:r>
          </w:p>
        </w:tc>
      </w:tr>
      <w:tr w14:paraId="1AD96F8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41C7AE0">
            <w:pPr>
              <w:pStyle w:val="123"/>
              <w:kinsoku w:val="0"/>
              <w:overflowPunct w:val="0"/>
              <w:spacing w:before="150" w:line="360" w:lineRule="auto"/>
              <w:jc w:val="center"/>
              <w:rPr>
                <w:rFonts w:hint="eastAsia" w:ascii="宋体" w:hAnsi="宋体" w:cs="宋体"/>
                <w:kern w:val="2"/>
              </w:rPr>
            </w:pPr>
            <w:r>
              <w:rPr>
                <w:rFonts w:hint="eastAsia" w:ascii="宋体" w:hAnsi="宋体" w:cs="宋体"/>
                <w:kern w:val="2"/>
              </w:rPr>
              <w:t>2.1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473468C">
            <w:pPr>
              <w:pStyle w:val="123"/>
              <w:kinsoku w:val="0"/>
              <w:overflowPunct w:val="0"/>
              <w:spacing w:line="360" w:lineRule="auto"/>
              <w:jc w:val="center"/>
              <w:rPr>
                <w:rFonts w:hint="eastAsia" w:ascii="宋体" w:hAnsi="宋体" w:cs="宋体"/>
                <w:kern w:val="2"/>
              </w:rPr>
            </w:pPr>
            <w:r>
              <w:rPr>
                <w:rFonts w:hint="eastAsia" w:ascii="宋体" w:hAnsi="宋体" w:cs="宋体"/>
                <w:kern w:val="2"/>
              </w:rPr>
              <w:t>投标人要求澄清招标文件</w:t>
            </w:r>
            <w:r>
              <w:rPr>
                <w:rFonts w:hint="eastAsia" w:ascii="宋体" w:hAnsi="宋体" w:cs="宋体"/>
              </w:rPr>
              <w:t>的截止时间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F9B9D37">
            <w:pPr>
              <w:spacing w:line="360" w:lineRule="auto"/>
              <w:jc w:val="left"/>
              <w:rPr>
                <w:rFonts w:hint="eastAsia" w:ascii="宋体" w:hAnsi="宋体" w:cs="宋体"/>
                <w:sz w:val="24"/>
              </w:rPr>
            </w:pPr>
            <w:r>
              <w:rPr>
                <w:rFonts w:hint="eastAsia" w:ascii="宋体" w:hAnsi="宋体" w:cs="宋体"/>
                <w:sz w:val="24"/>
              </w:rPr>
              <w:t>截止时间：于</w:t>
            </w:r>
            <w:bookmarkStart w:id="2" w:name="质疑截止时间"/>
            <w:r>
              <w:rPr>
                <w:rFonts w:hint="eastAsia" w:ascii="宋体" w:hAnsi="宋体" w:cs="宋体"/>
                <w:sz w:val="24"/>
                <w:u w:val="single"/>
                <w:lang w:val="en-US" w:eastAsia="zh-CN"/>
              </w:rPr>
              <w:t>2026</w:t>
            </w:r>
            <w:r>
              <w:rPr>
                <w:rFonts w:hint="eastAsia" w:ascii="宋体" w:hAnsi="宋体" w:cs="宋体"/>
                <w:sz w:val="24"/>
              </w:rPr>
              <w:t>年</w:t>
            </w:r>
            <w:r>
              <w:rPr>
                <w:rFonts w:hint="eastAsia" w:ascii="宋体" w:hAnsi="宋体" w:cs="宋体"/>
                <w:sz w:val="24"/>
                <w:u w:val="single"/>
                <w:lang w:val="en-US" w:eastAsia="zh-CN"/>
              </w:rPr>
              <w:t>1</w:t>
            </w:r>
            <w:r>
              <w:rPr>
                <w:rFonts w:hint="eastAsia" w:ascii="宋体" w:hAnsi="宋体" w:cs="宋体"/>
                <w:sz w:val="24"/>
              </w:rPr>
              <w:t>月</w:t>
            </w:r>
            <w:r>
              <w:rPr>
                <w:rFonts w:hint="eastAsia" w:ascii="宋体" w:hAnsi="宋体" w:cs="宋体"/>
                <w:sz w:val="24"/>
                <w:u w:val="single"/>
                <w:lang w:val="en-US" w:eastAsia="zh-CN"/>
              </w:rPr>
              <w:t>18</w:t>
            </w:r>
            <w:r>
              <w:rPr>
                <w:rFonts w:hint="eastAsia" w:ascii="宋体" w:hAnsi="宋体" w:cs="宋体"/>
                <w:sz w:val="24"/>
              </w:rPr>
              <w:t>日</w:t>
            </w:r>
            <w:bookmarkEnd w:id="2"/>
            <w:r>
              <w:rPr>
                <w:rFonts w:hint="eastAsia" w:ascii="宋体" w:hAnsi="宋体" w:cs="宋体"/>
                <w:sz w:val="24"/>
              </w:rPr>
              <w:t>前将提疑文件发送至</w:t>
            </w:r>
            <w:r>
              <w:rPr>
                <w:rFonts w:hint="eastAsia" w:ascii="宋体" w:hAnsi="宋体" w:cs="宋体"/>
                <w:sz w:val="24"/>
                <w:u w:val="single"/>
              </w:rPr>
              <w:t>：</w:t>
            </w:r>
            <w:r>
              <w:rPr>
                <w:rFonts w:hint="eastAsia" w:ascii="宋体" w:hAnsi="宋体" w:cs="宋体"/>
                <w:sz w:val="24"/>
                <w:u w:val="single"/>
                <w:lang w:val="en-US" w:eastAsia="zh-CN"/>
              </w:rPr>
              <w:t>15106367708@139.com</w:t>
            </w:r>
            <w:r>
              <w:rPr>
                <w:rFonts w:hint="eastAsia" w:ascii="宋体" w:hAnsi="宋体" w:cs="宋体"/>
                <w:sz w:val="24"/>
              </w:rPr>
              <w:t>。（投标人在截止时间以后提出的澄清招标文件的要求，招标人可以拒绝受理。）</w:t>
            </w:r>
          </w:p>
          <w:p w14:paraId="7903E2DE">
            <w:pPr>
              <w:spacing w:line="360" w:lineRule="auto"/>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sz w:val="24"/>
                <w:u w:val="single"/>
                <w:lang w:val="en-US" w:eastAsia="zh-CN"/>
              </w:rPr>
              <w:t xml:space="preserve">吴振鲁、汪珊珊 </w:t>
            </w:r>
            <w:r>
              <w:rPr>
                <w:rFonts w:hint="eastAsia" w:ascii="宋体" w:hAnsi="宋体" w:cs="宋体"/>
                <w:sz w:val="24"/>
                <w:u w:val="single"/>
              </w:rPr>
              <w:t xml:space="preserve"> </w:t>
            </w:r>
            <w:r>
              <w:rPr>
                <w:rFonts w:hint="eastAsia" w:ascii="宋体" w:hAnsi="宋体" w:cs="宋体"/>
                <w:sz w:val="24"/>
              </w:rPr>
              <w:t>联系人：</w:t>
            </w:r>
            <w:r>
              <w:rPr>
                <w:rFonts w:hint="eastAsia" w:ascii="宋体" w:hAnsi="宋体" w:cs="宋体"/>
                <w:sz w:val="24"/>
                <w:u w:val="single"/>
                <w:lang w:val="en-US" w:eastAsia="zh-CN"/>
              </w:rPr>
              <w:t>13702005631</w:t>
            </w:r>
            <w:r>
              <w:rPr>
                <w:rFonts w:hint="eastAsia" w:ascii="宋体" w:hAnsi="宋体" w:cs="宋体"/>
                <w:sz w:val="24"/>
                <w:u w:val="single"/>
              </w:rPr>
              <w:t>、13105319259</w:t>
            </w:r>
            <w:r>
              <w:rPr>
                <w:rFonts w:hint="eastAsia" w:ascii="宋体" w:hAnsi="宋体" w:cs="宋体"/>
                <w:sz w:val="24"/>
              </w:rPr>
              <w:t>。</w:t>
            </w:r>
          </w:p>
        </w:tc>
      </w:tr>
      <w:tr w14:paraId="0BD4723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DBE9E2D">
            <w:pPr>
              <w:pStyle w:val="123"/>
              <w:kinsoku w:val="0"/>
              <w:overflowPunct w:val="0"/>
              <w:spacing w:before="156" w:line="360" w:lineRule="auto"/>
              <w:jc w:val="center"/>
              <w:rPr>
                <w:rFonts w:hint="eastAsia" w:ascii="宋体" w:hAnsi="宋体" w:cs="宋体"/>
                <w:kern w:val="2"/>
              </w:rPr>
            </w:pPr>
            <w:r>
              <w:rPr>
                <w:rFonts w:hint="eastAsia" w:ascii="宋体" w:hAnsi="宋体" w:cs="宋体"/>
                <w:kern w:val="2"/>
              </w:rPr>
              <w:t>2.2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336DC5C">
            <w:pPr>
              <w:pStyle w:val="123"/>
              <w:kinsoku w:val="0"/>
              <w:overflowPunct w:val="0"/>
              <w:spacing w:before="107" w:line="360" w:lineRule="auto"/>
              <w:jc w:val="center"/>
              <w:rPr>
                <w:rFonts w:hint="eastAsia" w:ascii="宋体" w:hAnsi="宋体" w:cs="宋体"/>
                <w:kern w:val="2"/>
              </w:rPr>
            </w:pPr>
            <w:r>
              <w:rPr>
                <w:rFonts w:hint="eastAsia" w:ascii="宋体" w:hAnsi="宋体" w:cs="宋体"/>
                <w:kern w:val="2"/>
              </w:rPr>
              <w:t>招标文件澄清</w:t>
            </w:r>
          </w:p>
          <w:p w14:paraId="05A117D2">
            <w:pPr>
              <w:pStyle w:val="123"/>
              <w:kinsoku w:val="0"/>
              <w:overflowPunct w:val="0"/>
              <w:spacing w:before="107" w:line="360" w:lineRule="auto"/>
              <w:jc w:val="center"/>
              <w:rPr>
                <w:rFonts w:hint="eastAsia" w:ascii="宋体" w:hAnsi="宋体" w:cs="宋体"/>
                <w:kern w:val="2"/>
              </w:rPr>
            </w:pPr>
            <w:r>
              <w:rPr>
                <w:rFonts w:hint="eastAsia" w:ascii="宋体" w:hAnsi="宋体" w:cs="宋体"/>
                <w:kern w:val="2"/>
              </w:rPr>
              <w:t>发出的形式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B4B6B7F">
            <w:pPr>
              <w:pStyle w:val="123"/>
              <w:wordWrap w:val="0"/>
              <w:snapToGrid w:val="0"/>
              <w:spacing w:line="300" w:lineRule="auto"/>
              <w:rPr>
                <w:rFonts w:ascii="宋体" w:hAnsi="宋体" w:cs="宋体"/>
                <w:sz w:val="24"/>
              </w:rPr>
            </w:pPr>
            <w:r>
              <w:rPr>
                <w:rFonts w:hint="eastAsia" w:ascii="宋体" w:hAnsi="宋体" w:cs="宋体"/>
                <w:sz w:val="24"/>
              </w:rPr>
              <w:t>招标人或其委托的代理机构将在</w:t>
            </w:r>
            <w:r>
              <w:rPr>
                <w:rFonts w:hint="eastAsia" w:ascii="宋体" w:hAnsi="宋体" w:cs="宋体"/>
                <w:sz w:val="24"/>
                <w:u w:val="single"/>
                <w:lang w:val="en-US" w:eastAsia="zh-CN"/>
              </w:rPr>
              <w:t>2026</w:t>
            </w:r>
            <w:r>
              <w:rPr>
                <w:rFonts w:hint="eastAsia" w:ascii="宋体" w:hAnsi="宋体" w:cs="宋体"/>
                <w:sz w:val="24"/>
              </w:rPr>
              <w:t>年</w:t>
            </w:r>
            <w:r>
              <w:rPr>
                <w:rFonts w:hint="eastAsia" w:ascii="宋体" w:hAnsi="宋体" w:cs="宋体"/>
                <w:sz w:val="24"/>
                <w:u w:val="single"/>
                <w:lang w:val="en-US" w:eastAsia="zh-CN"/>
              </w:rPr>
              <w:t>1</w:t>
            </w:r>
            <w:r>
              <w:rPr>
                <w:rFonts w:hint="eastAsia" w:ascii="宋体" w:hAnsi="宋体" w:cs="宋体"/>
                <w:sz w:val="24"/>
              </w:rPr>
              <w:t>月</w:t>
            </w:r>
            <w:r>
              <w:rPr>
                <w:rFonts w:hint="eastAsia" w:ascii="宋体" w:hAnsi="宋体" w:cs="宋体"/>
                <w:sz w:val="24"/>
                <w:u w:val="single"/>
                <w:lang w:val="en-US" w:eastAsia="zh-CN"/>
              </w:rPr>
              <w:t>19</w:t>
            </w:r>
            <w:r>
              <w:rPr>
                <w:rFonts w:hint="eastAsia" w:ascii="宋体" w:hAnsi="宋体" w:cs="宋体"/>
                <w:sz w:val="24"/>
              </w:rPr>
              <w:t>日</w:t>
            </w:r>
            <w:r>
              <w:rPr>
                <w:rFonts w:hint="eastAsia" w:ascii="宋体" w:hAnsi="宋体" w:cs="宋体"/>
                <w:sz w:val="24"/>
                <w:u w:val="single"/>
                <w:lang w:val="en-US" w:eastAsia="zh-CN"/>
              </w:rPr>
              <w:t>00</w:t>
            </w:r>
            <w:r>
              <w:rPr>
                <w:rFonts w:hint="eastAsia" w:ascii="宋体" w:hAnsi="宋体" w:cs="宋体"/>
                <w:sz w:val="24"/>
              </w:rPr>
              <w:t>时前对投标人疑问作出统一的解答，并以招标补充文件的形式发出。</w:t>
            </w:r>
          </w:p>
          <w:p w14:paraId="733074AD">
            <w:pPr>
              <w:pStyle w:val="123"/>
              <w:wordWrap w:val="0"/>
              <w:snapToGrid w:val="0"/>
              <w:spacing w:line="300" w:lineRule="auto"/>
              <w:rPr>
                <w:rFonts w:hint="eastAsia" w:ascii="宋体" w:hAnsi="宋体"/>
                <w:sz w:val="24"/>
              </w:rPr>
            </w:pPr>
            <w:r>
              <w:rPr>
                <w:rFonts w:hint="eastAsia" w:ascii="宋体" w:hAnsi="宋体"/>
                <w:sz w:val="24"/>
              </w:rPr>
              <w:t>发布形式：</w:t>
            </w:r>
          </w:p>
          <w:p w14:paraId="14991715">
            <w:pPr>
              <w:pStyle w:val="123"/>
              <w:wordWrap w:val="0"/>
              <w:snapToGrid w:val="0"/>
              <w:spacing w:line="300" w:lineRule="auto"/>
              <w:rPr>
                <w:rFonts w:hint="eastAsia" w:ascii="宋体" w:hAnsi="宋体"/>
              </w:rPr>
            </w:pPr>
            <w:r>
              <w:rPr>
                <w:rFonts w:hint="eastAsia" w:ascii="宋体" w:hAnsi="宋体" w:cs="宋体"/>
              </w:rPr>
              <w:t>通过电子交易平台通知已获取招标文件的潜在投标人，投标人需自行关注电子交易平台发布的补充文件。招标人不再一一通知。投标人因自身贻误行为导致投标失败的，责任自负。</w:t>
            </w:r>
          </w:p>
        </w:tc>
      </w:tr>
      <w:tr w14:paraId="6370634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90D5151">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37FA717">
            <w:pPr>
              <w:pStyle w:val="123"/>
              <w:kinsoku w:val="0"/>
              <w:overflowPunct w:val="0"/>
              <w:spacing w:before="108" w:line="360" w:lineRule="auto"/>
              <w:jc w:val="center"/>
              <w:rPr>
                <w:rFonts w:hint="eastAsia" w:ascii="宋体" w:hAnsi="宋体" w:cs="宋体"/>
                <w:kern w:val="2"/>
              </w:rPr>
            </w:pPr>
            <w:r>
              <w:rPr>
                <w:rFonts w:hint="eastAsia" w:ascii="宋体" w:hAnsi="宋体" w:cs="宋体"/>
                <w:kern w:val="2"/>
              </w:rPr>
              <w:t>投标文件的组成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B757A5F">
            <w:pPr>
              <w:pStyle w:val="123"/>
              <w:wordWrap w:val="0"/>
              <w:snapToGrid w:val="0"/>
              <w:spacing w:line="300" w:lineRule="auto"/>
              <w:rPr>
                <w:rFonts w:hint="eastAsia" w:ascii="宋体" w:hAnsi="宋体" w:cs="宋体"/>
              </w:rPr>
            </w:pPr>
            <w:r>
              <w:rPr>
                <w:rFonts w:hint="eastAsia" w:ascii="宋体" w:hAnsi="宋体" w:cs="宋体"/>
              </w:rPr>
              <w:t>1.资格文件审查材料：</w:t>
            </w:r>
          </w:p>
          <w:p w14:paraId="34F523BA">
            <w:pPr>
              <w:pStyle w:val="123"/>
              <w:wordWrap w:val="0"/>
              <w:snapToGrid w:val="0"/>
              <w:spacing w:line="300" w:lineRule="auto"/>
              <w:rPr>
                <w:rFonts w:hint="eastAsia" w:ascii="宋体" w:hAnsi="宋体" w:cs="宋体"/>
              </w:rPr>
            </w:pPr>
            <w:r>
              <w:rPr>
                <w:rFonts w:hint="eastAsia" w:ascii="宋体" w:hAnsi="宋体" w:cs="宋体"/>
              </w:rPr>
              <w:t>（1）提供有效的法人的营业执照等证明文件及投标前三个月内任意一个月的缴纳税收和社保清单；</w:t>
            </w:r>
          </w:p>
          <w:p w14:paraId="58E450E8">
            <w:pPr>
              <w:pStyle w:val="123"/>
              <w:wordWrap w:val="0"/>
              <w:snapToGrid w:val="0"/>
              <w:spacing w:line="300" w:lineRule="auto"/>
              <w:rPr>
                <w:rFonts w:hint="eastAsia" w:ascii="宋体" w:hAnsi="宋体" w:cs="宋体"/>
              </w:rPr>
            </w:pPr>
            <w:r>
              <w:rPr>
                <w:rFonts w:hint="eastAsia" w:ascii="宋体" w:hAnsi="宋体" w:cs="宋体"/>
              </w:rPr>
              <w:t>（2）根据招标公告中资格条件2.1-2.6条，提供相关网页截图等证明材料。</w:t>
            </w:r>
          </w:p>
          <w:p w14:paraId="0FFC1F59">
            <w:pPr>
              <w:pStyle w:val="123"/>
              <w:wordWrap w:val="0"/>
              <w:snapToGrid w:val="0"/>
              <w:spacing w:line="300" w:lineRule="auto"/>
              <w:rPr>
                <w:rFonts w:hint="eastAsia" w:ascii="宋体" w:hAnsi="宋体" w:cs="宋体"/>
              </w:rPr>
            </w:pPr>
            <w:r>
              <w:rPr>
                <w:rFonts w:hint="eastAsia" w:ascii="宋体" w:hAnsi="宋体" w:cs="宋体"/>
              </w:rPr>
              <w:t>（3）参加招标活动前三年内（2023年1月1日至今，新成立不满三年的公司自成立之日起算）在经营活动中没有重大违法记录；</w:t>
            </w:r>
          </w:p>
          <w:p w14:paraId="4CF1090A">
            <w:pPr>
              <w:pStyle w:val="123"/>
              <w:wordWrap w:val="0"/>
              <w:snapToGrid w:val="0"/>
              <w:spacing w:line="300" w:lineRule="auto"/>
              <w:rPr>
                <w:rFonts w:hint="eastAsia" w:ascii="宋体" w:hAnsi="宋体" w:cs="宋体"/>
              </w:rPr>
            </w:pPr>
            <w:r>
              <w:rPr>
                <w:rFonts w:hint="eastAsia" w:ascii="宋体" w:hAnsi="宋体" w:cs="宋体"/>
              </w:rPr>
              <w:t>（4）提供投标人控股及管理关系申报表；</w:t>
            </w:r>
          </w:p>
          <w:p w14:paraId="2BE7C01E">
            <w:pPr>
              <w:pStyle w:val="123"/>
              <w:wordWrap w:val="0"/>
              <w:snapToGrid w:val="0"/>
              <w:spacing w:line="300" w:lineRule="auto"/>
              <w:rPr>
                <w:rFonts w:hint="eastAsia" w:ascii="宋体" w:hAnsi="宋体" w:cs="宋体"/>
              </w:rPr>
            </w:pPr>
            <w:r>
              <w:rPr>
                <w:rFonts w:hint="eastAsia" w:ascii="宋体" w:hAnsi="宋体" w:cs="宋体"/>
              </w:rPr>
              <w:t>（5）投标人诚信经营和诚信履约承诺书；</w:t>
            </w:r>
          </w:p>
          <w:p w14:paraId="643E188E">
            <w:pPr>
              <w:pStyle w:val="123"/>
              <w:wordWrap w:val="0"/>
              <w:snapToGrid w:val="0"/>
              <w:spacing w:line="300" w:lineRule="auto"/>
              <w:rPr>
                <w:rFonts w:hint="eastAsia" w:ascii="宋体" w:hAnsi="宋体" w:cs="宋体"/>
              </w:rPr>
            </w:pPr>
            <w:r>
              <w:rPr>
                <w:rFonts w:hint="eastAsia" w:ascii="宋体" w:hAnsi="宋体" w:cs="宋体"/>
              </w:rPr>
              <w:t>（6）未违反法律法规规定的其他要求的承诺函；</w:t>
            </w:r>
          </w:p>
          <w:p w14:paraId="05C47B94">
            <w:pPr>
              <w:pStyle w:val="123"/>
              <w:wordWrap w:val="0"/>
              <w:snapToGrid w:val="0"/>
              <w:spacing w:line="300" w:lineRule="auto"/>
              <w:rPr>
                <w:rFonts w:hint="eastAsia" w:ascii="宋体" w:hAnsi="宋体" w:cs="宋体"/>
              </w:rPr>
            </w:pPr>
            <w:r>
              <w:rPr>
                <w:rFonts w:hint="eastAsia" w:ascii="宋体" w:hAnsi="宋体" w:cs="宋体"/>
              </w:rPr>
              <w:t>（7）投标人提供建设行政主管部门颁发的</w:t>
            </w:r>
            <w:r>
              <w:rPr>
                <w:rFonts w:hint="eastAsia" w:ascii="宋体" w:hAnsi="宋体" w:cs="宋体"/>
                <w:lang w:val="en-US" w:eastAsia="zh-CN"/>
              </w:rPr>
              <w:t>电子与智能化</w:t>
            </w:r>
            <w:r>
              <w:rPr>
                <w:rFonts w:hint="eastAsia" w:ascii="宋体" w:hAnsi="宋体" w:cs="宋体"/>
              </w:rPr>
              <w:t>工程专业承包贰级及以上资质，具有有效的安全生产许可证。</w:t>
            </w:r>
          </w:p>
          <w:p w14:paraId="3E99F130">
            <w:pPr>
              <w:pStyle w:val="123"/>
              <w:wordWrap w:val="0"/>
              <w:snapToGrid w:val="0"/>
              <w:spacing w:line="300" w:lineRule="auto"/>
              <w:rPr>
                <w:rFonts w:hint="eastAsia" w:ascii="宋体" w:hAnsi="宋体" w:cs="宋体"/>
              </w:rPr>
            </w:pPr>
            <w:r>
              <w:rPr>
                <w:rFonts w:hint="eastAsia" w:ascii="宋体" w:hAnsi="宋体" w:cs="宋体"/>
              </w:rPr>
              <w:t>（8）投标人拟派项目负责人（项目经理）应持有有效的注册二级及以上级建造师（</w:t>
            </w:r>
            <w:r>
              <w:rPr>
                <w:rFonts w:hint="eastAsia" w:ascii="宋体" w:hAnsi="宋体" w:cs="宋体"/>
                <w:lang w:val="en-US" w:eastAsia="zh-CN"/>
              </w:rPr>
              <w:t>机电</w:t>
            </w:r>
            <w:r>
              <w:rPr>
                <w:rFonts w:hint="eastAsia" w:ascii="宋体" w:hAnsi="宋体" w:cs="宋体"/>
              </w:rPr>
              <w:t>工程专业）注册证书（一级建造师注册证书必须为电子证书并符合《住房和城乡建设部办公厅关于全面实行一级建造师电子注册证书的通知》（建办市〔2021〕40号）的规定），具备有效的安全生产考核合格证书（B类）。</w:t>
            </w:r>
          </w:p>
          <w:p w14:paraId="4C31E91E">
            <w:pPr>
              <w:pStyle w:val="123"/>
              <w:wordWrap w:val="0"/>
              <w:snapToGrid w:val="0"/>
              <w:spacing w:line="300" w:lineRule="auto"/>
              <w:rPr>
                <w:rFonts w:hint="eastAsia" w:ascii="宋体" w:hAnsi="宋体" w:cs="宋体"/>
              </w:rPr>
            </w:pPr>
            <w:r>
              <w:rPr>
                <w:rFonts w:hint="eastAsia" w:ascii="宋体" w:hAnsi="宋体" w:cs="宋体"/>
              </w:rPr>
              <w:t>2.商务技术文件；</w:t>
            </w:r>
          </w:p>
          <w:p w14:paraId="6B0CC704">
            <w:pPr>
              <w:pStyle w:val="123"/>
              <w:wordWrap w:val="0"/>
              <w:snapToGrid w:val="0"/>
              <w:spacing w:line="300" w:lineRule="auto"/>
              <w:rPr>
                <w:rFonts w:hint="eastAsia" w:ascii="宋体" w:hAnsi="宋体" w:cs="宋体"/>
              </w:rPr>
            </w:pPr>
            <w:r>
              <w:rPr>
                <w:rFonts w:hint="eastAsia" w:ascii="宋体" w:hAnsi="宋体" w:cs="宋体"/>
              </w:rPr>
              <w:t>（1）投标函</w:t>
            </w:r>
          </w:p>
          <w:p w14:paraId="298C9508">
            <w:pPr>
              <w:pStyle w:val="123"/>
              <w:wordWrap w:val="0"/>
              <w:snapToGrid w:val="0"/>
              <w:spacing w:line="300" w:lineRule="auto"/>
              <w:rPr>
                <w:rFonts w:hint="eastAsia" w:ascii="宋体" w:hAnsi="宋体" w:cs="宋体"/>
              </w:rPr>
            </w:pPr>
            <w:r>
              <w:rPr>
                <w:rFonts w:hint="eastAsia" w:ascii="宋体" w:hAnsi="宋体" w:cs="宋体"/>
              </w:rPr>
              <w:t>（2）承诺函</w:t>
            </w:r>
          </w:p>
          <w:p w14:paraId="2AA8C2B4">
            <w:pPr>
              <w:pStyle w:val="123"/>
              <w:wordWrap w:val="0"/>
              <w:snapToGrid w:val="0"/>
              <w:spacing w:line="300" w:lineRule="auto"/>
              <w:rPr>
                <w:rFonts w:hint="eastAsia" w:ascii="宋体" w:hAnsi="宋体" w:cs="宋体"/>
              </w:rPr>
            </w:pPr>
            <w:r>
              <w:rPr>
                <w:rFonts w:hint="eastAsia" w:ascii="宋体" w:hAnsi="宋体" w:cs="宋体"/>
              </w:rPr>
              <w:t>（3）法定代表人资格证明书、法定代表人授权委托书</w:t>
            </w:r>
          </w:p>
          <w:p w14:paraId="166CB0A0">
            <w:pPr>
              <w:pStyle w:val="123"/>
              <w:wordWrap w:val="0"/>
              <w:snapToGrid w:val="0"/>
              <w:spacing w:line="300" w:lineRule="auto"/>
              <w:rPr>
                <w:rFonts w:hint="eastAsia" w:ascii="宋体" w:hAnsi="宋体" w:cs="宋体"/>
              </w:rPr>
            </w:pPr>
            <w:r>
              <w:rPr>
                <w:rFonts w:hint="eastAsia" w:ascii="宋体" w:hAnsi="宋体" w:cs="宋体"/>
              </w:rPr>
              <w:t>（4）20</w:t>
            </w:r>
            <w:r>
              <w:rPr>
                <w:rFonts w:hint="eastAsia" w:ascii="宋体" w:hAnsi="宋体" w:cs="宋体"/>
                <w:lang w:val="en-US" w:eastAsia="zh-CN"/>
              </w:rPr>
              <w:t>25</w:t>
            </w:r>
            <w:r>
              <w:rPr>
                <w:rFonts w:hint="eastAsia" w:ascii="宋体" w:hAnsi="宋体" w:cs="宋体"/>
              </w:rPr>
              <w:t>年</w:t>
            </w:r>
            <w:r>
              <w:rPr>
                <w:rFonts w:hint="eastAsia" w:ascii="宋体" w:hAnsi="宋体" w:cs="宋体"/>
                <w:lang w:val="en-US" w:eastAsia="zh-CN"/>
              </w:rPr>
              <w:t>10</w:t>
            </w:r>
            <w:r>
              <w:rPr>
                <w:rFonts w:hint="eastAsia" w:ascii="宋体" w:hAnsi="宋体" w:cs="宋体"/>
              </w:rPr>
              <w:t>月至今任意一月的投标授权代表的社保缴纳证明</w:t>
            </w:r>
          </w:p>
          <w:p w14:paraId="6E8473A8">
            <w:pPr>
              <w:pStyle w:val="123"/>
              <w:wordWrap w:val="0"/>
              <w:snapToGrid w:val="0"/>
              <w:spacing w:line="300" w:lineRule="auto"/>
              <w:rPr>
                <w:rFonts w:hint="eastAsia" w:ascii="宋体" w:hAnsi="宋体" w:cs="宋体"/>
              </w:rPr>
            </w:pPr>
            <w:r>
              <w:rPr>
                <w:rFonts w:hint="eastAsia" w:ascii="宋体" w:hAnsi="宋体" w:cs="宋体"/>
              </w:rPr>
              <w:t>（5）投标人情况简介</w:t>
            </w:r>
          </w:p>
          <w:p w14:paraId="5C255F51">
            <w:pPr>
              <w:pStyle w:val="123"/>
              <w:wordWrap w:val="0"/>
              <w:snapToGrid w:val="0"/>
              <w:spacing w:line="300" w:lineRule="auto"/>
              <w:rPr>
                <w:rFonts w:hint="eastAsia" w:ascii="宋体" w:hAnsi="宋体" w:cs="宋体"/>
              </w:rPr>
            </w:pPr>
            <w:r>
              <w:rPr>
                <w:rFonts w:hint="eastAsia" w:ascii="宋体" w:hAnsi="宋体" w:cs="宋体"/>
              </w:rPr>
              <w:t>（6）招标需求偏离表</w:t>
            </w:r>
          </w:p>
          <w:p w14:paraId="4152B581">
            <w:pPr>
              <w:pStyle w:val="123"/>
              <w:wordWrap w:val="0"/>
              <w:snapToGrid w:val="0"/>
              <w:spacing w:line="300" w:lineRule="auto"/>
              <w:rPr>
                <w:rFonts w:hint="eastAsia" w:ascii="宋体" w:hAnsi="宋体" w:cs="宋体"/>
              </w:rPr>
            </w:pPr>
            <w:r>
              <w:rPr>
                <w:rFonts w:hint="eastAsia" w:ascii="宋体" w:hAnsi="宋体" w:cs="宋体"/>
              </w:rPr>
              <w:t>（7）投标保证金缴纳凭证（如有）</w:t>
            </w:r>
          </w:p>
          <w:p w14:paraId="6CA3951D">
            <w:pPr>
              <w:pStyle w:val="123"/>
              <w:wordWrap w:val="0"/>
              <w:snapToGrid w:val="0"/>
              <w:spacing w:line="300" w:lineRule="auto"/>
              <w:rPr>
                <w:rFonts w:hint="eastAsia" w:ascii="宋体" w:hAnsi="宋体" w:cs="宋体"/>
              </w:rPr>
            </w:pPr>
            <w:r>
              <w:rPr>
                <w:rFonts w:hint="eastAsia" w:ascii="宋体" w:hAnsi="宋体" w:cs="宋体"/>
              </w:rPr>
              <w:t>（8）投标人需要说明的其他文件和材料</w:t>
            </w:r>
          </w:p>
          <w:p w14:paraId="79473EDB">
            <w:pPr>
              <w:pStyle w:val="123"/>
              <w:wordWrap w:val="0"/>
              <w:snapToGrid w:val="0"/>
              <w:spacing w:line="300" w:lineRule="auto"/>
              <w:rPr>
                <w:rFonts w:hint="eastAsia" w:ascii="宋体" w:hAnsi="宋体" w:cs="宋体"/>
              </w:rPr>
            </w:pPr>
            <w:r>
              <w:rPr>
                <w:rFonts w:hint="eastAsia" w:ascii="宋体" w:hAnsi="宋体" w:cs="宋体"/>
              </w:rPr>
              <w:t>（9）技术服务方案</w:t>
            </w:r>
          </w:p>
          <w:p w14:paraId="1CA57ED0">
            <w:pPr>
              <w:pStyle w:val="123"/>
              <w:wordWrap w:val="0"/>
              <w:snapToGrid w:val="0"/>
              <w:spacing w:line="300" w:lineRule="auto"/>
              <w:rPr>
                <w:rFonts w:hint="eastAsia" w:ascii="宋体" w:hAnsi="宋体" w:cs="宋体"/>
              </w:rPr>
            </w:pPr>
            <w:r>
              <w:rPr>
                <w:rFonts w:hint="eastAsia" w:ascii="宋体" w:hAnsi="宋体" w:cs="宋体"/>
              </w:rPr>
              <w:t>3.报价文件；</w:t>
            </w:r>
          </w:p>
          <w:p w14:paraId="5760D275">
            <w:pPr>
              <w:pStyle w:val="123"/>
              <w:wordWrap w:val="0"/>
              <w:snapToGrid w:val="0"/>
              <w:spacing w:line="300" w:lineRule="auto"/>
              <w:rPr>
                <w:rFonts w:hint="eastAsia" w:ascii="宋体" w:hAnsi="宋体" w:cs="宋体"/>
              </w:rPr>
            </w:pPr>
            <w:r>
              <w:rPr>
                <w:rFonts w:hint="eastAsia" w:ascii="宋体" w:hAnsi="宋体" w:cs="宋体"/>
              </w:rPr>
              <w:t>（1）开标一览表</w:t>
            </w:r>
          </w:p>
          <w:p w14:paraId="3677ECBC">
            <w:pPr>
              <w:pStyle w:val="123"/>
              <w:wordWrap w:val="0"/>
              <w:snapToGrid w:val="0"/>
              <w:spacing w:line="300" w:lineRule="auto"/>
              <w:rPr>
                <w:rFonts w:hint="eastAsia" w:ascii="宋体" w:hAnsi="宋体" w:cs="宋体"/>
              </w:rPr>
            </w:pPr>
            <w:r>
              <w:rPr>
                <w:rFonts w:hint="eastAsia" w:ascii="宋体" w:hAnsi="宋体" w:cs="宋体"/>
              </w:rPr>
              <w:t>（2）报价明细表</w:t>
            </w:r>
          </w:p>
          <w:p w14:paraId="30AC424A">
            <w:pPr>
              <w:pStyle w:val="123"/>
              <w:wordWrap w:val="0"/>
              <w:snapToGrid w:val="0"/>
              <w:spacing w:line="300" w:lineRule="auto"/>
              <w:rPr>
                <w:rFonts w:hint="eastAsia" w:ascii="宋体" w:hAnsi="宋体" w:cs="宋体"/>
              </w:rPr>
            </w:pPr>
            <w:r>
              <w:rPr>
                <w:rFonts w:hint="eastAsia" w:ascii="宋体" w:hAnsi="宋体" w:cs="宋体"/>
              </w:rPr>
              <w:t>（3）第六章“投标文件格式”报价文件要求的内容；</w:t>
            </w:r>
          </w:p>
          <w:p w14:paraId="3BB11235">
            <w:pPr>
              <w:pStyle w:val="123"/>
              <w:wordWrap w:val="0"/>
              <w:snapToGrid w:val="0"/>
              <w:spacing w:line="300" w:lineRule="auto"/>
              <w:rPr>
                <w:rFonts w:hint="eastAsia" w:ascii="宋体" w:hAnsi="宋体" w:cs="宋体"/>
              </w:rPr>
            </w:pPr>
            <w:r>
              <w:rPr>
                <w:rFonts w:hint="eastAsia" w:ascii="宋体" w:hAnsi="宋体" w:cs="宋体"/>
              </w:rPr>
              <w:t>4.其他投标资料：投标人认为需要的其他资料。</w:t>
            </w:r>
          </w:p>
        </w:tc>
      </w:tr>
      <w:tr w14:paraId="24C9217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3F32BA8">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0872A32">
            <w:pPr>
              <w:pStyle w:val="123"/>
              <w:kinsoku w:val="0"/>
              <w:overflowPunct w:val="0"/>
              <w:spacing w:before="108" w:line="360" w:lineRule="auto"/>
              <w:jc w:val="center"/>
              <w:rPr>
                <w:rFonts w:hint="eastAsia" w:ascii="宋体" w:hAnsi="宋体" w:cs="宋体"/>
                <w:kern w:val="2"/>
              </w:rPr>
            </w:pPr>
            <w:r>
              <w:rPr>
                <w:rFonts w:hint="eastAsia" w:ascii="宋体" w:hAnsi="宋体" w:cs="宋体"/>
                <w:b/>
              </w:rPr>
              <w:t>样品提供</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6217CAC">
            <w:pPr>
              <w:spacing w:line="340" w:lineRule="exact"/>
              <w:jc w:val="left"/>
              <w:rPr>
                <w:rFonts w:hint="eastAsia"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A</w:t>
            </w:r>
            <w:r>
              <w:rPr>
                <w:rFonts w:hint="eastAsia" w:ascii="宋体" w:hAnsi="宋体" w:cs="宋体"/>
                <w:sz w:val="24"/>
              </w:rPr>
              <w:t>不要求提供。</w:t>
            </w:r>
          </w:p>
          <w:p w14:paraId="7DBEEFC1">
            <w:pPr>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B要求提供，</w:t>
            </w:r>
          </w:p>
          <w:p w14:paraId="3144C6D0">
            <w:pPr>
              <w:spacing w:line="340" w:lineRule="exact"/>
              <w:jc w:val="left"/>
              <w:rPr>
                <w:rFonts w:hint="eastAsia"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r>
              <w:rPr>
                <w:rFonts w:ascii="宋体" w:hAnsi="宋体" w:cs="Segoe UI Emoji"/>
                <w:spacing w:val="-6"/>
                <w:sz w:val="24"/>
              </w:rPr>
              <w:t>▲</w:t>
            </w:r>
            <w:r>
              <w:rPr>
                <w:rFonts w:hint="eastAsia" w:ascii="宋体" w:hAnsi="宋体" w:cs="Segoe UI Symbol"/>
                <w:spacing w:val="-6"/>
                <w:sz w:val="24"/>
              </w:rPr>
              <w:t>□</w:t>
            </w:r>
            <w:r>
              <w:rPr>
                <w:rFonts w:hint="eastAsia" w:ascii="宋体" w:hAnsi="宋体" w:cs="Segoe UI Symbol"/>
                <w:b/>
                <w:sz w:val="24"/>
              </w:rPr>
              <w:t>未按本招标文件规定提供样品的投标人，其投标将被否决。</w:t>
            </w:r>
          </w:p>
          <w:p w14:paraId="72B54E39">
            <w:pPr>
              <w:spacing w:line="340" w:lineRule="exact"/>
              <w:jc w:val="left"/>
              <w:rPr>
                <w:rFonts w:hint="eastAsia" w:ascii="宋体" w:hAnsi="宋体" w:cs="宋体"/>
                <w:kern w:val="0"/>
                <w:sz w:val="24"/>
              </w:rPr>
            </w:pPr>
            <w:r>
              <w:rPr>
                <w:rFonts w:hint="eastAsia" w:ascii="宋体" w:hAnsi="宋体" w:cs="宋体"/>
                <w:color w:val="auto"/>
                <w:kern w:val="0"/>
                <w:sz w:val="24"/>
              </w:rPr>
              <w:t>2.</w:t>
            </w:r>
            <w:r>
              <w:rPr>
                <w:rFonts w:hint="eastAsia" w:ascii="宋体" w:hAnsi="宋体" w:cs="宋体"/>
                <w:snapToGrid w:val="0"/>
                <w:kern w:val="28"/>
                <w:sz w:val="24"/>
              </w:rPr>
              <w:t>样品制作的标准和要求：</w:t>
            </w:r>
            <w:r>
              <w:rPr>
                <w:rFonts w:hint="eastAsia" w:ascii="宋体" w:hAnsi="宋体" w:cs="宋体"/>
                <w:kern w:val="0"/>
                <w:sz w:val="24"/>
              </w:rPr>
              <w:t>详见第三章招标需求；</w:t>
            </w:r>
          </w:p>
          <w:p w14:paraId="59E85567">
            <w:pPr>
              <w:spacing w:line="340" w:lineRule="exact"/>
              <w:jc w:val="left"/>
              <w:rPr>
                <w:rFonts w:hint="eastAsia" w:ascii="宋体" w:hAnsi="宋体" w:cs="宋体"/>
                <w:snapToGrid w:val="0"/>
                <w:kern w:val="28"/>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rPr>
              <w:t>第四章</w:t>
            </w:r>
            <w:r>
              <w:rPr>
                <w:rFonts w:hint="eastAsia" w:ascii="宋体" w:hAnsi="宋体" w:cs="宋体"/>
                <w:snapToGrid w:val="0"/>
                <w:kern w:val="28"/>
                <w:sz w:val="24"/>
              </w:rPr>
              <w:t>“评标办法及评分标准”；</w:t>
            </w:r>
          </w:p>
          <w:p w14:paraId="793F9137">
            <w:pPr>
              <w:spacing w:line="340" w:lineRule="exact"/>
              <w:jc w:val="left"/>
              <w:rPr>
                <w:rFonts w:hint="eastAsia" w:ascii="宋体" w:hAnsi="宋体" w:cs="宋体"/>
                <w:kern w:val="0"/>
                <w:sz w:val="24"/>
              </w:rPr>
            </w:pPr>
            <w:r>
              <w:rPr>
                <w:rFonts w:hint="eastAsia" w:ascii="宋体" w:hAnsi="宋体" w:cs="宋体"/>
                <w:kern w:val="0"/>
                <w:sz w:val="24"/>
              </w:rPr>
              <w:t>4.是否需要随样品提交检测报告：</w:t>
            </w:r>
            <w:r>
              <w:rPr>
                <w:rFonts w:hint="eastAsia" w:ascii="宋体" w:hAnsi="宋体" w:cs="Segoe UI Symbol"/>
                <w:spacing w:val="-6"/>
                <w:sz w:val="24"/>
              </w:rPr>
              <w:t>□</w:t>
            </w:r>
            <w:r>
              <w:rPr>
                <w:rFonts w:hint="eastAsia" w:ascii="宋体" w:hAnsi="宋体" w:cs="宋体"/>
                <w:kern w:val="0"/>
                <w:sz w:val="24"/>
              </w:rPr>
              <w:t>否；</w:t>
            </w:r>
            <w:r>
              <w:rPr>
                <w:rFonts w:hint="eastAsia" w:ascii="宋体" w:hAnsi="宋体" w:cs="Segoe UI Symbol"/>
                <w:spacing w:val="-6"/>
                <w:sz w:val="24"/>
              </w:rPr>
              <w:t>□</w:t>
            </w:r>
            <w:r>
              <w:rPr>
                <w:rFonts w:hint="eastAsia" w:ascii="宋体" w:hAnsi="宋体" w:cs="宋体"/>
                <w:kern w:val="0"/>
                <w:sz w:val="24"/>
              </w:rPr>
              <w:t>是，检测机构的要求及检测内容</w:t>
            </w:r>
            <w:r>
              <w:rPr>
                <w:rFonts w:hint="eastAsia" w:ascii="宋体" w:hAnsi="宋体" w:cs="宋体"/>
                <w:sz w:val="24"/>
              </w:rPr>
              <w:t>：</w:t>
            </w:r>
            <w:r>
              <w:rPr>
                <w:rFonts w:hint="eastAsia" w:ascii="宋体" w:hAnsi="宋体" w:cs="宋体"/>
                <w:kern w:val="0"/>
                <w:sz w:val="24"/>
              </w:rPr>
              <w:t>详见第三章招标需求。</w:t>
            </w:r>
            <w:r>
              <w:rPr>
                <w:rFonts w:ascii="宋体" w:hAnsi="宋体" w:cs="Segoe UI Emoji"/>
                <w:spacing w:val="-6"/>
                <w:sz w:val="24"/>
              </w:rPr>
              <w:t>▲</w:t>
            </w:r>
            <w:r>
              <w:rPr>
                <w:rFonts w:hint="eastAsia" w:ascii="宋体" w:hAnsi="宋体" w:cs="Segoe UI Symbol"/>
                <w:spacing w:val="-6"/>
                <w:sz w:val="24"/>
              </w:rPr>
              <w:t>□</w:t>
            </w:r>
            <w:r>
              <w:rPr>
                <w:rFonts w:hint="eastAsia" w:ascii="宋体" w:hAnsi="宋体" w:cs="Segoe UI Symbol"/>
                <w:b/>
                <w:sz w:val="24"/>
              </w:rPr>
              <w:t>未按本招标文件规定提供检测报告的投标人，其投标将被否决。</w:t>
            </w:r>
          </w:p>
          <w:p w14:paraId="4421ED64">
            <w:pPr>
              <w:spacing w:line="340" w:lineRule="exact"/>
              <w:jc w:val="left"/>
              <w:rPr>
                <w:rFonts w:hint="eastAsia"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。请投标人在上述时间内提供样品并按规定位置安装完毕。超过截止时间的，招标人或代理机构将不予接收，并将清场并封闭样品现场。</w:t>
            </w:r>
          </w:p>
          <w:p w14:paraId="06BC7EE1">
            <w:pPr>
              <w:spacing w:line="340" w:lineRule="exact"/>
              <w:jc w:val="left"/>
              <w:rPr>
                <w:rFonts w:hint="eastAsia" w:ascii="宋体" w:hAnsi="宋体" w:cs="宋体"/>
                <w:sz w:val="24"/>
              </w:rPr>
            </w:pPr>
            <w:r>
              <w:rPr>
                <w:rFonts w:hint="eastAsia" w:ascii="宋体" w:hAnsi="宋体" w:cs="宋体"/>
                <w:sz w:val="24"/>
              </w:rPr>
              <w:t>6.招标活动结束后，对于未中标人提供的样品，招标人、代理机构将通知未中标人在规定的时间内取回，逾期未取回的，招标人、代理机构不负保管义务；对于中标人提供的样品，招标人将进行保管、封存，并作为履约验收的参考。</w:t>
            </w:r>
          </w:p>
          <w:p w14:paraId="1741AD20">
            <w:pPr>
              <w:widowControl/>
              <w:spacing w:line="360" w:lineRule="auto"/>
              <w:jc w:val="left"/>
              <w:rPr>
                <w:rFonts w:hint="eastAsia" w:ascii="宋体" w:hAnsi="宋体" w:cs="宋体"/>
                <w:color w:val="000000"/>
                <w:sz w:val="24"/>
              </w:rPr>
            </w:pPr>
            <w:r>
              <w:rPr>
                <w:rFonts w:hint="eastAsia" w:ascii="宋体" w:hAnsi="宋体" w:cs="宋体"/>
                <w:sz w:val="24"/>
              </w:rPr>
              <w:t>7.制作、运输、安装和保管样品所发生的一切费用由投标人自理。</w:t>
            </w:r>
          </w:p>
        </w:tc>
      </w:tr>
      <w:tr w14:paraId="64D0C25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CDB2BE8">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7D6CAB6">
            <w:pPr>
              <w:pStyle w:val="123"/>
              <w:kinsoku w:val="0"/>
              <w:overflowPunct w:val="0"/>
              <w:spacing w:before="108" w:line="360" w:lineRule="auto"/>
              <w:jc w:val="center"/>
              <w:rPr>
                <w:rFonts w:hint="eastAsia" w:ascii="宋体" w:hAnsi="宋体" w:cs="宋体"/>
                <w:kern w:val="2"/>
              </w:rPr>
            </w:pPr>
            <w:r>
              <w:rPr>
                <w:rFonts w:hint="eastAsia" w:ascii="宋体" w:hAnsi="宋体" w:cs="宋体"/>
                <w:b/>
              </w:rPr>
              <w:t>方案讲解演示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70388FF">
            <w:pPr>
              <w:spacing w:line="340" w:lineRule="exact"/>
              <w:jc w:val="left"/>
              <w:rPr>
                <w:rFonts w:hint="eastAsia"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A</w:t>
            </w:r>
            <w:r>
              <w:rPr>
                <w:rFonts w:hint="eastAsia" w:ascii="宋体" w:hAnsi="宋体" w:cs="宋体"/>
                <w:sz w:val="24"/>
              </w:rPr>
              <w:t>不组织。</w:t>
            </w:r>
          </w:p>
          <w:p w14:paraId="034DDFBC">
            <w:pPr>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B组织。</w:t>
            </w:r>
          </w:p>
          <w:p w14:paraId="4B868BC9">
            <w:pPr>
              <w:snapToGrid w:val="0"/>
              <w:spacing w:line="340" w:lineRule="exact"/>
              <w:jc w:val="left"/>
              <w:rPr>
                <w:rFonts w:ascii="宋体" w:hAnsi="宋体" w:cs="宋体"/>
                <w:kern w:val="0"/>
                <w:sz w:val="24"/>
              </w:rPr>
            </w:pPr>
            <w:r>
              <w:rPr>
                <w:rFonts w:hint="eastAsia" w:ascii="宋体" w:hAnsi="宋体" w:cs="宋体"/>
                <w:kern w:val="0"/>
                <w:sz w:val="24"/>
              </w:rPr>
              <w:t>1.演示要求：详见第三章招标需求；</w:t>
            </w:r>
          </w:p>
          <w:p w14:paraId="24E170D5">
            <w:pPr>
              <w:snapToGrid w:val="0"/>
              <w:spacing w:line="340" w:lineRule="exact"/>
              <w:jc w:val="left"/>
              <w:rPr>
                <w:rFonts w:hint="eastAsia" w:ascii="宋体" w:hAnsi="宋体" w:cs="宋体"/>
                <w:bCs/>
                <w:kern w:val="0"/>
                <w:sz w:val="24"/>
              </w:rPr>
            </w:pPr>
            <w:r>
              <w:rPr>
                <w:rFonts w:hint="eastAsia" w:ascii="宋体" w:hAnsi="宋体" w:cs="宋体"/>
                <w:kern w:val="0"/>
                <w:sz w:val="24"/>
              </w:rPr>
              <w:t>2.演示顺序：原则上按投标文件</w:t>
            </w:r>
            <w:r>
              <w:rPr>
                <w:rFonts w:ascii="宋体" w:hAnsi="宋体" w:cs="宋体"/>
                <w:bCs/>
                <w:kern w:val="0"/>
                <w:sz w:val="24"/>
              </w:rPr>
              <w:t>□</w:t>
            </w:r>
            <w:r>
              <w:rPr>
                <w:rFonts w:hint="eastAsia" w:ascii="宋体" w:hAnsi="宋体" w:cs="宋体"/>
                <w:kern w:val="0"/>
                <w:sz w:val="24"/>
              </w:rPr>
              <w:t>递交签到顺序/</w:t>
            </w:r>
            <w:r>
              <w:rPr>
                <w:rFonts w:ascii="宋体" w:hAnsi="宋体" w:cs="宋体"/>
                <w:bCs/>
                <w:kern w:val="0"/>
                <w:sz w:val="24"/>
              </w:rPr>
              <w:t>□</w:t>
            </w:r>
            <w:r>
              <w:rPr>
                <w:rFonts w:hint="eastAsia" w:ascii="宋体" w:hAnsi="宋体" w:cs="宋体"/>
                <w:bCs/>
                <w:kern w:val="0"/>
                <w:sz w:val="24"/>
              </w:rPr>
              <w:t>解密先后顺序进行；</w:t>
            </w:r>
          </w:p>
          <w:p w14:paraId="4ADF7D0E">
            <w:pPr>
              <w:snapToGrid w:val="0"/>
              <w:spacing w:line="340" w:lineRule="exact"/>
              <w:jc w:val="left"/>
              <w:rPr>
                <w:rFonts w:hint="eastAsia" w:ascii="宋体" w:hAnsi="宋体" w:cs="宋体"/>
                <w:kern w:val="0"/>
                <w:sz w:val="24"/>
              </w:rPr>
            </w:pPr>
            <w:r>
              <w:rPr>
                <w:rFonts w:hint="eastAsia" w:ascii="宋体" w:hAnsi="宋体" w:cs="宋体"/>
                <w:kern w:val="0"/>
                <w:sz w:val="24"/>
              </w:rPr>
              <w:t>3.在评标时安排每个投标人进行方案讲解演示。每个投标人时间不超过</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分钟，讲解次序以</w:t>
            </w:r>
            <w:r>
              <w:rPr>
                <w:rFonts w:ascii="Segoe UI Symbol" w:hAnsi="Segoe UI Symbol" w:cs="Segoe UI Symbol"/>
                <w:kern w:val="0"/>
                <w:sz w:val="24"/>
              </w:rPr>
              <w:t>☐</w:t>
            </w:r>
            <w:r>
              <w:rPr>
                <w:rFonts w:hint="eastAsia" w:ascii="宋体" w:hAnsi="宋体" w:cs="宋体"/>
                <w:kern w:val="0"/>
                <w:sz w:val="24"/>
              </w:rPr>
              <w:t>投标文件解密时间先后次序</w:t>
            </w:r>
            <w:r>
              <w:rPr>
                <w:rFonts w:ascii="Segoe UI Symbol" w:hAnsi="Segoe UI Symbol" w:cs="Segoe UI Symbol"/>
                <w:kern w:val="0"/>
                <w:sz w:val="24"/>
              </w:rPr>
              <w:t>☐</w:t>
            </w:r>
            <w:r>
              <w:rPr>
                <w:rFonts w:hint="eastAsia" w:ascii="宋体" w:hAnsi="宋体" w:cs="Segoe UI Symbol"/>
                <w:kern w:val="0"/>
                <w:sz w:val="24"/>
              </w:rPr>
              <w:t>投标文件递交的先后顺序</w:t>
            </w:r>
            <w:r>
              <w:rPr>
                <w:rFonts w:hint="eastAsia" w:ascii="宋体" w:hAnsi="宋体" w:cs="宋体"/>
                <w:kern w:val="0"/>
                <w:sz w:val="24"/>
              </w:rPr>
              <w:t>为准，讲解演示人员不超过</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人。讲解演示结束后按要求解答评标委员会提问。</w:t>
            </w:r>
          </w:p>
          <w:p w14:paraId="3980BD84">
            <w:pPr>
              <w:snapToGrid w:val="0"/>
              <w:spacing w:line="340" w:lineRule="exact"/>
              <w:jc w:val="left"/>
              <w:rPr>
                <w:rFonts w:hint="eastAsia" w:ascii="宋体" w:hAnsi="宋体" w:cs="宋体"/>
                <w:kern w:val="0"/>
                <w:sz w:val="24"/>
              </w:rPr>
            </w:pPr>
            <w:r>
              <w:rPr>
                <w:rFonts w:hint="eastAsia" w:ascii="宋体" w:hAnsi="宋体" w:cs="宋体"/>
                <w:kern w:val="0"/>
                <w:sz w:val="24"/>
              </w:rPr>
              <w:t>4.方案讲解演示可选择以下其中一种方式：</w:t>
            </w:r>
          </w:p>
          <w:p w14:paraId="08A15699">
            <w:pPr>
              <w:snapToGrid w:val="0"/>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方式一：电子交易平台在线讲解演示。电子交易平台在线讲解需投标人根据电子交易平台操作要求做好准备工作，提前完善软硬件配置环境。</w:t>
            </w:r>
          </w:p>
          <w:p w14:paraId="0FD7910E">
            <w:pPr>
              <w:snapToGrid w:val="0"/>
              <w:spacing w:line="340" w:lineRule="exact"/>
              <w:jc w:val="left"/>
              <w:rPr>
                <w:rFonts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方式二：评审现场讲解演示。现场讲解地点为</w:t>
            </w:r>
            <w:r>
              <w:rPr>
                <w:rFonts w:hint="eastAsia" w:ascii="宋体" w:hAnsi="宋体" w:cs="宋体"/>
                <w:b/>
                <w:sz w:val="24"/>
                <w:u w:val="single"/>
              </w:rPr>
              <w:t xml:space="preserve">：      </w:t>
            </w:r>
            <w:r>
              <w:rPr>
                <w:rFonts w:hint="eastAsia" w:ascii="宋体" w:hAnsi="宋体" w:cs="宋体"/>
                <w:kern w:val="0"/>
                <w:sz w:val="24"/>
              </w:rPr>
              <w:t>，讲解演示所用电脑等设备由投标人自备。现场讲解演示人员进场时提供讲解人员名单（加盖公章或授权代表签名）及身份证明，否则不得讲解演示。</w:t>
            </w:r>
          </w:p>
          <w:p w14:paraId="79221F33">
            <w:pPr>
              <w:snapToGrid w:val="0"/>
              <w:spacing w:line="360" w:lineRule="auto"/>
              <w:contextualSpacing/>
              <w:jc w:val="left"/>
              <w:rPr>
                <w:rFonts w:hint="eastAsia" w:ascii="宋体" w:hAnsi="宋体" w:cs="仿宋_GB2312"/>
                <w:kern w:val="0"/>
                <w:sz w:val="24"/>
              </w:rPr>
            </w:pPr>
            <w:r>
              <w:rPr>
                <w:rFonts w:hint="eastAsia" w:ascii="宋体" w:hAnsi="宋体" w:cs="Segoe UI Symbol"/>
                <w:spacing w:val="-6"/>
                <w:sz w:val="24"/>
              </w:rPr>
              <w:t>□</w:t>
            </w:r>
            <w:r>
              <w:rPr>
                <w:rFonts w:hint="eastAsia" w:ascii="宋体" w:hAnsi="宋体" w:cs="宋体"/>
                <w:kern w:val="0"/>
                <w:sz w:val="24"/>
              </w:rPr>
              <w:t>方式三：</w:t>
            </w:r>
            <w:r>
              <w:rPr>
                <w:rFonts w:hint="eastAsia" w:ascii="宋体" w:hAnsi="宋体" w:cs="仿宋_GB2312"/>
                <w:kern w:val="0"/>
                <w:sz w:val="24"/>
              </w:rPr>
              <w:t>采用视频录制方式，演示视频应在提交投标文件截止时间前用</w:t>
            </w:r>
            <w:r>
              <w:rPr>
                <w:rFonts w:ascii="宋体" w:hAnsi="宋体" w:cs="仿宋_GB2312"/>
                <w:kern w:val="0"/>
                <w:sz w:val="24"/>
              </w:rPr>
              <w:t>U</w:t>
            </w:r>
            <w:r>
              <w:rPr>
                <w:rFonts w:hint="eastAsia" w:ascii="宋体" w:hAnsi="宋体" w:cs="仿宋_GB2312"/>
                <w:kern w:val="0"/>
                <w:sz w:val="24"/>
              </w:rPr>
              <w:t>盘介质储存，递交或邮寄至代理机构（</w:t>
            </w:r>
            <w:r>
              <w:rPr>
                <w:rFonts w:hint="eastAsia" w:ascii="宋体" w:hAnsi="宋体" w:cs="仿宋_GB2312"/>
                <w:kern w:val="0"/>
                <w:sz w:val="24"/>
                <w:u w:val="single"/>
              </w:rPr>
              <w:t xml:space="preserve">姓名：  ，联系电话：    ，地址：    </w:t>
            </w:r>
            <w:r>
              <w:rPr>
                <w:rFonts w:hint="eastAsia" w:ascii="宋体" w:hAnsi="宋体" w:cs="仿宋_GB2312"/>
                <w:kern w:val="0"/>
                <w:sz w:val="24"/>
              </w:rPr>
              <w:t>），视频中演示人应出示身份证。若因</w:t>
            </w:r>
            <w:r>
              <w:rPr>
                <w:rFonts w:ascii="宋体" w:hAnsi="宋体" w:cs="仿宋_GB2312"/>
                <w:kern w:val="0"/>
                <w:sz w:val="24"/>
              </w:rPr>
              <w:t>U</w:t>
            </w:r>
            <w:r>
              <w:rPr>
                <w:rFonts w:hint="eastAsia" w:ascii="宋体" w:hAnsi="宋体" w:cs="仿宋_GB2312"/>
                <w:kern w:val="0"/>
                <w:sz w:val="24"/>
              </w:rPr>
              <w:t>盘损坏或打不开则按视为未提交。（</w:t>
            </w:r>
            <w:r>
              <w:rPr>
                <w:rFonts w:ascii="宋体" w:hAnsi="宋体" w:cs="仿宋_GB2312"/>
                <w:kern w:val="0"/>
                <w:sz w:val="24"/>
              </w:rPr>
              <w:t>1</w:t>
            </w:r>
            <w:r>
              <w:rPr>
                <w:rFonts w:hint="eastAsia" w:ascii="宋体" w:hAnsi="宋体" w:cs="仿宋_GB2312"/>
                <w:kern w:val="0"/>
                <w:sz w:val="24"/>
              </w:rPr>
              <w:t>）投标人录制演示视频，采用通用视频播放软件可以播放的格式。如为特殊格式，请在存储介质中提供视频播放软件安装程序。（</w:t>
            </w:r>
            <w:r>
              <w:rPr>
                <w:rFonts w:ascii="宋体" w:hAnsi="宋体" w:cs="仿宋_GB2312"/>
                <w:kern w:val="0"/>
                <w:sz w:val="24"/>
              </w:rPr>
              <w:t>2</w:t>
            </w:r>
            <w:r>
              <w:rPr>
                <w:rFonts w:hint="eastAsia" w:ascii="宋体" w:hAnsi="宋体" w:cs="仿宋_GB2312"/>
                <w:kern w:val="0"/>
                <w:sz w:val="24"/>
              </w:rPr>
              <w:t>）演示视频应密封包装，并在封皮上注明“投标人名称”“项目名称”“演示视频”等信息。</w:t>
            </w:r>
          </w:p>
          <w:p w14:paraId="2AAC578A">
            <w:pPr>
              <w:snapToGrid w:val="0"/>
              <w:spacing w:line="360" w:lineRule="auto"/>
              <w:contextualSpacing/>
              <w:jc w:val="left"/>
              <w:rPr>
                <w:rFonts w:hint="eastAsia"/>
              </w:rPr>
            </w:pPr>
            <w:r>
              <w:rPr>
                <w:rFonts w:hint="eastAsia" w:ascii="宋体" w:hAnsi="宋体" w:cs="仿宋_GB2312"/>
                <w:b/>
                <w:bCs/>
                <w:kern w:val="0"/>
                <w:sz w:val="24"/>
              </w:rPr>
              <w:t>说明：演示视频未在提交投标文件截止时间前提交，视为不进行演示，不演示不得分。</w:t>
            </w:r>
          </w:p>
          <w:p w14:paraId="3FA15079">
            <w:pPr>
              <w:widowControl/>
              <w:spacing w:line="360" w:lineRule="auto"/>
              <w:jc w:val="left"/>
              <w:rPr>
                <w:rFonts w:hint="eastAsia" w:ascii="宋体" w:hAnsi="宋体" w:cs="宋体"/>
                <w:color w:val="000000"/>
                <w:sz w:val="24"/>
              </w:rPr>
            </w:pPr>
            <w:r>
              <w:rPr>
                <w:rFonts w:hint="eastAsia" w:ascii="宋体" w:hAnsi="宋体" w:cs="宋体"/>
                <w:kern w:val="0"/>
                <w:sz w:val="24"/>
              </w:rPr>
              <w:t>注：因投标人自身原因导致无法演示或者演示效果不理想的，责任自负。</w:t>
            </w:r>
          </w:p>
        </w:tc>
      </w:tr>
      <w:tr w14:paraId="4CB768E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6D6571C">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8C2493C">
            <w:pPr>
              <w:pStyle w:val="123"/>
              <w:kinsoku w:val="0"/>
              <w:overflowPunct w:val="0"/>
              <w:spacing w:before="108" w:line="360" w:lineRule="auto"/>
              <w:jc w:val="center"/>
              <w:rPr>
                <w:rFonts w:hint="eastAsia" w:ascii="宋体" w:hAnsi="宋体" w:cs="宋体"/>
                <w:b/>
              </w:rPr>
            </w:pPr>
            <w:r>
              <w:rPr>
                <w:rFonts w:hint="eastAsia" w:ascii="宋体" w:hAnsi="宋体" w:cs="宋体"/>
                <w:b/>
                <w:bCs/>
              </w:rPr>
              <w:t>是否POC测试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6D6C8A7">
            <w:pPr>
              <w:spacing w:line="340" w:lineRule="exact"/>
              <w:jc w:val="left"/>
              <w:rPr>
                <w:rFonts w:ascii="宋体" w:hAnsi="宋体" w:cs="Segoe UI Symbol"/>
                <w:kern w:val="0"/>
                <w:sz w:val="24"/>
              </w:rPr>
            </w:pPr>
            <w:r>
              <w:rPr>
                <w:rFonts w:hint="eastAsia" w:ascii="宋体" w:hAnsi="宋体" w:cs="Segoe UI Symbol"/>
                <w:spacing w:val="-6"/>
                <w:sz w:val="24"/>
                <w:lang w:eastAsia="zh-CN"/>
              </w:rPr>
              <w:t>☑</w:t>
            </w:r>
            <w:r>
              <w:rPr>
                <w:rFonts w:hint="eastAsia" w:ascii="宋体" w:hAnsi="宋体" w:cs="Segoe UI Symbol"/>
                <w:kern w:val="0"/>
                <w:sz w:val="24"/>
              </w:rPr>
              <w:t>不需要</w:t>
            </w:r>
          </w:p>
          <w:p w14:paraId="7B651DEB">
            <w:pPr>
              <w:spacing w:line="340" w:lineRule="exact"/>
              <w:jc w:val="left"/>
              <w:rPr>
                <w:rFonts w:ascii="宋体" w:hAnsi="宋体" w:cs="Segoe UI Symbol"/>
                <w:kern w:val="0"/>
                <w:sz w:val="24"/>
              </w:rPr>
            </w:pPr>
            <w:r>
              <w:rPr>
                <w:rFonts w:hint="eastAsia" w:ascii="宋体" w:hAnsi="宋体" w:cs="Segoe UI Symbol"/>
                <w:spacing w:val="-6"/>
                <w:sz w:val="24"/>
              </w:rPr>
              <w:t>□</w:t>
            </w:r>
            <w:r>
              <w:rPr>
                <w:rFonts w:hint="eastAsia" w:ascii="宋体" w:hAnsi="宋体" w:cs="Segoe UI Symbol"/>
                <w:kern w:val="0"/>
                <w:sz w:val="24"/>
              </w:rPr>
              <w:t>需要</w:t>
            </w:r>
            <w:r>
              <w:rPr>
                <w:rFonts w:ascii="宋体" w:hAnsi="宋体" w:cs="Segoe UI Symbol"/>
                <w:kern w:val="0"/>
                <w:sz w:val="24"/>
              </w:rPr>
              <w:t>,</w:t>
            </w:r>
            <w:r>
              <w:rPr>
                <w:rFonts w:hint="eastAsia" w:ascii="宋体" w:hAnsi="宋体" w:cs="Segoe UI Symbol"/>
                <w:kern w:val="0"/>
                <w:sz w:val="24"/>
              </w:rPr>
              <w:t xml:space="preserve"> </w:t>
            </w:r>
            <w:r>
              <w:rPr>
                <w:rFonts w:ascii="宋体" w:hAnsi="宋体" w:cs="Segoe UI Symbol"/>
                <w:kern w:val="0"/>
                <w:sz w:val="24"/>
              </w:rPr>
              <w:t>▲</w:t>
            </w:r>
            <w:r>
              <w:rPr>
                <w:rFonts w:hint="eastAsia" w:ascii="宋体" w:hAnsi="宋体" w:cs="Segoe UI Symbol"/>
                <w:b/>
                <w:kern w:val="0"/>
                <w:sz w:val="24"/>
              </w:rPr>
              <w:t>□未按本招标文件规定参加POC测试或拒绝确认测试结果/□POC测试未通过的投标人，其投标将被否决。</w:t>
            </w:r>
          </w:p>
          <w:p w14:paraId="622246DD">
            <w:pPr>
              <w:spacing w:line="340" w:lineRule="exact"/>
              <w:jc w:val="left"/>
              <w:rPr>
                <w:rFonts w:ascii="宋体" w:hAnsi="宋体" w:cs="Segoe UI Symbol"/>
                <w:kern w:val="0"/>
                <w:sz w:val="24"/>
              </w:rPr>
            </w:pPr>
            <w:r>
              <w:rPr>
                <w:rFonts w:hint="eastAsia" w:ascii="宋体" w:hAnsi="宋体" w:cs="Segoe UI Symbol"/>
                <w:kern w:val="0"/>
                <w:sz w:val="24"/>
              </w:rPr>
              <w:t>测试要求：详见第三章招标需求</w:t>
            </w:r>
          </w:p>
          <w:p w14:paraId="1A765A57">
            <w:pPr>
              <w:spacing w:line="340" w:lineRule="exact"/>
              <w:jc w:val="left"/>
              <w:rPr>
                <w:rFonts w:ascii="宋体" w:hAnsi="宋体" w:cs="Segoe UI Symbol"/>
                <w:kern w:val="0"/>
                <w:sz w:val="24"/>
              </w:rPr>
            </w:pPr>
            <w:r>
              <w:rPr>
                <w:rFonts w:hint="eastAsia" w:ascii="宋体" w:hAnsi="宋体" w:cs="Segoe UI Symbol"/>
                <w:b/>
                <w:kern w:val="0"/>
                <w:sz w:val="24"/>
              </w:rPr>
              <w:t>测试安排：请投标人</w:t>
            </w:r>
            <w:r>
              <w:rPr>
                <w:rFonts w:ascii="宋体" w:hAnsi="宋体" w:cs="Segoe UI Symbol"/>
                <w:b/>
                <w:kern w:val="0"/>
                <w:sz w:val="24"/>
              </w:rPr>
              <w:t>XX</w:t>
            </w:r>
            <w:r>
              <w:rPr>
                <w:rFonts w:hint="eastAsia" w:ascii="宋体" w:hAnsi="宋体" w:cs="Segoe UI Symbol"/>
                <w:b/>
                <w:kern w:val="0"/>
                <w:sz w:val="24"/>
              </w:rPr>
              <w:t>年</w:t>
            </w:r>
            <w:r>
              <w:rPr>
                <w:rFonts w:ascii="宋体" w:hAnsi="宋体" w:cs="Segoe UI Symbol"/>
                <w:b/>
                <w:kern w:val="0"/>
                <w:sz w:val="24"/>
              </w:rPr>
              <w:t>XX</w:t>
            </w:r>
            <w:r>
              <w:rPr>
                <w:rFonts w:hint="eastAsia" w:ascii="宋体" w:hAnsi="宋体" w:cs="Segoe UI Symbol"/>
                <w:b/>
                <w:kern w:val="0"/>
                <w:sz w:val="24"/>
              </w:rPr>
              <w:t>月</w:t>
            </w:r>
            <w:r>
              <w:rPr>
                <w:rFonts w:ascii="宋体" w:hAnsi="宋体" w:cs="Segoe UI Symbol"/>
                <w:b/>
                <w:kern w:val="0"/>
                <w:sz w:val="24"/>
              </w:rPr>
              <w:t>XX</w:t>
            </w:r>
            <w:r>
              <w:rPr>
                <w:rFonts w:hint="eastAsia" w:ascii="宋体" w:hAnsi="宋体" w:cs="Segoe UI Symbol"/>
                <w:b/>
                <w:kern w:val="0"/>
                <w:sz w:val="24"/>
              </w:rPr>
              <w:t>日</w:t>
            </w:r>
            <w:r>
              <w:rPr>
                <w:rFonts w:ascii="宋体" w:hAnsi="宋体" w:cs="Segoe UI Symbol"/>
                <w:b/>
                <w:kern w:val="0"/>
                <w:sz w:val="24"/>
              </w:rPr>
              <w:t>XX:XX</w:t>
            </w:r>
            <w:r>
              <w:rPr>
                <w:rFonts w:hint="eastAsia" w:ascii="宋体" w:hAnsi="宋体" w:cs="Segoe UI Symbol"/>
                <w:b/>
                <w:kern w:val="0"/>
                <w:sz w:val="24"/>
              </w:rPr>
              <w:t>（预约测试截止时间）前通过联系邮箱与测试联系人预约，测试联系人：</w:t>
            </w:r>
            <w:r>
              <w:rPr>
                <w:rFonts w:ascii="宋体" w:hAnsi="宋体" w:cs="Segoe UI Symbol"/>
                <w:b/>
                <w:kern w:val="0"/>
                <w:sz w:val="24"/>
              </w:rPr>
              <w:t>XXX</w:t>
            </w:r>
            <w:r>
              <w:rPr>
                <w:rFonts w:hint="eastAsia" w:ascii="宋体" w:hAnsi="宋体" w:cs="Segoe UI Symbol"/>
                <w:b/>
                <w:kern w:val="0"/>
                <w:sz w:val="24"/>
              </w:rPr>
              <w:t>；联系邮箱：</w:t>
            </w:r>
            <w:r>
              <w:rPr>
                <w:rFonts w:ascii="宋体" w:hAnsi="宋体" w:cs="Segoe UI Symbol"/>
                <w:b/>
                <w:kern w:val="0"/>
                <w:sz w:val="24"/>
              </w:rPr>
              <w:t>XXX</w:t>
            </w:r>
            <w:r>
              <w:rPr>
                <w:rFonts w:hint="eastAsia" w:ascii="宋体" w:hAnsi="宋体" w:cs="Segoe UI Symbol"/>
                <w:b/>
                <w:kern w:val="0"/>
                <w:sz w:val="24"/>
              </w:rPr>
              <w:t>。根据预约时间提供测试所需演示环境、操作手册</w:t>
            </w:r>
            <w:r>
              <w:rPr>
                <w:rFonts w:ascii="宋体" w:hAnsi="宋体" w:cs="Segoe UI Symbol"/>
                <w:b/>
                <w:kern w:val="0"/>
                <w:sz w:val="24"/>
              </w:rPr>
              <w:t>,</w:t>
            </w:r>
            <w:r>
              <w:rPr>
                <w:rFonts w:hint="eastAsia" w:ascii="宋体" w:hAnsi="宋体" w:cs="Segoe UI Symbol"/>
                <w:b/>
                <w:kern w:val="0"/>
                <w:sz w:val="24"/>
              </w:rPr>
              <w:t>同时指定授权人员作为测试对接人（提供经投标人盖章的《</w:t>
            </w:r>
            <w:r>
              <w:rPr>
                <w:rFonts w:ascii="宋体" w:hAnsi="宋体" w:cs="Segoe UI Symbol"/>
                <w:b/>
                <w:kern w:val="0"/>
                <w:sz w:val="24"/>
              </w:rPr>
              <w:t>POC</w:t>
            </w:r>
            <w:r>
              <w:rPr>
                <w:rFonts w:hint="eastAsia" w:ascii="宋体" w:hAnsi="宋体" w:cs="Segoe UI Symbol"/>
                <w:b/>
                <w:kern w:val="0"/>
                <w:sz w:val="24"/>
              </w:rPr>
              <w:t>测试结果确认授权委托书》，格式详见招标文件附件），</w:t>
            </w:r>
            <w:r>
              <w:rPr>
                <w:rFonts w:ascii="宋体" w:hAnsi="宋体" w:cs="Segoe UI Symbol"/>
                <w:b/>
                <w:kern w:val="0"/>
                <w:sz w:val="24"/>
              </w:rPr>
              <w:t>POC</w:t>
            </w:r>
            <w:r>
              <w:rPr>
                <w:rFonts w:hint="eastAsia" w:ascii="宋体" w:hAnsi="宋体" w:cs="Segoe UI Symbol"/>
                <w:b/>
                <w:kern w:val="0"/>
                <w:sz w:val="24"/>
              </w:rPr>
              <w:t>测试的实施由招标人和投标人代表共同进行，招投标人双方需对测试结果确认负责，并在测试报告签字确认，</w:t>
            </w:r>
            <w:r>
              <w:rPr>
                <w:rFonts w:ascii="宋体" w:hAnsi="宋体" w:cs="Segoe UI Symbol"/>
                <w:b/>
                <w:kern w:val="0"/>
                <w:sz w:val="24"/>
              </w:rPr>
              <w:t>POC</w:t>
            </w:r>
            <w:r>
              <w:rPr>
                <w:rFonts w:hint="eastAsia" w:ascii="宋体" w:hAnsi="宋体" w:cs="Segoe UI Symbol"/>
                <w:b/>
                <w:kern w:val="0"/>
                <w:sz w:val="24"/>
              </w:rPr>
              <w:t>测试报告需保密。</w:t>
            </w:r>
          </w:p>
        </w:tc>
      </w:tr>
      <w:tr w14:paraId="65FA6E7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EA5922D">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9D96DA4">
            <w:pPr>
              <w:jc w:val="center"/>
              <w:rPr>
                <w:rFonts w:hint="eastAsia" w:ascii="宋体" w:hAnsi="宋体" w:cs="宋体"/>
                <w:sz w:val="24"/>
              </w:rPr>
            </w:pPr>
            <w:r>
              <w:rPr>
                <w:rFonts w:hint="eastAsia" w:ascii="宋体" w:hAnsi="宋体" w:cs="宋体"/>
                <w:sz w:val="24"/>
              </w:rPr>
              <w:t>增值税税金</w:t>
            </w:r>
          </w:p>
          <w:p w14:paraId="76849812">
            <w:pPr>
              <w:jc w:val="center"/>
              <w:rPr>
                <w:rFonts w:hint="eastAsia" w:ascii="宋体" w:hAnsi="宋体" w:cs="宋体"/>
                <w:sz w:val="24"/>
              </w:rPr>
            </w:pPr>
            <w:r>
              <w:rPr>
                <w:rFonts w:hint="eastAsia" w:ascii="宋体" w:hAnsi="宋体" w:cs="宋体"/>
                <w:sz w:val="24"/>
              </w:rPr>
              <w:t>的计算方法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CD16C03">
            <w:pPr>
              <w:jc w:val="left"/>
              <w:rPr>
                <w:rFonts w:ascii="宋体" w:hAnsi="宋体" w:cs="宋体"/>
                <w:sz w:val="24"/>
              </w:rPr>
            </w:pPr>
            <w:r>
              <w:rPr>
                <w:rFonts w:hint="eastAsia" w:ascii="宋体" w:hAnsi="宋体" w:cs="宋体"/>
                <w:sz w:val="24"/>
                <w:lang w:eastAsia="zh-CN"/>
              </w:rPr>
              <w:t>☑</w:t>
            </w:r>
            <w:r>
              <w:rPr>
                <w:rFonts w:hint="eastAsia" w:ascii="宋体" w:hAnsi="宋体" w:cs="宋体"/>
                <w:sz w:val="24"/>
              </w:rPr>
              <w:t>一般计税法</w:t>
            </w:r>
          </w:p>
          <w:p w14:paraId="0C8416C3">
            <w:pPr>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rPr>
              <w:t>简易计税法</w:t>
            </w:r>
          </w:p>
        </w:tc>
      </w:tr>
      <w:tr w14:paraId="04CE45A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BD43AD9">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40CE25C">
            <w:pPr>
              <w:jc w:val="center"/>
              <w:rPr>
                <w:rFonts w:hint="eastAsia" w:ascii="宋体" w:hAnsi="宋体" w:cs="宋体"/>
                <w:sz w:val="24"/>
              </w:rPr>
            </w:pPr>
            <w:r>
              <w:rPr>
                <w:rFonts w:hint="eastAsia" w:ascii="宋体" w:hAnsi="宋体" w:cs="宋体"/>
                <w:sz w:val="24"/>
              </w:rPr>
              <w:t>最高投标限价</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E9B5F4A">
            <w:pPr>
              <w:jc w:val="left"/>
              <w:rPr>
                <w:rFonts w:hint="eastAsia" w:ascii="宋体" w:hAnsi="宋体" w:eastAsia="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不涉及</w:t>
            </w:r>
          </w:p>
          <w:p w14:paraId="1B7B0BA3">
            <w:pPr>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rPr>
              <w:t>1.最高投标限价：</w:t>
            </w:r>
            <w:r>
              <w:rPr>
                <w:rFonts w:hint="eastAsia" w:ascii="宋体" w:hAnsi="宋体" w:cs="宋体"/>
                <w:sz w:val="24"/>
                <w:lang w:val="en-US" w:eastAsia="zh-CN"/>
              </w:rPr>
              <w:t>含税总价</w:t>
            </w:r>
            <w:r>
              <w:rPr>
                <w:rFonts w:hint="eastAsia" w:ascii="宋体" w:hAnsi="宋体" w:cs="宋体"/>
                <w:sz w:val="24"/>
                <w:u w:val="single"/>
              </w:rPr>
              <w:t>508046.16</w:t>
            </w:r>
            <w:r>
              <w:rPr>
                <w:rFonts w:hint="eastAsia" w:ascii="宋体" w:hAnsi="宋体" w:cs="宋体"/>
                <w:sz w:val="24"/>
                <w:u w:val="single"/>
                <w:lang w:val="en-US" w:eastAsia="zh-CN"/>
              </w:rPr>
              <w:t>元</w:t>
            </w:r>
            <w:r>
              <w:rPr>
                <w:rFonts w:hint="eastAsia" w:ascii="宋体" w:hAnsi="宋体" w:cs="宋体"/>
                <w:sz w:val="24"/>
              </w:rPr>
              <w:t>；</w:t>
            </w:r>
          </w:p>
          <w:p w14:paraId="4B20ED24">
            <w:pPr>
              <w:jc w:val="left"/>
              <w:rPr>
                <w:rFonts w:ascii="宋体" w:hAnsi="宋体" w:cs="宋体"/>
                <w:sz w:val="24"/>
              </w:rPr>
            </w:pPr>
            <w:r>
              <w:rPr>
                <w:rFonts w:hint="eastAsia" w:ascii="宋体" w:hAnsi="宋体" w:cs="宋体"/>
                <w:sz w:val="24"/>
              </w:rPr>
              <w:t>□2.暂列金额人民币：          ；</w:t>
            </w:r>
          </w:p>
          <w:p w14:paraId="1C6F96E4">
            <w:pPr>
              <w:jc w:val="left"/>
              <w:rPr>
                <w:rFonts w:hint="eastAsia" w:ascii="宋体" w:hAns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.风险控制价：为防止投标人恶意低价竞标，最高投标限价的   ％作为风险控制价（              ），计算风险控制价时，基数应扣除暂列金额。</w:t>
            </w:r>
          </w:p>
        </w:tc>
      </w:tr>
      <w:tr w14:paraId="63A9987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444EB37">
            <w:pPr>
              <w:pStyle w:val="123"/>
              <w:kinsoku w:val="0"/>
              <w:overflowPunct w:val="0"/>
              <w:spacing w:before="159" w:line="360" w:lineRule="auto"/>
              <w:jc w:val="center"/>
              <w:rPr>
                <w:rFonts w:hint="eastAsia" w:ascii="宋体" w:hAnsi="宋体" w:cs="宋体"/>
                <w:kern w:val="2"/>
              </w:rPr>
            </w:pPr>
            <w:r>
              <w:rPr>
                <w:rFonts w:hint="eastAsia" w:ascii="宋体" w:hAnsi="宋体" w:cs="宋体"/>
                <w:kern w:val="2"/>
              </w:rPr>
              <w:t>3.7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D9B1F71">
            <w:pPr>
              <w:pStyle w:val="123"/>
              <w:kinsoku w:val="0"/>
              <w:overflowPunct w:val="0"/>
              <w:spacing w:before="110" w:line="360" w:lineRule="auto"/>
              <w:jc w:val="center"/>
              <w:rPr>
                <w:rFonts w:hint="eastAsia" w:ascii="宋体" w:hAnsi="宋体" w:cs="宋体"/>
                <w:kern w:val="2"/>
              </w:rPr>
            </w:pPr>
            <w:r>
              <w:rPr>
                <w:rFonts w:hint="eastAsia" w:ascii="宋体" w:hAnsi="宋体" w:cs="宋体"/>
                <w:kern w:val="2"/>
              </w:rPr>
              <w:t>投标报价的</w:t>
            </w:r>
          </w:p>
          <w:p w14:paraId="2ED46A4F">
            <w:pPr>
              <w:pStyle w:val="123"/>
              <w:kinsoku w:val="0"/>
              <w:overflowPunct w:val="0"/>
              <w:spacing w:before="110" w:line="360" w:lineRule="auto"/>
              <w:jc w:val="center"/>
              <w:rPr>
                <w:rFonts w:hint="eastAsia" w:ascii="宋体" w:hAnsi="宋体" w:cs="宋体"/>
                <w:kern w:val="2"/>
              </w:rPr>
            </w:pPr>
            <w:r>
              <w:rPr>
                <w:rFonts w:hint="eastAsia" w:ascii="宋体" w:hAnsi="宋体" w:cs="宋体"/>
                <w:kern w:val="2"/>
              </w:rPr>
              <w:t>其他要求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08582DD">
            <w:pPr>
              <w:jc w:val="left"/>
              <w:rPr>
                <w:rFonts w:hint="eastAsia" w:ascii="宋体" w:hAnsi="宋体" w:cs="宋体"/>
                <w:sz w:val="24"/>
              </w:rPr>
            </w:pPr>
            <w:r>
              <w:rPr>
                <w:rFonts w:hint="eastAsia" w:ascii="宋体" w:hAnsi="宋体" w:cs="宋体"/>
                <w:sz w:val="24"/>
              </w:rPr>
              <w:t>1.本次投标采用人民币报价；</w:t>
            </w:r>
          </w:p>
          <w:p w14:paraId="755BD24F">
            <w:pPr>
              <w:jc w:val="left"/>
              <w:rPr>
                <w:rFonts w:hint="eastAsia" w:ascii="宋体" w:hAnsi="宋体" w:cs="宋体"/>
                <w:sz w:val="24"/>
              </w:rPr>
            </w:pPr>
            <w:r>
              <w:rPr>
                <w:rFonts w:hint="eastAsia" w:ascii="宋体" w:hAnsi="宋体" w:cs="宋体"/>
                <w:sz w:val="24"/>
              </w:rPr>
              <w:t>2.投标报价是指一次性报出不得更改的价格，投标报价应按招标文件中相关附表格式填写；</w:t>
            </w:r>
          </w:p>
          <w:p w14:paraId="32DBAF8B">
            <w:pPr>
              <w:jc w:val="left"/>
              <w:rPr>
                <w:rFonts w:hint="eastAsia" w:ascii="宋体" w:hAnsi="宋体" w:cs="宋体"/>
                <w:sz w:val="24"/>
              </w:rPr>
            </w:pPr>
            <w:r>
              <w:rPr>
                <w:rFonts w:hint="eastAsia" w:ascii="宋体" w:hAnsi="宋体" w:cs="宋体"/>
                <w:sz w:val="24"/>
              </w:rPr>
              <w:t>3.投标文件只允许有一个报价，有选择的报价将不予接受；</w:t>
            </w:r>
          </w:p>
          <w:p w14:paraId="49A985DD">
            <w:pPr>
              <w:jc w:val="left"/>
              <w:rPr>
                <w:rFonts w:hint="eastAsia" w:ascii="宋体" w:hAnsi="宋体" w:cs="宋体"/>
                <w:sz w:val="24"/>
              </w:rPr>
            </w:pPr>
            <w:r>
              <w:rPr>
                <w:rFonts w:hint="eastAsia" w:ascii="宋体" w:hAnsi="宋体" w:cs="宋体"/>
                <w:sz w:val="24"/>
              </w:rPr>
              <w:t>4.投标文件开标一览表是报价的唯一载体，如投标人在浙商银行数智采购平台填写的投标报价与投标文件报价文件中开标一览表不一致的，以报价文件中开标一览表（报价表）为准。</w:t>
            </w:r>
          </w:p>
        </w:tc>
      </w:tr>
      <w:tr w14:paraId="5ABB5BA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E999D0E">
            <w:pPr>
              <w:pStyle w:val="123"/>
              <w:kinsoku w:val="0"/>
              <w:overflowPunct w:val="0"/>
              <w:spacing w:before="156" w:line="360" w:lineRule="auto"/>
              <w:jc w:val="center"/>
              <w:rPr>
                <w:rFonts w:hint="eastAsia" w:ascii="宋体" w:hAnsi="宋体" w:cs="宋体"/>
                <w:kern w:val="2"/>
              </w:rPr>
            </w:pPr>
            <w:r>
              <w:rPr>
                <w:rFonts w:hint="eastAsia" w:ascii="宋体" w:hAnsi="宋体" w:cs="宋体"/>
                <w:kern w:val="2"/>
              </w:rPr>
              <w:t>3.8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AE08D35">
            <w:pPr>
              <w:pStyle w:val="123"/>
              <w:kinsoku w:val="0"/>
              <w:overflowPunct w:val="0"/>
              <w:spacing w:before="107" w:line="360" w:lineRule="auto"/>
              <w:ind w:right="1"/>
              <w:jc w:val="center"/>
              <w:rPr>
                <w:rFonts w:hint="eastAsia" w:ascii="宋体" w:hAnsi="宋体" w:cs="宋体"/>
                <w:kern w:val="2"/>
              </w:rPr>
            </w:pPr>
            <w:r>
              <w:rPr>
                <w:rFonts w:hint="eastAsia" w:ascii="宋体" w:hAnsi="宋体" w:cs="宋体"/>
                <w:kern w:val="2"/>
              </w:rPr>
              <w:t>投标有效期</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DF46ED6">
            <w:pPr>
              <w:spacing w:line="360" w:lineRule="auto"/>
              <w:jc w:val="left"/>
              <w:rPr>
                <w:rFonts w:hint="eastAsia" w:ascii="宋体" w:hAnsi="宋体" w:cs="宋体"/>
                <w:sz w:val="24"/>
              </w:rPr>
            </w:pPr>
            <w:r>
              <w:rPr>
                <w:rFonts w:hint="eastAsia" w:ascii="宋体" w:hAnsi="宋体" w:cs="宋体"/>
                <w:sz w:val="24"/>
              </w:rPr>
              <w:t>不少于</w:t>
            </w:r>
            <w:r>
              <w:rPr>
                <w:rFonts w:hint="eastAsia" w:ascii="宋体" w:hAnsi="宋体" w:cs="宋体"/>
                <w:sz w:val="24"/>
                <w:u w:val="single"/>
              </w:rPr>
              <w:t>90</w:t>
            </w:r>
            <w:r>
              <w:rPr>
                <w:rFonts w:hint="eastAsia" w:ascii="宋体" w:hAnsi="宋体" w:cs="宋体"/>
                <w:sz w:val="24"/>
              </w:rPr>
              <w:t>个日历天（从投标截止之日起算）。</w:t>
            </w:r>
          </w:p>
        </w:tc>
      </w:tr>
      <w:tr w14:paraId="16E439E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14E9787">
            <w:pPr>
              <w:pStyle w:val="123"/>
              <w:kinsoku w:val="0"/>
              <w:overflowPunct w:val="0"/>
              <w:spacing w:line="360" w:lineRule="auto"/>
              <w:jc w:val="center"/>
              <w:rPr>
                <w:rFonts w:hint="eastAsia" w:ascii="宋体" w:hAnsi="宋体" w:cs="宋体"/>
                <w:kern w:val="2"/>
              </w:rPr>
            </w:pPr>
            <w:r>
              <w:rPr>
                <w:rFonts w:hint="eastAsia" w:ascii="宋体" w:hAnsi="宋体" w:cs="宋体"/>
                <w:kern w:val="2"/>
              </w:rPr>
              <w:t>3.9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5C6DEDD">
            <w:pPr>
              <w:pStyle w:val="123"/>
              <w:kinsoku w:val="0"/>
              <w:overflowPunct w:val="0"/>
              <w:spacing w:line="360" w:lineRule="auto"/>
              <w:ind w:right="1"/>
              <w:jc w:val="center"/>
              <w:rPr>
                <w:rFonts w:hint="eastAsia" w:ascii="宋体" w:hAnsi="宋体" w:cs="宋体"/>
                <w:kern w:val="2"/>
              </w:rPr>
            </w:pPr>
            <w:r>
              <w:rPr>
                <w:rFonts w:hint="eastAsia" w:ascii="宋体" w:hAnsi="宋体" w:cs="宋体"/>
                <w:kern w:val="2"/>
              </w:rPr>
              <w:t>投标保证金</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EA1F69E">
            <w:pPr>
              <w:pStyle w:val="123"/>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1.金额：人民币</w:t>
            </w:r>
            <w:r>
              <w:rPr>
                <w:rStyle w:val="41"/>
                <w:rFonts w:hint="eastAsia" w:ascii="宋体" w:hAnsi="宋体" w:cs="宋体"/>
                <w:sz w:val="24"/>
                <w:szCs w:val="24"/>
                <w:u w:val="single"/>
                <w:lang w:val="en-US" w:eastAsia="zh-CN"/>
              </w:rPr>
              <w:t>壹</w:t>
            </w:r>
            <w:r>
              <w:rPr>
                <w:rStyle w:val="41"/>
                <w:rFonts w:hint="eastAsia" w:ascii="宋体" w:hAnsi="宋体" w:cs="宋体"/>
                <w:sz w:val="24"/>
                <w:szCs w:val="24"/>
              </w:rPr>
              <w:t>万元。</w:t>
            </w:r>
          </w:p>
          <w:p w14:paraId="66D045C6">
            <w:pPr>
              <w:pStyle w:val="123"/>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2.交纳方式：</w:t>
            </w:r>
          </w:p>
          <w:p w14:paraId="2AAA9A1D">
            <w:pPr>
              <w:kinsoku w:val="0"/>
              <w:overflowPunct w:val="0"/>
              <w:spacing w:beforeLines="0" w:afterLines="0" w:line="300" w:lineRule="auto"/>
              <w:ind w:left="140" w:leftChars="50" w:right="140" w:rightChars="50" w:firstLine="0" w:firstLineChars="0"/>
              <w:jc w:val="left"/>
              <w:rPr>
                <w:rFonts w:hint="eastAsia" w:ascii="宋体" w:hAnsi="宋体" w:cs="宋体"/>
                <w:sz w:val="24"/>
              </w:rPr>
            </w:pPr>
            <w:r>
              <w:rPr>
                <w:rFonts w:hint="eastAsia" w:ascii="宋体" w:hAnsi="宋体" w:cs="宋体"/>
                <w:snapToGrid w:val="0"/>
                <w:sz w:val="24"/>
              </w:rPr>
              <w:t>线上缴纳</w:t>
            </w:r>
            <w:r>
              <w:rPr>
                <w:rFonts w:hint="eastAsia" w:ascii="宋体" w:hAnsi="宋体" w:cs="宋体"/>
                <w:b/>
                <w:bCs/>
                <w:sz w:val="24"/>
              </w:rPr>
              <w:t>保证金，缴纳流程：</w:t>
            </w:r>
            <w:r>
              <w:rPr>
                <w:rFonts w:hint="eastAsia" w:ascii="宋体" w:hAnsi="宋体" w:cs="宋体"/>
                <w:sz w:val="24"/>
              </w:rPr>
              <w:t>投标人在【金融服务】-【我的项目】中找到本项目，获取唯一的保证金虚拟账户信息。请按照招标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cs="宋体"/>
                <w:b/>
                <w:bCs/>
                <w:sz w:val="24"/>
              </w:rPr>
              <w:t>附言备注项目名称，注意不要打错</w:t>
            </w:r>
            <w:r>
              <w:rPr>
                <w:rFonts w:hint="eastAsia" w:ascii="宋体" w:hAnsi="宋体" w:cs="宋体"/>
                <w:sz w:val="24"/>
              </w:rPr>
              <w:t>。</w:t>
            </w:r>
          </w:p>
          <w:p w14:paraId="0383FB1B">
            <w:pPr>
              <w:kinsoku w:val="0"/>
              <w:overflowPunct w:val="0"/>
              <w:spacing w:line="360" w:lineRule="auto"/>
              <w:jc w:val="left"/>
              <w:rPr>
                <w:rFonts w:hint="eastAsia" w:ascii="宋体" w:hAnsi="宋体" w:cs="宋体"/>
                <w:sz w:val="24"/>
              </w:rPr>
            </w:pPr>
            <w:r>
              <w:rPr>
                <w:rFonts w:hint="eastAsia" w:ascii="宋体" w:hAnsi="宋体" w:cs="宋体"/>
                <w:sz w:val="24"/>
              </w:rPr>
              <w:t>备注：</w:t>
            </w:r>
          </w:p>
          <w:p w14:paraId="201CCF92">
            <w:pPr>
              <w:pStyle w:val="123"/>
              <w:kinsoku w:val="0"/>
              <w:overflowPunct w:val="0"/>
              <w:spacing w:line="360" w:lineRule="auto"/>
              <w:rPr>
                <w:rFonts w:hint="eastAsia" w:ascii="宋体" w:hAnsi="宋体" w:cs="宋体"/>
                <w:kern w:val="2"/>
              </w:rPr>
            </w:pPr>
            <w:r>
              <w:rPr>
                <w:rFonts w:hint="eastAsia" w:ascii="宋体" w:hAnsi="宋体" w:cs="宋体"/>
                <w:sz w:val="24"/>
              </w:rPr>
              <w:t>重新招标项目，参与投标的投标人仍需按上述规定要求重新递交投标保证金。</w:t>
            </w:r>
          </w:p>
        </w:tc>
      </w:tr>
      <w:tr w14:paraId="5BD1618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EC70C41">
            <w:pPr>
              <w:pStyle w:val="123"/>
              <w:kinsoku w:val="0"/>
              <w:overflowPunct w:val="0"/>
              <w:spacing w:line="360" w:lineRule="auto"/>
              <w:ind w:left="103" w:right="-5"/>
              <w:jc w:val="center"/>
              <w:rPr>
                <w:rFonts w:hint="eastAsia" w:ascii="宋体" w:hAnsi="宋体" w:cs="宋体"/>
                <w:kern w:val="2"/>
              </w:rPr>
            </w:pPr>
            <w:r>
              <w:rPr>
                <w:rFonts w:hint="eastAsia" w:ascii="宋体" w:hAnsi="宋体" w:cs="宋体"/>
                <w:kern w:val="2"/>
              </w:rPr>
              <w:t>3.10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8606AF8">
            <w:pPr>
              <w:pStyle w:val="123"/>
              <w:kinsoku w:val="0"/>
              <w:overflowPunct w:val="0"/>
              <w:spacing w:line="360" w:lineRule="auto"/>
              <w:jc w:val="center"/>
              <w:rPr>
                <w:rFonts w:hint="eastAsia" w:ascii="宋体" w:hAnsi="宋体" w:cs="宋体"/>
                <w:kern w:val="2"/>
              </w:rPr>
            </w:pPr>
            <w:r>
              <w:rPr>
                <w:rFonts w:hint="eastAsia" w:ascii="宋体" w:hAnsi="宋体" w:cs="宋体"/>
                <w:kern w:val="2"/>
              </w:rPr>
              <w:t>投标文件签字或盖章要求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5E79519">
            <w:pPr>
              <w:pStyle w:val="23"/>
              <w:jc w:val="left"/>
              <w:rPr>
                <w:rFonts w:hint="eastAsia" w:ascii="宋体" w:hAnsi="宋体" w:cs="宋体"/>
                <w:sz w:val="24"/>
              </w:rPr>
            </w:pPr>
            <w:r>
              <w:rPr>
                <w:rFonts w:hint="eastAsia" w:ascii="宋体" w:hAnsi="宋体"/>
                <w:b w:val="0"/>
                <w:bCs/>
                <w:sz w:val="24"/>
              </w:rPr>
              <w:t>电子交易投标文件，在浙商银行数智采购平台进行递交，具体操作要求详见电子交易说明。</w:t>
            </w:r>
          </w:p>
        </w:tc>
      </w:tr>
      <w:tr w14:paraId="78B4EFE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BA2EB9F">
            <w:pPr>
              <w:pStyle w:val="123"/>
              <w:kinsoku w:val="0"/>
              <w:overflowPunct w:val="0"/>
              <w:spacing w:line="360" w:lineRule="auto"/>
              <w:ind w:left="103" w:right="-5"/>
              <w:jc w:val="center"/>
              <w:rPr>
                <w:rFonts w:hint="eastAsia" w:ascii="宋体" w:hAnsi="宋体" w:cs="宋体"/>
                <w:kern w:val="2"/>
              </w:rPr>
            </w:pPr>
            <w:r>
              <w:rPr>
                <w:rFonts w:hint="eastAsia" w:ascii="宋体" w:hAnsi="宋体" w:cs="宋体"/>
                <w:kern w:val="2"/>
              </w:rPr>
              <w:t>3.11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BD99CEB">
            <w:pPr>
              <w:pStyle w:val="123"/>
              <w:kinsoku w:val="0"/>
              <w:overflowPunct w:val="0"/>
              <w:spacing w:line="360" w:lineRule="auto"/>
              <w:jc w:val="center"/>
              <w:rPr>
                <w:rFonts w:hint="eastAsia" w:ascii="宋体" w:hAnsi="宋体" w:cs="宋体"/>
                <w:kern w:val="2"/>
              </w:rPr>
            </w:pPr>
            <w:r>
              <w:rPr>
                <w:rFonts w:hint="eastAsia" w:ascii="宋体" w:hAnsi="宋体" w:cs="宋体"/>
                <w:kern w:val="2"/>
              </w:rPr>
              <w:t>投标文件份数及递交要求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B444049">
            <w:pPr>
              <w:spacing w:line="288" w:lineRule="auto"/>
              <w:jc w:val="left"/>
              <w:rPr>
                <w:rFonts w:ascii="宋体" w:hAnsi="宋体"/>
                <w:spacing w:val="-6"/>
                <w:sz w:val="24"/>
              </w:rPr>
            </w:pPr>
            <w:r>
              <w:rPr>
                <w:rFonts w:hint="eastAsia" w:ascii="宋体" w:hAnsi="宋体"/>
                <w:spacing w:val="-6"/>
                <w:sz w:val="24"/>
              </w:rPr>
              <w:t>1.在浙商银行数智采购平台进行递交，具体操作要求详见电子交易说明。</w:t>
            </w:r>
          </w:p>
          <w:p w14:paraId="6D2DEFE4">
            <w:pPr>
              <w:spacing w:line="288" w:lineRule="auto"/>
              <w:rPr>
                <w:rFonts w:hint="eastAsia" w:ascii="宋体" w:hAnsi="宋体"/>
                <w:b/>
                <w:bCs/>
                <w:sz w:val="24"/>
              </w:rPr>
            </w:pPr>
            <w:r>
              <w:rPr>
                <w:rFonts w:hint="eastAsia" w:ascii="宋体" w:hAnsi="宋体"/>
                <w:b/>
                <w:bCs/>
                <w:sz w:val="24"/>
              </w:rPr>
              <w:t>招标人、招标代理机构将依托浙商银行数智采购平台完成本项目的电子交易活动，平台不接受未按上述方式获取招标文件的投标人进行投标活动；</w:t>
            </w:r>
          </w:p>
          <w:p w14:paraId="357D7D4C">
            <w:pPr>
              <w:spacing w:line="288" w:lineRule="auto"/>
              <w:jc w:val="left"/>
              <w:rPr>
                <w:rFonts w:hint="eastAsia" w:ascii="宋体" w:hAnsi="宋体" w:cs="宋体"/>
                <w:b/>
                <w:bCs/>
                <w:sz w:val="24"/>
              </w:rPr>
            </w:pPr>
            <w:r>
              <w:rPr>
                <w:rFonts w:hint="eastAsia" w:ascii="宋体" w:hAnsi="宋体"/>
                <w:spacing w:val="-6"/>
                <w:sz w:val="24"/>
              </w:rPr>
              <w:t>注：</w:t>
            </w:r>
            <w:r>
              <w:rPr>
                <w:rFonts w:hint="eastAsia" w:ascii="宋体" w:hAnsi="宋体" w:cs="宋体"/>
                <w:b/>
                <w:bCs/>
                <w:sz w:val="24"/>
              </w:rPr>
              <w:t>中标人在中标后须提供1套纸质投标文件给招标人。</w:t>
            </w:r>
          </w:p>
          <w:p w14:paraId="08C1ADF2">
            <w:pPr>
              <w:spacing w:line="288" w:lineRule="auto"/>
              <w:jc w:val="left"/>
              <w:rPr>
                <w:rFonts w:ascii="宋体" w:hAnsi="宋体" w:cs="宋体"/>
                <w:sz w:val="24"/>
              </w:rPr>
            </w:pPr>
            <w:r>
              <w:rPr>
                <w:rFonts w:hint="eastAsia" w:ascii="宋体" w:hAnsi="宋体" w:cs="宋体"/>
                <w:sz w:val="24"/>
              </w:rPr>
              <w:t>2. 如递交电子备份投标文件，则须在“浙商银行数智采购平台-帮助中心-资料下载-浙商银行数智采购一体化管理投标客户端下载”制作生成，并储存在U盘等存储介质中。电子备份投标文件应当密封包装并在包装上加盖公章并注明投标项目名称，投标人名称。不符合上述制作、存储、密封规定的电子备份投标文件将被视为无效或者被拒绝接收。代理机构或招标人将拒绝接受逾期送达的电子备份投标文件。具体要求详见电子交易说明。</w:t>
            </w:r>
          </w:p>
          <w:p w14:paraId="66657359">
            <w:pPr>
              <w:spacing w:line="288" w:lineRule="auto"/>
              <w:jc w:val="left"/>
              <w:rPr>
                <w:rFonts w:hint="eastAsia" w:ascii="宋体" w:hAnsi="宋体" w:cs="宋体"/>
                <w:sz w:val="24"/>
              </w:rPr>
            </w:pPr>
            <w:r>
              <w:rPr>
                <w:rFonts w:hint="eastAsia" w:ascii="宋体" w:hAnsi="宋体" w:cs="宋体"/>
                <w:sz w:val="24"/>
              </w:rPr>
              <w:t>3.</w:t>
            </w:r>
            <w:r>
              <w:rPr>
                <w:rFonts w:hint="eastAsia" w:ascii="宋体" w:hAnsi="宋体"/>
                <w:sz w:val="24"/>
              </w:rPr>
              <w:t xml:space="preserve"> </w:t>
            </w:r>
            <w:r>
              <w:rPr>
                <w:rFonts w:hint="eastAsia" w:ascii="宋体" w:hAnsi="宋体" w:cs="宋体"/>
                <w:sz w:val="24"/>
              </w:rPr>
              <w:t>电子备份投标文件送达方式：</w:t>
            </w:r>
          </w:p>
          <w:p w14:paraId="08214EDC">
            <w:pPr>
              <w:widowControl/>
              <w:spacing w:line="288" w:lineRule="auto"/>
              <w:ind w:firstLine="0" w:firstLineChars="0"/>
              <w:jc w:val="left"/>
              <w:rPr>
                <w:rFonts w:ascii="宋体" w:hAnsi="宋体" w:cs="宋体"/>
                <w:sz w:val="24"/>
              </w:rPr>
            </w:pPr>
            <w:r>
              <w:rPr>
                <w:rFonts w:hint="eastAsia" w:ascii="宋体" w:hAnsi="宋体" w:cs="宋体"/>
                <w:sz w:val="24"/>
              </w:rPr>
              <w:t>投标截止当天且投标截止前半小时送达至：</w:t>
            </w:r>
            <w:r>
              <w:rPr>
                <w:rFonts w:hint="eastAsia" w:ascii="宋体" w:hAnsi="宋体" w:cs="宋体"/>
                <w:b/>
                <w:bCs/>
                <w:sz w:val="24"/>
                <w:u w:val="single"/>
              </w:rPr>
              <w:t>济南市历下区草山岭南路801号浙商银行</w:t>
            </w:r>
            <w:r>
              <w:rPr>
                <w:rFonts w:hint="eastAsia" w:ascii="宋体" w:hAnsi="宋体" w:cs="宋体"/>
                <w:b/>
                <w:bCs/>
                <w:sz w:val="24"/>
                <w:u w:val="single"/>
                <w:lang w:val="en-US" w:eastAsia="zh-CN"/>
              </w:rPr>
              <w:t>济南</w:t>
            </w:r>
            <w:r>
              <w:rPr>
                <w:rFonts w:hint="eastAsia" w:ascii="宋体" w:hAnsi="宋体" w:cs="宋体"/>
                <w:b/>
                <w:bCs/>
                <w:sz w:val="24"/>
                <w:u w:val="single"/>
                <w:lang w:eastAsia="zh-CN"/>
              </w:rPr>
              <w:t>分行</w:t>
            </w:r>
            <w:r>
              <w:rPr>
                <w:rFonts w:hint="eastAsia" w:ascii="宋体" w:hAnsi="宋体" w:cs="宋体"/>
                <w:b/>
                <w:bCs/>
                <w:sz w:val="24"/>
                <w:u w:val="single"/>
              </w:rPr>
              <w:t>14楼开评标室</w:t>
            </w:r>
            <w:r>
              <w:rPr>
                <w:rFonts w:hint="eastAsia" w:ascii="宋体" w:hAnsi="宋体" w:cs="宋体"/>
                <w:b/>
                <w:bCs/>
                <w:sz w:val="24"/>
              </w:rPr>
              <w:t xml:space="preserve"> </w:t>
            </w:r>
            <w:r>
              <w:rPr>
                <w:rFonts w:hint="eastAsia" w:ascii="宋体" w:hAnsi="宋体" w:cs="宋体"/>
                <w:sz w:val="24"/>
              </w:rPr>
              <w:t>。</w:t>
            </w:r>
          </w:p>
          <w:p w14:paraId="7990719B">
            <w:pPr>
              <w:spacing w:line="288" w:lineRule="auto"/>
              <w:ind w:firstLine="0" w:firstLineChars="0"/>
              <w:jc w:val="left"/>
              <w:rPr>
                <w:rFonts w:ascii="宋体" w:hAnsi="宋体" w:cs="Segoe UI Symbol"/>
                <w:b/>
                <w:sz w:val="24"/>
              </w:rPr>
            </w:pPr>
            <w:r>
              <w:rPr>
                <w:rFonts w:hint="eastAsia" w:ascii="宋体" w:hAnsi="宋体" w:cs="Segoe UI Symbol"/>
                <w:b/>
                <w:sz w:val="24"/>
              </w:rPr>
              <w:t>出现以下情形之一的，投标人递交的电子备份投标文件将被拒收：</w:t>
            </w:r>
          </w:p>
          <w:p w14:paraId="628844A2">
            <w:pPr>
              <w:widowControl/>
              <w:spacing w:line="288" w:lineRule="auto"/>
              <w:ind w:firstLine="0" w:firstLineChars="0"/>
              <w:jc w:val="left"/>
              <w:rPr>
                <w:rFonts w:hint="eastAsia" w:ascii="宋体" w:hAnsi="宋体" w:cs="宋体"/>
                <w:sz w:val="24"/>
              </w:rPr>
            </w:pPr>
            <w:r>
              <w:rPr>
                <w:rFonts w:hint="eastAsia" w:ascii="宋体" w:hAnsi="宋体" w:cs="宋体"/>
                <w:sz w:val="24"/>
              </w:rPr>
              <w:t>（1）未按规定密封或标记的；</w:t>
            </w:r>
          </w:p>
          <w:p w14:paraId="5CED372C">
            <w:pPr>
              <w:widowControl/>
              <w:spacing w:line="288" w:lineRule="auto"/>
              <w:ind w:firstLine="0" w:firstLineChars="0"/>
              <w:jc w:val="left"/>
              <w:rPr>
                <w:rFonts w:ascii="宋体" w:hAnsi="宋体" w:cs="宋体"/>
                <w:sz w:val="24"/>
              </w:rPr>
            </w:pPr>
            <w:r>
              <w:rPr>
                <w:rFonts w:hint="eastAsia" w:ascii="宋体" w:hAnsi="宋体" w:cs="宋体"/>
                <w:sz w:val="24"/>
              </w:rPr>
              <w:t>（2）由于包装不妥，在送交途中严重破损或失散的；</w:t>
            </w:r>
          </w:p>
          <w:p w14:paraId="6A41EEB4">
            <w:pPr>
              <w:widowControl/>
              <w:spacing w:line="288" w:lineRule="auto"/>
              <w:ind w:firstLine="0" w:firstLineChars="0"/>
              <w:jc w:val="left"/>
              <w:rPr>
                <w:rFonts w:ascii="宋体" w:hAnsi="宋体" w:cs="宋体"/>
                <w:sz w:val="24"/>
              </w:rPr>
            </w:pPr>
            <w:r>
              <w:rPr>
                <w:rFonts w:hint="eastAsia" w:ascii="宋体" w:hAnsi="宋体" w:cs="宋体"/>
                <w:sz w:val="24"/>
              </w:rPr>
              <w:t>（3）超过投标截止时间送达的；</w:t>
            </w:r>
          </w:p>
          <w:p w14:paraId="2C40BEB5">
            <w:pPr>
              <w:widowControl/>
              <w:spacing w:line="288" w:lineRule="auto"/>
              <w:ind w:firstLine="0" w:firstLineChars="0"/>
              <w:jc w:val="left"/>
              <w:rPr>
                <w:rFonts w:hint="eastAsia" w:ascii="宋体" w:hAnsi="宋体" w:cs="宋体"/>
                <w:b/>
                <w:bCs/>
                <w:spacing w:val="-6"/>
                <w:sz w:val="24"/>
              </w:rPr>
            </w:pPr>
            <w:r>
              <w:rPr>
                <w:rFonts w:hint="eastAsia" w:ascii="宋体" w:hAnsi="宋体" w:cs="宋体"/>
                <w:sz w:val="24"/>
              </w:rPr>
              <w:t>（4）仅提供备份投标文</w:t>
            </w:r>
            <w:r>
              <w:rPr>
                <w:rFonts w:hint="eastAsia" w:ascii="宋体" w:hAnsi="宋体" w:cs="Segoe UI Symbol"/>
                <w:sz w:val="24"/>
              </w:rPr>
              <w:t>件，未在电子交易平台递交电子投标文件的</w:t>
            </w:r>
            <w:r>
              <w:rPr>
                <w:rFonts w:hint="eastAsia" w:ascii="宋体" w:hAnsi="宋体" w:cs="宋体"/>
                <w:b/>
                <w:bCs/>
                <w:spacing w:val="-6"/>
                <w:sz w:val="24"/>
              </w:rPr>
              <w:t>，投标无效。</w:t>
            </w:r>
          </w:p>
          <w:p w14:paraId="265D2692">
            <w:pPr>
              <w:widowControl/>
              <w:spacing w:line="288" w:lineRule="auto"/>
              <w:jc w:val="left"/>
              <w:rPr>
                <w:rFonts w:hint="eastAsia" w:ascii="宋体" w:hAnsi="宋体"/>
                <w:sz w:val="24"/>
              </w:rPr>
            </w:pPr>
            <w:r>
              <w:rPr>
                <w:rFonts w:hint="eastAsia" w:ascii="宋体" w:hAnsi="宋体" w:cs="宋体"/>
                <w:spacing w:val="-6"/>
                <w:sz w:val="24"/>
              </w:rPr>
              <w:t>4.电子交易平台收到投标文件，将妥善保存并即时向投标人发出确认回执通知。在投标截止时间前，除投标人补充、修改或者撤回投标文件外，任何单位和个人不得解密或提取投标文件。</w:t>
            </w:r>
          </w:p>
        </w:tc>
      </w:tr>
      <w:tr w14:paraId="654F46B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AA7CC31">
            <w:pPr>
              <w:pStyle w:val="123"/>
              <w:kinsoku w:val="0"/>
              <w:overflowPunct w:val="0"/>
              <w:spacing w:before="107" w:line="360" w:lineRule="auto"/>
              <w:ind w:left="103"/>
              <w:jc w:val="center"/>
              <w:rPr>
                <w:rFonts w:hint="eastAsia" w:ascii="宋体" w:hAnsi="宋体" w:cs="宋体"/>
                <w:kern w:val="2"/>
              </w:rPr>
            </w:pPr>
            <w:r>
              <w:rPr>
                <w:rFonts w:hint="eastAsia" w:ascii="宋体" w:hAnsi="宋体" w:cs="宋体"/>
                <w:kern w:val="2"/>
              </w:rPr>
              <w:t>3.12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0816A3A">
            <w:pPr>
              <w:pStyle w:val="123"/>
              <w:kinsoku w:val="0"/>
              <w:overflowPunct w:val="0"/>
              <w:spacing w:before="107" w:line="360" w:lineRule="auto"/>
              <w:jc w:val="center"/>
              <w:rPr>
                <w:rFonts w:hint="eastAsia" w:ascii="宋体" w:hAnsi="宋体" w:cs="宋体"/>
                <w:kern w:val="2"/>
              </w:rPr>
            </w:pPr>
            <w:r>
              <w:rPr>
                <w:rFonts w:hint="eastAsia" w:ascii="宋体" w:hAnsi="宋体" w:cs="宋体"/>
                <w:kern w:val="2"/>
              </w:rPr>
              <w:t>投标截止时间，递交投标文件地点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6968052">
            <w:pPr>
              <w:pStyle w:val="23"/>
              <w:jc w:val="left"/>
              <w:rPr>
                <w:rFonts w:hint="eastAsia" w:ascii="宋体" w:hAnsi="宋体" w:cs="Segoe UI Symbol"/>
                <w:spacing w:val="-6"/>
                <w:sz w:val="24"/>
              </w:rPr>
            </w:pPr>
            <w:bookmarkStart w:id="3" w:name="开标详细地点"/>
            <w:bookmarkEnd w:id="3"/>
            <w:r>
              <w:rPr>
                <w:rFonts w:hint="eastAsia" w:ascii="宋体" w:hAnsi="宋体" w:cs="Segoe UI Symbol"/>
                <w:spacing w:val="-6"/>
                <w:sz w:val="24"/>
              </w:rPr>
              <w:t>详见招标公告。</w:t>
            </w:r>
          </w:p>
        </w:tc>
      </w:tr>
      <w:tr w14:paraId="2000CE5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6778BF6">
            <w:pPr>
              <w:pStyle w:val="123"/>
              <w:kinsoku w:val="0"/>
              <w:overflowPunct w:val="0"/>
              <w:spacing w:before="107" w:line="360" w:lineRule="auto"/>
              <w:ind w:left="103"/>
              <w:jc w:val="center"/>
              <w:rPr>
                <w:rFonts w:hint="eastAsia" w:ascii="宋体" w:hAnsi="宋体" w:cs="宋体"/>
                <w:kern w:val="2"/>
              </w:rPr>
            </w:pPr>
            <w:r>
              <w:rPr>
                <w:rFonts w:hint="eastAsia" w:ascii="宋体" w:hAnsi="宋体" w:cs="宋体"/>
                <w:kern w:val="2"/>
              </w:rPr>
              <w:t>3.13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60732D8">
            <w:pPr>
              <w:pStyle w:val="123"/>
              <w:kinsoku w:val="0"/>
              <w:overflowPunct w:val="0"/>
              <w:spacing w:before="107" w:line="360" w:lineRule="auto"/>
              <w:jc w:val="center"/>
              <w:rPr>
                <w:rFonts w:hint="eastAsia" w:ascii="宋体" w:hAnsi="宋体" w:cs="宋体"/>
                <w:kern w:val="2"/>
              </w:rPr>
            </w:pPr>
            <w:r>
              <w:rPr>
                <w:rFonts w:hint="eastAsia" w:ascii="宋体" w:hAnsi="宋体" w:cs="宋体"/>
                <w:kern w:val="2"/>
              </w:rPr>
              <w:t>投标文件退还</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2296218">
            <w:pPr>
              <w:pStyle w:val="23"/>
              <w:jc w:val="left"/>
              <w:rPr>
                <w:rFonts w:hint="eastAsia" w:ascii="宋体" w:hAnsi="宋体" w:cs="Segoe UI Symbol"/>
                <w:b w:val="0"/>
                <w:spacing w:val="-6"/>
                <w:kern w:val="0"/>
                <w:sz w:val="24"/>
                <w:lang w:val="zh-CN"/>
              </w:rPr>
            </w:pPr>
            <w:r>
              <w:rPr>
                <w:rFonts w:hint="eastAsia" w:ascii="宋体" w:hAnsi="宋体" w:cs="Segoe UI Symbol"/>
                <w:b w:val="0"/>
                <w:spacing w:val="-6"/>
                <w:kern w:val="0"/>
                <w:sz w:val="24"/>
                <w:lang w:val="zh-CN"/>
              </w:rPr>
              <w:t>投标截止时间止，存在以下情形之一的不予开标，投标文件退还：</w:t>
            </w:r>
          </w:p>
          <w:p w14:paraId="11B78C17">
            <w:pPr>
              <w:pStyle w:val="23"/>
              <w:jc w:val="left"/>
              <w:rPr>
                <w:rFonts w:hint="eastAsia" w:ascii="宋体" w:hAnsi="宋体" w:cs="Segoe UI Symbol"/>
                <w:b w:val="0"/>
                <w:spacing w:val="-6"/>
                <w:kern w:val="0"/>
                <w:sz w:val="24"/>
                <w:lang w:val="zh-CN"/>
              </w:rPr>
            </w:pPr>
            <w:r>
              <w:rPr>
                <w:rFonts w:hint="eastAsia" w:ascii="宋体" w:hAnsi="宋体" w:cs="Segoe UI Symbol"/>
                <w:b w:val="0"/>
                <w:spacing w:val="-6"/>
                <w:kern w:val="0"/>
                <w:sz w:val="24"/>
                <w:lang w:val="zh-CN"/>
              </w:rPr>
              <w:t>1.递交投标文件的投标人少于3个的；</w:t>
            </w:r>
          </w:p>
          <w:p w14:paraId="4A9EA02A">
            <w:pPr>
              <w:pStyle w:val="23"/>
              <w:jc w:val="left"/>
              <w:rPr>
                <w:rFonts w:hint="eastAsia" w:ascii="宋体" w:hAnsi="宋体" w:cs="Segoe UI Symbol"/>
                <w:spacing w:val="-6"/>
                <w:sz w:val="24"/>
              </w:rPr>
            </w:pPr>
            <w:r>
              <w:rPr>
                <w:rFonts w:hint="eastAsia" w:ascii="宋体" w:hAnsi="宋体" w:cs="Segoe UI Symbol"/>
                <w:b w:val="0"/>
                <w:spacing w:val="-6"/>
                <w:kern w:val="0"/>
                <w:sz w:val="24"/>
                <w:lang w:val="zh-CN"/>
              </w:rPr>
              <w:t>2.其他：                         。</w:t>
            </w:r>
          </w:p>
        </w:tc>
      </w:tr>
      <w:tr w14:paraId="3137311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BDF975F">
            <w:pPr>
              <w:pStyle w:val="123"/>
              <w:kinsoku w:val="0"/>
              <w:overflowPunct w:val="0"/>
              <w:spacing w:before="3" w:line="360" w:lineRule="auto"/>
              <w:jc w:val="center"/>
              <w:rPr>
                <w:rFonts w:hint="eastAsia" w:ascii="宋体" w:hAnsi="宋体" w:cs="宋体"/>
                <w:kern w:val="2"/>
              </w:rPr>
            </w:pPr>
            <w:r>
              <w:rPr>
                <w:rFonts w:hint="eastAsia" w:ascii="宋体" w:hAnsi="宋体" w:cs="宋体"/>
                <w:kern w:val="2"/>
              </w:rPr>
              <w:t>3.14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71D0C99">
            <w:pPr>
              <w:spacing w:line="360" w:lineRule="auto"/>
              <w:jc w:val="center"/>
              <w:rPr>
                <w:rFonts w:hint="eastAsia" w:ascii="宋体" w:hAnsi="宋体" w:cs="宋体"/>
                <w:sz w:val="24"/>
              </w:rPr>
            </w:pPr>
            <w:r>
              <w:rPr>
                <w:rFonts w:hint="eastAsia" w:ascii="宋体" w:hAnsi="宋体" w:cs="宋体"/>
                <w:sz w:val="24"/>
              </w:rPr>
              <w:t>投标文件的</w:t>
            </w:r>
          </w:p>
          <w:p w14:paraId="027D342A">
            <w:pPr>
              <w:spacing w:line="360" w:lineRule="auto"/>
              <w:jc w:val="center"/>
              <w:rPr>
                <w:rFonts w:hint="eastAsia" w:ascii="宋体" w:hAnsi="宋体" w:cs="宋体"/>
                <w:sz w:val="24"/>
              </w:rPr>
            </w:pPr>
            <w:r>
              <w:rPr>
                <w:rFonts w:hint="eastAsia" w:ascii="宋体" w:hAnsi="宋体" w:cs="宋体"/>
                <w:sz w:val="24"/>
              </w:rPr>
              <w:t>拒收情形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B302A4A">
            <w:pPr>
              <w:widowControl/>
              <w:spacing w:line="360" w:lineRule="auto"/>
              <w:jc w:val="left"/>
              <w:rPr>
                <w:rFonts w:cs="Segoe UI Symbol"/>
                <w:spacing w:val="-6"/>
                <w:sz w:val="24"/>
              </w:rPr>
            </w:pPr>
            <w:r>
              <w:rPr>
                <w:rFonts w:hint="eastAsia" w:cs="Segoe UI Symbol"/>
                <w:spacing w:val="-6"/>
                <w:sz w:val="24"/>
              </w:rPr>
              <w:t>1.未按电子交易流程获取招标文件、制作、递交投标文件的。</w:t>
            </w:r>
          </w:p>
          <w:p w14:paraId="3725D7C9">
            <w:pPr>
              <w:widowControl/>
              <w:spacing w:line="360" w:lineRule="auto"/>
              <w:jc w:val="left"/>
              <w:rPr>
                <w:rFonts w:hint="eastAsia" w:cs="宋体"/>
              </w:rPr>
            </w:pPr>
            <w:r>
              <w:rPr>
                <w:rFonts w:hint="eastAsia" w:ascii="宋体" w:hAnsi="宋体" w:cs="Segoe UI Symbol"/>
                <w:spacing w:val="-6"/>
                <w:sz w:val="24"/>
              </w:rPr>
              <w:t>2.未按时解密或在规定时间内解密不成功的。</w:t>
            </w:r>
          </w:p>
        </w:tc>
      </w:tr>
      <w:tr w14:paraId="37F2E18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DAF75C7">
            <w:pPr>
              <w:pStyle w:val="123"/>
              <w:kinsoku w:val="0"/>
              <w:overflowPunct w:val="0"/>
              <w:spacing w:line="360" w:lineRule="auto"/>
              <w:ind w:left="158"/>
              <w:jc w:val="center"/>
              <w:rPr>
                <w:rFonts w:hint="eastAsia" w:ascii="宋体" w:hAnsi="宋体" w:cs="宋体"/>
                <w:kern w:val="2"/>
              </w:rPr>
            </w:pPr>
            <w:r>
              <w:rPr>
                <w:rFonts w:hint="eastAsia" w:ascii="宋体" w:hAnsi="宋体" w:cs="宋体"/>
                <w:kern w:val="2"/>
              </w:rPr>
              <w:t>4.1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652EA46">
            <w:pPr>
              <w:pStyle w:val="123"/>
              <w:kinsoku w:val="0"/>
              <w:overflowPunct w:val="0"/>
              <w:spacing w:line="360" w:lineRule="auto"/>
              <w:jc w:val="center"/>
              <w:rPr>
                <w:rFonts w:hint="eastAsia" w:ascii="宋体" w:hAnsi="宋体" w:cs="宋体"/>
                <w:kern w:val="2"/>
              </w:rPr>
            </w:pPr>
            <w:r>
              <w:rPr>
                <w:rFonts w:hint="eastAsia" w:ascii="宋体" w:hAnsi="宋体" w:cs="宋体"/>
                <w:kern w:val="2"/>
              </w:rPr>
              <w:t>开标时间和地点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5531C09">
            <w:pPr>
              <w:pStyle w:val="123"/>
              <w:kinsoku w:val="0"/>
              <w:overflowPunct w:val="0"/>
              <w:spacing w:line="360" w:lineRule="auto"/>
              <w:ind w:firstLine="240" w:firstLineChars="100"/>
              <w:rPr>
                <w:rFonts w:hint="eastAsia" w:ascii="宋体" w:hAnsi="宋体" w:cs="宋体"/>
                <w:kern w:val="2"/>
                <w:u w:val="single"/>
              </w:rPr>
            </w:pPr>
            <w:r>
              <w:rPr>
                <w:rFonts w:hint="eastAsia" w:ascii="宋体" w:hAnsi="宋体" w:cs="宋体"/>
                <w:kern w:val="2"/>
              </w:rPr>
              <w:t>详见招标公告</w:t>
            </w:r>
            <w:r>
              <w:rPr>
                <w:rFonts w:hint="eastAsia" w:ascii="宋体" w:hAnsi="宋体" w:cs="Segoe UI Symbol"/>
                <w:spacing w:val="-6"/>
              </w:rPr>
              <w:t>。</w:t>
            </w:r>
          </w:p>
        </w:tc>
      </w:tr>
      <w:tr w14:paraId="2BDC95F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5E64085">
            <w:pPr>
              <w:pStyle w:val="123"/>
              <w:kinsoku w:val="0"/>
              <w:overflowPunct w:val="0"/>
              <w:spacing w:before="108" w:line="360" w:lineRule="auto"/>
              <w:ind w:left="103" w:right="-5"/>
              <w:jc w:val="center"/>
              <w:rPr>
                <w:rFonts w:hint="eastAsia" w:ascii="宋体" w:hAnsi="宋体" w:cs="宋体"/>
                <w:kern w:val="2"/>
              </w:rPr>
            </w:pPr>
            <w:r>
              <w:rPr>
                <w:rFonts w:hint="eastAsia" w:ascii="宋体" w:hAnsi="宋体" w:cs="宋体"/>
                <w:kern w:val="2"/>
              </w:rPr>
              <w:t>4.2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664FAF1">
            <w:pPr>
              <w:pStyle w:val="123"/>
              <w:kinsoku w:val="0"/>
              <w:overflowPunct w:val="0"/>
              <w:spacing w:before="108" w:line="360" w:lineRule="auto"/>
              <w:ind w:right="1"/>
              <w:jc w:val="center"/>
              <w:rPr>
                <w:rFonts w:hint="eastAsia" w:ascii="宋体" w:hAnsi="宋体" w:cs="宋体"/>
                <w:kern w:val="2"/>
              </w:rPr>
            </w:pPr>
            <w:r>
              <w:rPr>
                <w:rFonts w:hint="eastAsia" w:ascii="宋体" w:hAnsi="宋体" w:cs="宋体"/>
                <w:kern w:val="2"/>
              </w:rPr>
              <w:t>开标程序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4AC0E2F">
            <w:pPr>
              <w:pStyle w:val="123"/>
              <w:kinsoku w:val="0"/>
              <w:overflowPunct w:val="0"/>
              <w:spacing w:line="360" w:lineRule="auto"/>
              <w:rPr>
                <w:rFonts w:ascii="宋体" w:hAnsi="宋体" w:cs="宋体"/>
                <w:color w:val="000000"/>
              </w:rPr>
            </w:pPr>
            <w:r>
              <w:rPr>
                <w:rFonts w:hint="eastAsia" w:ascii="宋体" w:hAnsi="宋体" w:cs="宋体"/>
                <w:color w:val="000000"/>
              </w:rPr>
              <w:t>1.投标人在投标截止时间前将加密的投标文件上传至浙商银行数智采购平台。</w:t>
            </w:r>
          </w:p>
          <w:p w14:paraId="4760D263">
            <w:pPr>
              <w:pStyle w:val="123"/>
              <w:kinsoku w:val="0"/>
              <w:overflowPunct w:val="0"/>
              <w:spacing w:line="360" w:lineRule="auto"/>
              <w:rPr>
                <w:rFonts w:hint="eastAsia" w:ascii="宋体" w:hAnsi="宋体" w:cs="宋体"/>
                <w:color w:val="000000"/>
              </w:rPr>
            </w:pPr>
            <w:r>
              <w:rPr>
                <w:rFonts w:hint="eastAsia" w:ascii="宋体" w:hAnsi="宋体" w:cs="宋体"/>
                <w:color w:val="000000"/>
              </w:rPr>
              <w:t>2.至开标时间，电子交易平台按开标时间自动提取所有投标文件。代理机构依托电子交易平台发起开始解密指令，投标人按照平台提示和招标文件的规定在半小时内完成在线解密。</w:t>
            </w:r>
          </w:p>
          <w:p w14:paraId="4B6CEFAF">
            <w:pPr>
              <w:pStyle w:val="123"/>
              <w:kinsoku w:val="0"/>
              <w:overflowPunct w:val="0"/>
              <w:spacing w:line="360" w:lineRule="auto"/>
              <w:rPr>
                <w:rFonts w:hint="eastAsia" w:ascii="宋体" w:hAnsi="宋体" w:cs="宋体"/>
                <w:color w:val="000000"/>
              </w:rPr>
            </w:pPr>
            <w:r>
              <w:rPr>
                <w:rFonts w:hint="eastAsia" w:ascii="宋体" w:hAnsi="宋体" w:cs="宋体"/>
                <w:color w:val="000000"/>
              </w:rPr>
              <w:t>3.投标文件未按时解密，投标人提供了备份投标文件的，以备份投标文件作为依据，否则视为投标文件撤回。投标文件已按时解密的，备份投标文件自动失效。</w:t>
            </w:r>
          </w:p>
        </w:tc>
      </w:tr>
      <w:tr w14:paraId="7BCFD29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B899837">
            <w:pPr>
              <w:pStyle w:val="123"/>
              <w:kinsoku w:val="0"/>
              <w:overflowPunct w:val="0"/>
              <w:spacing w:before="108" w:line="360" w:lineRule="auto"/>
              <w:ind w:left="103" w:right="-5"/>
              <w:jc w:val="center"/>
              <w:rPr>
                <w:rFonts w:hint="eastAsia" w:ascii="宋体" w:hAnsi="宋体" w:cs="宋体"/>
                <w:kern w:val="2"/>
              </w:rPr>
            </w:pPr>
            <w:r>
              <w:rPr>
                <w:rFonts w:hint="eastAsia" w:ascii="宋体" w:hAnsi="宋体" w:cs="宋体"/>
                <w:kern w:val="2"/>
              </w:rPr>
              <w:t>4.3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2473454">
            <w:pPr>
              <w:pStyle w:val="123"/>
              <w:kinsoku w:val="0"/>
              <w:overflowPunct w:val="0"/>
              <w:spacing w:before="108" w:line="360" w:lineRule="auto"/>
              <w:ind w:right="1"/>
              <w:jc w:val="center"/>
              <w:rPr>
                <w:rFonts w:hint="eastAsia" w:ascii="宋体" w:hAnsi="宋体" w:cs="宋体"/>
                <w:kern w:val="2"/>
              </w:rPr>
            </w:pPr>
            <w:r>
              <w:rPr>
                <w:rFonts w:hint="eastAsia" w:ascii="宋体" w:hAnsi="宋体" w:cs="宋体"/>
                <w:kern w:val="2"/>
              </w:rPr>
              <w:t>特殊情况处置</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B385DAE">
            <w:pPr>
              <w:spacing w:line="360" w:lineRule="auto"/>
              <w:jc w:val="left"/>
              <w:rPr>
                <w:rFonts w:hint="eastAsia" w:ascii="宋体" w:hAnsi="宋体" w:cs="宋体"/>
                <w:sz w:val="24"/>
              </w:rPr>
            </w:pPr>
            <w:r>
              <w:rPr>
                <w:rFonts w:hint="eastAsia" w:ascii="宋体" w:hAnsi="宋体" w:cs="宋体"/>
                <w:sz w:val="24"/>
              </w:rPr>
              <w:t>因网络、系统、电力等不可抗力因素延期开标的，需更新制作投标文件并按招标文件要求重新递交。</w:t>
            </w:r>
          </w:p>
        </w:tc>
      </w:tr>
      <w:tr w14:paraId="4677354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A37966E">
            <w:pPr>
              <w:pStyle w:val="123"/>
              <w:kinsoku w:val="0"/>
              <w:overflowPunct w:val="0"/>
              <w:spacing w:before="138" w:line="360" w:lineRule="auto"/>
              <w:jc w:val="center"/>
              <w:rPr>
                <w:rFonts w:hint="eastAsia" w:ascii="宋体" w:hAnsi="宋体" w:cs="宋体"/>
                <w:kern w:val="2"/>
              </w:rPr>
            </w:pPr>
            <w:r>
              <w:rPr>
                <w:rFonts w:hint="eastAsia" w:ascii="宋体" w:hAnsi="宋体" w:cs="宋体"/>
                <w:kern w:val="2"/>
              </w:rPr>
              <w:t>5.1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7A02D55">
            <w:pPr>
              <w:pStyle w:val="123"/>
              <w:kinsoku w:val="0"/>
              <w:overflowPunct w:val="0"/>
              <w:spacing w:line="360" w:lineRule="auto"/>
              <w:jc w:val="center"/>
              <w:rPr>
                <w:rFonts w:hint="eastAsia" w:ascii="宋体" w:hAnsi="宋体" w:cs="宋体"/>
                <w:kern w:val="2"/>
              </w:rPr>
            </w:pPr>
            <w:r>
              <w:rPr>
                <w:rFonts w:hint="eastAsia" w:ascii="宋体" w:hAnsi="宋体" w:cs="宋体"/>
                <w:kern w:val="2"/>
              </w:rPr>
              <w:t>评标委员会的组建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6E2C59F">
            <w:pPr>
              <w:pStyle w:val="123"/>
              <w:tabs>
                <w:tab w:val="left" w:pos="2309"/>
                <w:tab w:val="left" w:pos="2729"/>
                <w:tab w:val="left" w:pos="3826"/>
              </w:tabs>
              <w:kinsoku w:val="0"/>
              <w:overflowPunct w:val="0"/>
              <w:spacing w:before="3" w:line="360" w:lineRule="auto"/>
              <w:ind w:right="-3"/>
              <w:rPr>
                <w:rFonts w:hint="eastAsia" w:ascii="宋体" w:hAnsi="宋体" w:cs="宋体"/>
                <w:kern w:val="2"/>
              </w:rPr>
            </w:pPr>
            <w:r>
              <w:rPr>
                <w:rFonts w:hint="eastAsia" w:ascii="宋体" w:hAnsi="宋体" w:cs="宋体"/>
                <w:spacing w:val="-2"/>
                <w:kern w:val="2"/>
              </w:rPr>
              <w:t>评标委员会构成：成员为</w:t>
            </w:r>
            <w:r>
              <w:rPr>
                <w:rFonts w:hint="eastAsia" w:ascii="宋体" w:hAnsi="宋体" w:cs="宋体"/>
                <w:spacing w:val="-2"/>
                <w:kern w:val="2"/>
                <w:u w:val="single"/>
              </w:rPr>
              <w:t xml:space="preserve">  5 </w:t>
            </w:r>
            <w:r>
              <w:rPr>
                <w:rFonts w:hint="eastAsia" w:ascii="宋体" w:hAnsi="宋体" w:cs="宋体"/>
                <w:spacing w:val="-2"/>
                <w:kern w:val="2"/>
              </w:rPr>
              <w:t>人及以上单数</w:t>
            </w:r>
            <w:r>
              <w:rPr>
                <w:rFonts w:hint="eastAsia" w:ascii="宋体" w:hAnsi="宋体" w:cs="宋体"/>
                <w:spacing w:val="-3"/>
                <w:kern w:val="2"/>
              </w:rPr>
              <w:t>。</w:t>
            </w:r>
            <w:r>
              <w:rPr>
                <w:rFonts w:hint="eastAsia" w:ascii="宋体" w:hAnsi="宋体" w:cs="宋体"/>
                <w:kern w:val="2"/>
              </w:rPr>
              <w:t>（评标委员会开始评标前应推选1名专家为评标组长。）</w:t>
            </w:r>
          </w:p>
        </w:tc>
      </w:tr>
      <w:tr w14:paraId="15761F3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4DB0D41">
            <w:pPr>
              <w:pStyle w:val="123"/>
              <w:kinsoku w:val="0"/>
              <w:overflowPunct w:val="0"/>
              <w:spacing w:line="360" w:lineRule="auto"/>
              <w:jc w:val="center"/>
              <w:rPr>
                <w:rFonts w:hint="eastAsia" w:ascii="宋体" w:hAnsi="宋体" w:cs="宋体"/>
                <w:kern w:val="2"/>
              </w:rPr>
            </w:pPr>
            <w:r>
              <w:rPr>
                <w:rFonts w:hint="eastAsia" w:ascii="宋体" w:hAnsi="宋体" w:cs="宋体"/>
                <w:kern w:val="2"/>
              </w:rPr>
              <w:t>5.2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1636963">
            <w:pPr>
              <w:pStyle w:val="123"/>
              <w:kinsoku w:val="0"/>
              <w:overflowPunct w:val="0"/>
              <w:spacing w:line="360" w:lineRule="auto"/>
              <w:jc w:val="center"/>
              <w:rPr>
                <w:rFonts w:hint="eastAsia" w:ascii="宋体" w:hAnsi="宋体" w:cs="宋体"/>
                <w:kern w:val="2"/>
              </w:rPr>
            </w:pPr>
            <w:r>
              <w:rPr>
                <w:rFonts w:hint="eastAsia" w:ascii="宋体" w:hAnsi="宋体" w:cs="宋体"/>
                <w:kern w:val="2"/>
              </w:rPr>
              <w:t>评标办法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FCA6F07">
            <w:pPr>
              <w:pStyle w:val="123"/>
              <w:tabs>
                <w:tab w:val="left" w:pos="2309"/>
                <w:tab w:val="left" w:pos="2729"/>
                <w:tab w:val="left" w:pos="3826"/>
              </w:tabs>
              <w:kinsoku w:val="0"/>
              <w:overflowPunct w:val="0"/>
              <w:spacing w:before="3" w:line="360" w:lineRule="auto"/>
              <w:ind w:right="-3"/>
              <w:rPr>
                <w:rFonts w:hint="eastAsia" w:ascii="宋体" w:hAnsi="宋体" w:cs="宋体"/>
                <w:kern w:val="2"/>
              </w:rPr>
            </w:pPr>
            <w:r>
              <w:rPr>
                <w:rFonts w:hint="eastAsia" w:ascii="宋体" w:hAnsi="宋体" w:cs="宋体"/>
              </w:rPr>
              <w:t>□经评审的最低价法</w:t>
            </w:r>
            <w:r>
              <w:rPr>
                <w:rFonts w:hint="eastAsia" w:ascii="宋体" w:hAnsi="宋体" w:cs="宋体"/>
                <w:kern w:val="2"/>
              </w:rPr>
              <w:t>；</w:t>
            </w:r>
          </w:p>
          <w:p w14:paraId="4220497D">
            <w:pPr>
              <w:pStyle w:val="123"/>
              <w:tabs>
                <w:tab w:val="left" w:pos="2309"/>
                <w:tab w:val="left" w:pos="2729"/>
                <w:tab w:val="left" w:pos="3826"/>
              </w:tabs>
              <w:kinsoku w:val="0"/>
              <w:overflowPunct w:val="0"/>
              <w:spacing w:before="3" w:line="360" w:lineRule="auto"/>
              <w:ind w:right="-3"/>
              <w:rPr>
                <w:rFonts w:hint="eastAsia" w:ascii="宋体" w:hAnsi="宋体" w:cs="宋体"/>
                <w:b/>
                <w:bCs/>
                <w:kern w:val="2"/>
                <w:u w:val="single"/>
              </w:rPr>
            </w:pPr>
            <w:r>
              <w:rPr>
                <w:rFonts w:hint="eastAsia" w:ascii="宋体" w:hAnsi="宋体" w:cs="宋体"/>
                <w:lang w:eastAsia="zh-CN"/>
              </w:rPr>
              <w:t>☑</w:t>
            </w:r>
            <w:r>
              <w:rPr>
                <w:rFonts w:hint="eastAsia" w:ascii="宋体" w:hAnsi="宋体" w:cs="宋体"/>
                <w:kern w:val="2"/>
              </w:rPr>
              <w:t>综合评估法。</w:t>
            </w:r>
          </w:p>
        </w:tc>
      </w:tr>
      <w:tr w14:paraId="5A43BBC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5CE5AE6">
            <w:pPr>
              <w:pStyle w:val="123"/>
              <w:wordWrap w:val="0"/>
              <w:jc w:val="center"/>
              <w:rPr>
                <w:rFonts w:hint="eastAsia" w:ascii="宋体" w:hAnsi="宋体" w:cs="宋体"/>
              </w:rPr>
            </w:pPr>
            <w:r>
              <w:rPr>
                <w:rFonts w:hint="eastAsia" w:ascii="宋体" w:hAnsi="宋体" w:cs="宋体"/>
              </w:rPr>
              <w:t>5.3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AFA7CEB">
            <w:pPr>
              <w:pStyle w:val="123"/>
              <w:wordWrap w:val="0"/>
              <w:jc w:val="center"/>
              <w:rPr>
                <w:rFonts w:hint="eastAsia" w:ascii="宋体" w:hAnsi="宋体" w:cs="宋体"/>
              </w:rPr>
            </w:pPr>
            <w:r>
              <w:rPr>
                <w:rFonts w:hint="eastAsia" w:ascii="宋体" w:hAnsi="宋体" w:cs="宋体"/>
              </w:rPr>
              <w:t>评标委员会推荐中标候选人的个数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4B0BE37">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u w:val="single"/>
              </w:rPr>
              <w:t xml:space="preserve"> </w:t>
            </w:r>
            <w:r>
              <w:rPr>
                <w:rFonts w:hint="eastAsia" w:ascii="宋体" w:hAnsi="宋体" w:cs="宋体"/>
                <w:sz w:val="24"/>
                <w:u w:val="single"/>
                <w:lang w:val="en-US" w:eastAsia="zh-CN"/>
              </w:rPr>
              <w:t>3</w:t>
            </w:r>
            <w:r>
              <w:rPr>
                <w:rFonts w:hint="eastAsia" w:ascii="宋体" w:hAnsi="宋体" w:cs="宋体"/>
                <w:sz w:val="24"/>
                <w:u w:val="single"/>
              </w:rPr>
              <w:t xml:space="preserve"> </w:t>
            </w:r>
            <w:r>
              <w:rPr>
                <w:rFonts w:hint="eastAsia" w:ascii="宋体" w:hAnsi="宋体" w:cs="宋体"/>
                <w:sz w:val="24"/>
              </w:rPr>
              <w:t>个。（1～3个）</w:t>
            </w:r>
          </w:p>
          <w:p w14:paraId="2BE9C4A8">
            <w:pPr>
              <w:jc w:val="left"/>
              <w:rPr>
                <w:rFonts w:ascii="宋体" w:hAnsi="宋体" w:cs="宋体"/>
                <w:sz w:val="24"/>
              </w:rPr>
            </w:pPr>
            <w:r>
              <w:rPr>
                <w:rFonts w:hint="eastAsia" w:ascii="宋体" w:hAnsi="宋体" w:cs="宋体"/>
                <w:sz w:val="24"/>
                <w:lang w:eastAsia="zh-CN"/>
              </w:rPr>
              <w:t>□</w:t>
            </w:r>
            <w:r>
              <w:rPr>
                <w:rFonts w:hint="eastAsia" w:ascii="宋体" w:hAnsi="宋体" w:cs="宋体"/>
                <w:sz w:val="24"/>
              </w:rPr>
              <w:t>如为选型入围项目，确定入围规则：</w:t>
            </w:r>
          </w:p>
          <w:p w14:paraId="1124FDC6">
            <w:pPr>
              <w:spacing w:line="440" w:lineRule="exact"/>
              <w:ind w:left="2"/>
              <w:contextualSpacing/>
              <w:jc w:val="left"/>
              <w:rPr>
                <w:rFonts w:hint="eastAsia" w:ascii="宋体" w:hAnsi="宋体" w:cs="宋体"/>
                <w:sz w:val="24"/>
              </w:rPr>
            </w:pPr>
            <w:r>
              <w:rPr>
                <w:rFonts w:hint="eastAsia" w:ascii="宋体" w:hAnsi="宋体" w:cs="宋体"/>
                <w:sz w:val="24"/>
              </w:rPr>
              <w:t>当最终有效投标人</w:t>
            </w:r>
            <w:r>
              <w:rPr>
                <w:rFonts w:ascii="宋体" w:hAnsi="宋体" w:cs="宋体"/>
                <w:sz w:val="24"/>
              </w:rPr>
              <w:t>XXX</w:t>
            </w:r>
            <w:r>
              <w:rPr>
                <w:rFonts w:hint="eastAsia" w:ascii="宋体" w:hAnsi="宋体" w:cs="宋体"/>
                <w:sz w:val="24"/>
              </w:rPr>
              <w:t>家时，入围</w:t>
            </w:r>
            <w:r>
              <w:rPr>
                <w:rFonts w:ascii="宋体" w:hAnsi="宋体" w:cs="宋体"/>
                <w:sz w:val="24"/>
              </w:rPr>
              <w:t>XX</w:t>
            </w:r>
            <w:r>
              <w:rPr>
                <w:rFonts w:hint="eastAsia" w:ascii="宋体" w:hAnsi="宋体" w:cs="宋体"/>
                <w:sz w:val="24"/>
              </w:rPr>
              <w:t>家供应商；</w:t>
            </w:r>
          </w:p>
          <w:p w14:paraId="727B17D6">
            <w:pPr>
              <w:jc w:val="left"/>
              <w:rPr>
                <w:rFonts w:hint="eastAsia" w:ascii="宋体" w:hAnsi="宋体" w:cs="宋体"/>
                <w:sz w:val="24"/>
              </w:rPr>
            </w:pPr>
            <w:r>
              <w:rPr>
                <w:rFonts w:hint="eastAsia" w:ascii="宋体" w:hAnsi="宋体" w:cs="宋体"/>
                <w:sz w:val="24"/>
              </w:rPr>
              <w:t>当最终有效投标人</w:t>
            </w:r>
            <w:r>
              <w:rPr>
                <w:rFonts w:ascii="宋体" w:hAnsi="宋体" w:cs="宋体"/>
                <w:sz w:val="24"/>
              </w:rPr>
              <w:t>XXX</w:t>
            </w:r>
            <w:r>
              <w:rPr>
                <w:rFonts w:hint="eastAsia" w:ascii="宋体" w:hAnsi="宋体" w:cs="宋体"/>
                <w:sz w:val="24"/>
              </w:rPr>
              <w:t>家时，入围</w:t>
            </w:r>
            <w:r>
              <w:rPr>
                <w:rFonts w:ascii="宋体" w:hAnsi="宋体" w:cs="宋体"/>
                <w:sz w:val="24"/>
              </w:rPr>
              <w:t>XX</w:t>
            </w:r>
            <w:r>
              <w:rPr>
                <w:rFonts w:hint="eastAsia" w:ascii="宋体" w:hAnsi="宋体" w:cs="宋体"/>
                <w:sz w:val="24"/>
              </w:rPr>
              <w:t>家供应商。</w:t>
            </w:r>
          </w:p>
        </w:tc>
      </w:tr>
      <w:tr w14:paraId="25C50ED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028DC34">
            <w:pPr>
              <w:pStyle w:val="123"/>
              <w:wordWrap w:val="0"/>
              <w:jc w:val="center"/>
              <w:rPr>
                <w:rFonts w:hint="eastAsia" w:ascii="宋体" w:hAnsi="宋体" w:cs="宋体"/>
              </w:rPr>
            </w:pPr>
            <w:r>
              <w:rPr>
                <w:rFonts w:hint="eastAsia" w:ascii="宋体" w:hAnsi="宋体" w:cs="宋体"/>
              </w:rPr>
              <w:t>5.4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03480A3">
            <w:pPr>
              <w:pStyle w:val="123"/>
              <w:wordWrap w:val="0"/>
              <w:jc w:val="center"/>
              <w:rPr>
                <w:rFonts w:hint="eastAsia" w:ascii="宋体" w:hAnsi="宋体" w:cs="宋体"/>
              </w:rPr>
            </w:pPr>
            <w:r>
              <w:rPr>
                <w:rFonts w:hint="eastAsia" w:ascii="宋体" w:hAnsi="宋体" w:cs="宋体"/>
              </w:rPr>
              <w:t>定标规则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D6D46CA">
            <w:pPr>
              <w:pStyle w:val="138"/>
              <w:wordWrap w:val="0"/>
              <w:spacing w:line="300" w:lineRule="auto"/>
              <w:ind w:left="74" w:right="84"/>
              <w:rPr>
                <w:rFonts w:hint="eastAsia"/>
                <w:sz w:val="24"/>
                <w:szCs w:val="24"/>
                <w:lang w:eastAsia="zh-CN"/>
              </w:rPr>
            </w:pPr>
            <w:r>
              <w:rPr>
                <w:rFonts w:hint="eastAsia"/>
                <w:sz w:val="24"/>
                <w:szCs w:val="24"/>
                <w:lang w:eastAsia="zh-CN"/>
              </w:rPr>
              <w:t>□授权评标委员会确定中标人。</w:t>
            </w:r>
          </w:p>
          <w:p w14:paraId="5E495A88">
            <w:pPr>
              <w:pStyle w:val="138"/>
              <w:wordWrap w:val="0"/>
              <w:spacing w:line="300" w:lineRule="auto"/>
              <w:ind w:left="74" w:right="84"/>
              <w:rPr>
                <w:sz w:val="24"/>
                <w:szCs w:val="24"/>
                <w:lang w:eastAsia="zh-CN"/>
              </w:rPr>
            </w:pPr>
            <w:r>
              <w:rPr>
                <w:rFonts w:hint="eastAsia"/>
                <w:sz w:val="24"/>
                <w:szCs w:val="24"/>
                <w:lang w:eastAsia="zh-CN"/>
              </w:rPr>
              <w:t>☑根据评标委员会推荐，由招标人确定中标人。</w:t>
            </w:r>
          </w:p>
          <w:p w14:paraId="6275DFA1">
            <w:pPr>
              <w:pStyle w:val="138"/>
              <w:wordWrap w:val="0"/>
              <w:spacing w:line="300" w:lineRule="auto"/>
              <w:ind w:left="74" w:right="84"/>
              <w:rPr>
                <w:rFonts w:hint="eastAsia"/>
              </w:rPr>
            </w:pPr>
            <w:bookmarkStart w:id="4" w:name="_Hlk184977685"/>
            <w:r>
              <w:rPr>
                <w:rFonts w:hint="eastAsia"/>
                <w:sz w:val="24"/>
                <w:szCs w:val="24"/>
                <w:lang w:eastAsia="zh-CN"/>
              </w:rPr>
              <w:t>□</w:t>
            </w:r>
            <w:bookmarkEnd w:id="4"/>
            <w:r>
              <w:rPr>
                <w:rFonts w:hint="eastAsia"/>
                <w:sz w:val="24"/>
                <w:szCs w:val="24"/>
                <w:lang w:eastAsia="zh-CN"/>
              </w:rPr>
              <w:t>其他：</w:t>
            </w:r>
            <w:r>
              <w:rPr>
                <w:rFonts w:hint="eastAsia"/>
                <w:sz w:val="24"/>
                <w:szCs w:val="24"/>
                <w:u w:val="single"/>
                <w:lang w:eastAsia="zh-CN"/>
              </w:rPr>
              <w:t xml:space="preserve">              </w:t>
            </w:r>
            <w:r>
              <w:rPr>
                <w:rFonts w:hint="eastAsia"/>
                <w:sz w:val="24"/>
                <w:szCs w:val="24"/>
                <w:lang w:eastAsia="zh-CN"/>
              </w:rPr>
              <w:t>。</w:t>
            </w:r>
          </w:p>
        </w:tc>
      </w:tr>
      <w:tr w14:paraId="2DEF41A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D87051E">
            <w:pPr>
              <w:pStyle w:val="123"/>
              <w:wordWrap w:val="0"/>
              <w:jc w:val="center"/>
              <w:rPr>
                <w:rFonts w:hint="eastAsia" w:ascii="宋体" w:hAnsi="宋体" w:cs="宋体"/>
              </w:rPr>
            </w:pPr>
            <w:r>
              <w:rPr>
                <w:rFonts w:hint="eastAsia" w:ascii="宋体" w:hAnsi="宋体" w:cs="宋体"/>
                <w:kern w:val="2"/>
              </w:rPr>
              <w:t>5.5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FFE6684">
            <w:pPr>
              <w:pStyle w:val="123"/>
              <w:wordWrap w:val="0"/>
              <w:jc w:val="center"/>
              <w:rPr>
                <w:rFonts w:hint="eastAsia" w:ascii="宋体" w:hAnsi="宋体" w:cs="宋体"/>
              </w:rPr>
            </w:pPr>
            <w:r>
              <w:rPr>
                <w:rFonts w:hint="eastAsia" w:ascii="宋体" w:hAnsi="宋体" w:cs="宋体"/>
              </w:rPr>
              <w:t>定标前核查</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A8061AA">
            <w:pPr>
              <w:ind w:firstLine="240" w:firstLineChars="100"/>
              <w:jc w:val="left"/>
              <w:rPr>
                <w:rFonts w:ascii="宋体" w:hAnsi="宋体" w:cs="宋体"/>
                <w:sz w:val="24"/>
              </w:rPr>
            </w:pPr>
            <w:r>
              <w:rPr>
                <w:rFonts w:hint="eastAsia" w:ascii="宋体" w:hAnsi="宋体" w:cs="宋体"/>
                <w:sz w:val="24"/>
              </w:rPr>
              <w:t>招标人在最终确定中标人前，将组织核查。</w:t>
            </w:r>
          </w:p>
          <w:p w14:paraId="0ED5A163">
            <w:pPr>
              <w:ind w:firstLine="240" w:firstLineChars="100"/>
              <w:jc w:val="left"/>
              <w:rPr>
                <w:rFonts w:hint="eastAsia" w:ascii="宋体" w:hAnsi="宋体" w:cs="宋体"/>
                <w:sz w:val="24"/>
              </w:rPr>
            </w:pPr>
            <w:r>
              <w:rPr>
                <w:rFonts w:hint="eastAsia" w:ascii="宋体" w:hAnsi="宋体" w:cs="宋体"/>
                <w:sz w:val="24"/>
              </w:rPr>
              <w:t>核查内容包括：</w:t>
            </w:r>
          </w:p>
          <w:p w14:paraId="73D9D16F">
            <w:pPr>
              <w:ind w:firstLine="240" w:firstLineChars="100"/>
              <w:jc w:val="left"/>
              <w:rPr>
                <w:rFonts w:hint="eastAsia" w:ascii="宋体" w:hAnsi="宋体" w:cs="宋体"/>
                <w:sz w:val="24"/>
              </w:rPr>
            </w:pPr>
            <w:r>
              <w:rPr>
                <w:rFonts w:hint="eastAsia" w:ascii="宋体" w:hAnsi="宋体" w:cs="宋体"/>
                <w:sz w:val="24"/>
              </w:rPr>
              <w:t>1.评委会评审工作错误的情形：1）是否有价格计算错误，2）评分计算错误，3）客观分不一致或错误，4）资格审查错误，5）符合性审查错误；</w:t>
            </w:r>
          </w:p>
          <w:p w14:paraId="6733F6E0">
            <w:pPr>
              <w:ind w:firstLine="240" w:firstLineChars="100"/>
              <w:jc w:val="left"/>
              <w:rPr>
                <w:rFonts w:hint="eastAsia" w:ascii="宋体" w:hAnsi="宋体" w:cs="宋体"/>
                <w:sz w:val="24"/>
              </w:rPr>
            </w:pPr>
            <w:r>
              <w:rPr>
                <w:rFonts w:hint="eastAsia" w:ascii="宋体" w:hAnsi="宋体" w:cs="宋体"/>
                <w:sz w:val="24"/>
              </w:rPr>
              <w:t>2.评委会确定的中标人或推荐的中标候选人和其拟定的项目负责人存在取消中标资格的情形：1）投标文件中提供虚假材料的，2）存在围标串标的情形或本招标文件规定视同围标串标的情形的。</w:t>
            </w:r>
          </w:p>
          <w:p w14:paraId="4A062006">
            <w:pPr>
              <w:pStyle w:val="138"/>
              <w:wordWrap w:val="0"/>
              <w:spacing w:line="300" w:lineRule="auto"/>
              <w:ind w:left="74" w:right="84"/>
              <w:rPr>
                <w:rFonts w:hint="eastAsia"/>
                <w:sz w:val="24"/>
                <w:szCs w:val="24"/>
                <w:lang w:eastAsia="zh-CN"/>
              </w:rPr>
            </w:pPr>
            <w:r>
              <w:rPr>
                <w:rFonts w:hint="eastAsia"/>
                <w:sz w:val="24"/>
                <w:szCs w:val="24"/>
                <w:lang w:eastAsia="zh-CN"/>
              </w:rPr>
              <w:t>招标人有权根据核查情况，对评委会上述评审工作错误组织原评委会进行修正；存在取消中标资格情形的，取消其中标资格，后续可以按评委会提出的中标候选人名单排序依次确定其他中标候选人为中标人或重新招标。</w:t>
            </w:r>
          </w:p>
        </w:tc>
      </w:tr>
      <w:tr w14:paraId="204139D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C327A5F">
            <w:pPr>
              <w:pStyle w:val="123"/>
              <w:kinsoku w:val="0"/>
              <w:overflowPunct w:val="0"/>
              <w:spacing w:before="148" w:line="360" w:lineRule="auto"/>
              <w:ind w:left="2"/>
              <w:jc w:val="center"/>
              <w:rPr>
                <w:rFonts w:hint="eastAsia" w:ascii="宋体" w:hAnsi="宋体" w:cs="宋体"/>
                <w:kern w:val="2"/>
              </w:rPr>
            </w:pPr>
            <w:bookmarkStart w:id="5" w:name="_Hlk204711079"/>
            <w:r>
              <w:rPr>
                <w:rFonts w:hint="eastAsia" w:ascii="宋体" w:hAnsi="宋体" w:cs="宋体"/>
                <w:kern w:val="2"/>
              </w:rPr>
              <w:t>5.6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D91F3C0">
            <w:pPr>
              <w:pStyle w:val="123"/>
              <w:kinsoku w:val="0"/>
              <w:overflowPunct w:val="0"/>
              <w:spacing w:line="360" w:lineRule="auto"/>
              <w:jc w:val="center"/>
              <w:rPr>
                <w:rFonts w:hint="eastAsia" w:ascii="宋体" w:hAnsi="宋体" w:cs="宋体"/>
                <w:kern w:val="2"/>
              </w:rPr>
            </w:pPr>
            <w:r>
              <w:rPr>
                <w:rFonts w:hint="eastAsia" w:ascii="宋体" w:hAnsi="宋体" w:cs="宋体"/>
                <w:kern w:val="2"/>
              </w:rPr>
              <w:t>中标候选人公示媒介及期限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8D9E5C9">
            <w:pPr>
              <w:pStyle w:val="123"/>
              <w:tabs>
                <w:tab w:val="left" w:pos="2100"/>
              </w:tabs>
              <w:kinsoku w:val="0"/>
              <w:overflowPunct w:val="0"/>
              <w:spacing w:before="164" w:line="360" w:lineRule="auto"/>
              <w:rPr>
                <w:rFonts w:hint="eastAsia" w:ascii="宋体" w:hAnsi="宋体" w:eastAsia="宋体" w:cs="宋体"/>
                <w:kern w:val="2"/>
                <w:lang w:eastAsia="zh-CN"/>
              </w:rPr>
            </w:pPr>
            <w:r>
              <w:rPr>
                <w:rFonts w:hint="eastAsia" w:ascii="宋体" w:hAnsi="宋体" w:cs="宋体"/>
                <w:sz w:val="24"/>
                <w:lang w:val="en-US" w:eastAsia="zh-CN"/>
              </w:rPr>
              <w:t>/</w:t>
            </w:r>
          </w:p>
        </w:tc>
      </w:tr>
      <w:bookmarkEnd w:id="5"/>
      <w:tr w14:paraId="47D6B2E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A671157">
            <w:pPr>
              <w:pStyle w:val="123"/>
              <w:kinsoku w:val="0"/>
              <w:overflowPunct w:val="0"/>
              <w:spacing w:before="148" w:line="360" w:lineRule="auto"/>
              <w:ind w:left="2"/>
              <w:jc w:val="center"/>
              <w:rPr>
                <w:rFonts w:hint="eastAsia" w:ascii="宋体" w:hAnsi="宋体" w:cs="宋体"/>
                <w:kern w:val="2"/>
              </w:rPr>
            </w:pPr>
            <w:r>
              <w:rPr>
                <w:rFonts w:hint="eastAsia" w:ascii="宋体" w:hAnsi="宋体" w:cs="宋体"/>
                <w:kern w:val="2"/>
              </w:rPr>
              <w:t>5.7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14F1C5D">
            <w:pPr>
              <w:pStyle w:val="123"/>
              <w:kinsoku w:val="0"/>
              <w:overflowPunct w:val="0"/>
              <w:spacing w:line="360" w:lineRule="auto"/>
              <w:jc w:val="center"/>
              <w:rPr>
                <w:rFonts w:hint="eastAsia" w:ascii="宋体" w:hAnsi="宋体" w:cs="宋体"/>
                <w:kern w:val="2"/>
              </w:rPr>
            </w:pPr>
            <w:r>
              <w:rPr>
                <w:rFonts w:hint="eastAsia" w:ascii="宋体" w:hAnsi="宋体" w:cs="宋体"/>
                <w:kern w:val="2"/>
              </w:rPr>
              <w:t>中标公告</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9E6E8E9">
            <w:pPr>
              <w:keepNext w:val="0"/>
              <w:keepLines w:val="0"/>
              <w:pageBreakBefore w:val="0"/>
              <w:widowControl w:val="0"/>
              <w:kinsoku/>
              <w:wordWrap w:val="0"/>
              <w:overflowPunct/>
              <w:topLinePunct w:val="0"/>
              <w:autoSpaceDE/>
              <w:autoSpaceDN/>
              <w:bidi w:val="0"/>
              <w:adjustRightInd/>
              <w:snapToGrid/>
              <w:jc w:val="left"/>
              <w:textAlignment w:val="auto"/>
              <w:rPr>
                <w:rFonts w:ascii="宋体" w:hAnsi="宋体" w:cs="宋体"/>
                <w:sz w:val="24"/>
              </w:rPr>
            </w:pPr>
            <w:r>
              <w:rPr>
                <w:rFonts w:hint="eastAsia" w:ascii="宋体" w:hAnsi="宋体" w:cs="宋体"/>
                <w:sz w:val="24"/>
              </w:rPr>
              <w:t>公告媒体：金采网（www.cfcpn.com）、山东省采购与招标网（https://www.sdbidding.org.cn）、浙商银行数智采购平台（https://ccgp.szcgpt.czbank.com）发布。</w:t>
            </w:r>
          </w:p>
          <w:p w14:paraId="707388B2">
            <w:pPr>
              <w:jc w:val="left"/>
              <w:rPr>
                <w:rFonts w:hint="eastAsia" w:ascii="宋体" w:hAnsi="宋体" w:cs="宋体"/>
                <w:color w:val="auto"/>
                <w:sz w:val="24"/>
              </w:rPr>
            </w:pPr>
            <w:r>
              <w:rPr>
                <w:rFonts w:hint="eastAsia" w:ascii="宋体" w:hAnsi="宋体" w:cs="宋体"/>
                <w:sz w:val="24"/>
              </w:rPr>
              <w:t>因轻信其他组织、个人或媒体提供的信息而造成损失的，招标人、招标代</w:t>
            </w:r>
            <w:r>
              <w:rPr>
                <w:rFonts w:hint="eastAsia" w:ascii="宋体" w:hAnsi="宋体" w:cs="宋体"/>
                <w:color w:val="auto"/>
                <w:sz w:val="24"/>
              </w:rPr>
              <w:t>理机构概不负责。</w:t>
            </w:r>
          </w:p>
          <w:p w14:paraId="055031DC">
            <w:pPr>
              <w:spacing w:line="360" w:lineRule="auto"/>
              <w:jc w:val="left"/>
              <w:rPr>
                <w:rFonts w:hint="eastAsia" w:ascii="宋体" w:hAnsi="宋体" w:cs="宋体"/>
                <w:sz w:val="24"/>
              </w:rPr>
            </w:pPr>
            <w:r>
              <w:rPr>
                <w:rFonts w:hint="eastAsia" w:ascii="宋体" w:hAnsi="宋体" w:cs="宋体"/>
                <w:color w:val="auto"/>
                <w:sz w:val="24"/>
              </w:rPr>
              <w:t>公告期限：不少于3日。如</w:t>
            </w:r>
            <w:r>
              <w:rPr>
                <w:rFonts w:hint="eastAsia" w:ascii="宋体" w:hAnsi="宋体" w:cs="宋体"/>
                <w:sz w:val="24"/>
              </w:rPr>
              <w:t>遇国家法定休假日，应顺延至法定休假日后第一个工作日。</w:t>
            </w:r>
          </w:p>
        </w:tc>
      </w:tr>
      <w:tr w14:paraId="565FAEB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029BC03">
            <w:pPr>
              <w:pStyle w:val="123"/>
              <w:kinsoku w:val="0"/>
              <w:overflowPunct w:val="0"/>
              <w:spacing w:before="148" w:line="360" w:lineRule="auto"/>
              <w:ind w:left="2"/>
              <w:jc w:val="center"/>
              <w:rPr>
                <w:rFonts w:hint="eastAsia" w:ascii="宋体" w:hAnsi="宋体" w:cs="宋体"/>
                <w:kern w:val="2"/>
              </w:rPr>
            </w:pPr>
            <w:r>
              <w:rPr>
                <w:rFonts w:hint="eastAsia" w:ascii="宋体" w:hAnsi="宋体" w:cs="宋体"/>
                <w:kern w:val="2"/>
              </w:rPr>
              <w:t>5.8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95E5387">
            <w:pPr>
              <w:pStyle w:val="123"/>
              <w:kinsoku w:val="0"/>
              <w:overflowPunct w:val="0"/>
              <w:spacing w:line="360" w:lineRule="auto"/>
              <w:jc w:val="center"/>
              <w:rPr>
                <w:rFonts w:hint="eastAsia" w:ascii="宋体" w:hAnsi="宋体" w:cs="宋体"/>
                <w:kern w:val="2"/>
              </w:rPr>
            </w:pPr>
            <w:r>
              <w:rPr>
                <w:rFonts w:hint="eastAsia" w:ascii="宋体" w:hAnsi="宋体" w:cs="宋体"/>
                <w:kern w:val="2"/>
              </w:rPr>
              <w:t>签订合同</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F0220AF">
            <w:pPr>
              <w:spacing w:line="360" w:lineRule="auto"/>
              <w:jc w:val="left"/>
              <w:rPr>
                <w:rFonts w:hint="eastAsia" w:ascii="宋体" w:hAnsi="宋体" w:cs="宋体"/>
                <w:sz w:val="24"/>
              </w:rPr>
            </w:pPr>
            <w:r>
              <w:rPr>
                <w:rFonts w:hint="eastAsia" w:ascii="宋体" w:hAnsi="宋体" w:cs="宋体"/>
                <w:sz w:val="24"/>
              </w:rPr>
              <w:t>中标通知书发出之日起30日内。</w:t>
            </w:r>
          </w:p>
        </w:tc>
      </w:tr>
      <w:tr w14:paraId="054E7EF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D3367DF">
            <w:pPr>
              <w:pStyle w:val="123"/>
              <w:kinsoku w:val="0"/>
              <w:overflowPunct w:val="0"/>
              <w:spacing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DA1E958">
            <w:pPr>
              <w:pStyle w:val="123"/>
              <w:kinsoku w:val="0"/>
              <w:overflowPunct w:val="0"/>
              <w:spacing w:line="360" w:lineRule="auto"/>
              <w:ind w:right="1"/>
              <w:jc w:val="center"/>
              <w:rPr>
                <w:rFonts w:hint="eastAsia" w:ascii="宋体" w:hAnsi="宋体" w:cs="宋体"/>
                <w:kern w:val="2"/>
              </w:rPr>
            </w:pPr>
            <w:r>
              <w:rPr>
                <w:rFonts w:hint="eastAsia" w:ascii="宋体" w:hAnsi="宋体" w:cs="宋体"/>
                <w:kern w:val="2"/>
              </w:rPr>
              <w:t>履约担保</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1DBFD93">
            <w:pPr>
              <w:spacing w:line="360" w:lineRule="auto"/>
              <w:jc w:val="left"/>
              <w:rPr>
                <w:rFonts w:hint="eastAsia" w:ascii="宋体" w:hAnsi="宋体" w:cs="宋体"/>
                <w:sz w:val="24"/>
                <w:highlight w:val="none"/>
              </w:rPr>
            </w:pPr>
            <w:r>
              <w:rPr>
                <w:rFonts w:hint="eastAsia" w:ascii="宋体" w:hAnsi="宋体" w:cs="宋体"/>
                <w:sz w:val="24"/>
              </w:rPr>
              <w:t>履约担保的金额：</w:t>
            </w:r>
            <w:r>
              <w:rPr>
                <w:rFonts w:hint="eastAsia" w:ascii="宋体" w:hAnsi="宋体" w:cs="宋体"/>
                <w:sz w:val="24"/>
                <w:highlight w:val="none"/>
              </w:rPr>
              <w:t>合同总价的</w:t>
            </w:r>
            <w:r>
              <w:rPr>
                <w:rFonts w:hint="eastAsia" w:ascii="宋体" w:hAnsi="宋体" w:cs="宋体"/>
                <w:sz w:val="24"/>
                <w:highlight w:val="none"/>
                <w:u w:val="single"/>
                <w:lang w:val="en-US" w:eastAsia="zh-CN"/>
              </w:rPr>
              <w:t>10</w:t>
            </w:r>
            <w:r>
              <w:rPr>
                <w:rFonts w:hint="eastAsia" w:ascii="宋体" w:hAnsi="宋体" w:cs="宋体"/>
                <w:sz w:val="24"/>
                <w:highlight w:val="none"/>
              </w:rPr>
              <w:t>%。</w:t>
            </w:r>
          </w:p>
          <w:p w14:paraId="1CE4D984">
            <w:pPr>
              <w:spacing w:line="360" w:lineRule="auto"/>
              <w:jc w:val="left"/>
              <w:rPr>
                <w:rFonts w:hint="eastAsia" w:ascii="宋体" w:hAnsi="宋体" w:cs="宋体"/>
                <w:sz w:val="24"/>
              </w:rPr>
            </w:pPr>
            <w:r>
              <w:rPr>
                <w:rFonts w:hint="eastAsia" w:ascii="宋体" w:hAnsi="宋体" w:cs="宋体"/>
                <w:sz w:val="24"/>
              </w:rPr>
              <w:t>履约担保形式：详见合同条款。</w:t>
            </w:r>
          </w:p>
        </w:tc>
      </w:tr>
      <w:tr w14:paraId="120CF60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BAC7F89">
            <w:pPr>
              <w:pStyle w:val="123"/>
              <w:kinsoku w:val="0"/>
              <w:overflowPunct w:val="0"/>
              <w:spacing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1D8ADB2">
            <w:pPr>
              <w:pStyle w:val="123"/>
              <w:kinsoku w:val="0"/>
              <w:overflowPunct w:val="0"/>
              <w:spacing w:line="360" w:lineRule="auto"/>
              <w:ind w:right="1"/>
              <w:jc w:val="center"/>
              <w:rPr>
                <w:rFonts w:hint="eastAsia" w:ascii="宋体" w:hAnsi="宋体" w:cs="宋体"/>
                <w:kern w:val="2"/>
              </w:rPr>
            </w:pPr>
            <w:r>
              <w:rPr>
                <w:rFonts w:hint="eastAsia" w:ascii="宋体" w:hAnsi="宋体" w:cs="宋体"/>
                <w:kern w:val="2"/>
              </w:rPr>
              <w:t>重新招标其他情形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B539306">
            <w:pPr>
              <w:widowControl/>
              <w:spacing w:line="360" w:lineRule="auto"/>
              <w:jc w:val="left"/>
              <w:rPr>
                <w:rFonts w:hint="eastAsia" w:ascii="宋体" w:hAnsi="宋体" w:cs="宋体"/>
                <w:sz w:val="24"/>
              </w:rPr>
            </w:pPr>
            <w:r>
              <w:rPr>
                <w:rFonts w:hint="eastAsia" w:ascii="宋体" w:hAnsi="宋体" w:cs="宋体"/>
                <w:color w:val="000000"/>
                <w:sz w:val="24"/>
              </w:rPr>
              <w:t>1、有效投标人数量不足3家的；</w:t>
            </w:r>
          </w:p>
          <w:p w14:paraId="34DED3FC">
            <w:pPr>
              <w:widowControl/>
              <w:spacing w:line="360" w:lineRule="auto"/>
              <w:jc w:val="left"/>
              <w:rPr>
                <w:rFonts w:hint="eastAsia" w:ascii="宋体" w:hAnsi="宋体" w:cs="宋体"/>
                <w:sz w:val="24"/>
              </w:rPr>
            </w:pPr>
            <w:r>
              <w:rPr>
                <w:rFonts w:hint="eastAsia" w:ascii="宋体" w:hAnsi="宋体" w:cs="宋体"/>
                <w:color w:val="000000"/>
                <w:sz w:val="24"/>
              </w:rPr>
              <w:t>2、招标投标过程中，因项目发生变更，现有招标资格条件和项目规模不符的；</w:t>
            </w:r>
          </w:p>
          <w:p w14:paraId="7A2D8C62">
            <w:pPr>
              <w:widowControl/>
              <w:spacing w:line="360" w:lineRule="auto"/>
              <w:jc w:val="left"/>
              <w:rPr>
                <w:rFonts w:hint="eastAsia" w:ascii="宋体" w:hAnsi="宋体" w:cs="宋体"/>
                <w:sz w:val="24"/>
              </w:rPr>
            </w:pPr>
            <w:r>
              <w:rPr>
                <w:rFonts w:hint="eastAsia" w:ascii="宋体" w:hAnsi="宋体" w:cs="宋体"/>
                <w:color w:val="000000"/>
                <w:sz w:val="24"/>
              </w:rPr>
              <w:t>3、中标候选人放弃中标、因不可抗力不履行合同、不按招标文件要求提交履约担保，或者被查实存在影响中标结果的违法行为等情形不符合中标条件的；</w:t>
            </w:r>
          </w:p>
          <w:p w14:paraId="2F1B70F2">
            <w:pPr>
              <w:spacing w:line="360" w:lineRule="auto"/>
              <w:jc w:val="left"/>
              <w:rPr>
                <w:rFonts w:hint="eastAsia" w:ascii="宋体" w:hAnsi="宋体" w:cs="宋体"/>
                <w:sz w:val="24"/>
              </w:rPr>
            </w:pPr>
            <w:r>
              <w:rPr>
                <w:rFonts w:hint="eastAsia" w:ascii="宋体" w:hAnsi="宋体" w:cs="宋体"/>
                <w:color w:val="000000"/>
                <w:sz w:val="24"/>
              </w:rPr>
              <w:t>4、法律法规规定的其他情形。</w:t>
            </w:r>
          </w:p>
        </w:tc>
      </w:tr>
      <w:tr w14:paraId="498F780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C56B561">
            <w:pPr>
              <w:pStyle w:val="123"/>
              <w:kinsoku w:val="0"/>
              <w:overflowPunct w:val="0"/>
              <w:spacing w:before="145"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751CBF4">
            <w:pPr>
              <w:pStyle w:val="123"/>
              <w:kinsoku w:val="0"/>
              <w:overflowPunct w:val="0"/>
              <w:spacing w:line="360" w:lineRule="auto"/>
              <w:jc w:val="center"/>
              <w:rPr>
                <w:rFonts w:hint="eastAsia" w:ascii="宋体" w:hAnsi="宋体" w:cs="宋体"/>
                <w:kern w:val="2"/>
              </w:rPr>
            </w:pPr>
            <w:r>
              <w:rPr>
                <w:rFonts w:hint="eastAsia" w:ascii="宋体" w:hAnsi="宋体" w:cs="宋体"/>
                <w:kern w:val="2"/>
              </w:rPr>
              <w:t>需要补充的</w:t>
            </w:r>
          </w:p>
          <w:p w14:paraId="5E7CF9EE">
            <w:pPr>
              <w:pStyle w:val="123"/>
              <w:kinsoku w:val="0"/>
              <w:overflowPunct w:val="0"/>
              <w:spacing w:line="360" w:lineRule="auto"/>
              <w:jc w:val="center"/>
              <w:rPr>
                <w:rFonts w:hint="eastAsia" w:ascii="宋体" w:hAnsi="宋体" w:cs="宋体"/>
                <w:kern w:val="2"/>
              </w:rPr>
            </w:pPr>
            <w:r>
              <w:rPr>
                <w:rFonts w:hint="eastAsia" w:ascii="宋体" w:hAnsi="宋体" w:cs="宋体"/>
                <w:kern w:val="2"/>
              </w:rPr>
              <w:t>其他内容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17D424D">
            <w:pPr>
              <w:spacing w:line="440" w:lineRule="exact"/>
              <w:ind w:left="2"/>
              <w:contextualSpacing/>
              <w:jc w:val="left"/>
              <w:rPr>
                <w:rFonts w:ascii="宋体" w:hAnsi="宋体" w:cs="宋体"/>
                <w:sz w:val="24"/>
              </w:rPr>
            </w:pPr>
            <w:r>
              <w:rPr>
                <w:rFonts w:hint="eastAsia" w:ascii="宋体" w:hAnsi="宋体" w:cs="宋体"/>
                <w:sz w:val="24"/>
              </w:rPr>
              <w:t>本项目工期为4</w:t>
            </w:r>
            <w:r>
              <w:rPr>
                <w:rFonts w:ascii="宋体" w:hAnsi="宋体" w:cs="宋体"/>
                <w:sz w:val="24"/>
              </w:rPr>
              <w:t>5</w:t>
            </w:r>
            <w:r>
              <w:rPr>
                <w:rFonts w:hint="eastAsia" w:ascii="宋体" w:hAnsi="宋体" w:cs="宋体"/>
                <w:sz w:val="24"/>
              </w:rPr>
              <w:t>日历天。</w:t>
            </w:r>
          </w:p>
          <w:p w14:paraId="0445F145">
            <w:pPr>
              <w:spacing w:line="360" w:lineRule="auto"/>
              <w:jc w:val="left"/>
              <w:rPr>
                <w:rFonts w:hint="eastAsia" w:ascii="宋体" w:hAnsi="宋体" w:cs="宋体"/>
                <w:sz w:val="24"/>
              </w:rPr>
            </w:pPr>
            <w:r>
              <w:rPr>
                <w:rFonts w:hint="eastAsia" w:ascii="宋体" w:hAnsi="宋体" w:cs="宋体"/>
                <w:sz w:val="24"/>
              </w:rPr>
              <w:t>招标人异议受理电话：</w:t>
            </w:r>
            <w:r>
              <w:rPr>
                <w:rFonts w:hint="eastAsia" w:ascii="宋体" w:hAnsi="宋体" w:cs="宋体"/>
                <w:sz w:val="24"/>
                <w:u w:val="single"/>
                <w:lang w:val="en-US" w:eastAsia="zh-CN"/>
              </w:rPr>
              <w:t>13702005631</w:t>
            </w:r>
            <w:r>
              <w:rPr>
                <w:rFonts w:hint="eastAsia" w:ascii="宋体" w:hAnsi="宋体" w:cs="宋体"/>
                <w:sz w:val="24"/>
                <w:u w:val="single"/>
              </w:rPr>
              <w:t>。</w:t>
            </w:r>
          </w:p>
          <w:p w14:paraId="1B1FC2C7">
            <w:pPr>
              <w:spacing w:line="360" w:lineRule="auto"/>
              <w:jc w:val="left"/>
              <w:rPr>
                <w:rFonts w:hint="eastAsia" w:ascii="宋体" w:hAnsi="宋体" w:cs="宋体"/>
                <w:sz w:val="24"/>
              </w:rPr>
            </w:pPr>
            <w:r>
              <w:rPr>
                <w:rFonts w:hint="eastAsia" w:ascii="宋体" w:hAnsi="宋体" w:cs="宋体"/>
                <w:sz w:val="24"/>
              </w:rPr>
              <w:t>投诉受理部门电话：</w:t>
            </w:r>
            <w:r>
              <w:rPr>
                <w:rFonts w:hint="eastAsia" w:ascii="宋体" w:hAnsi="宋体" w:cs="宋体"/>
                <w:sz w:val="24"/>
                <w:u w:val="single"/>
              </w:rPr>
              <w:t>0531-59669925。</w:t>
            </w:r>
            <w:bookmarkStart w:id="105" w:name="_GoBack"/>
            <w:bookmarkEnd w:id="105"/>
          </w:p>
        </w:tc>
      </w:tr>
      <w:tr w14:paraId="578CD01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418BDF9">
            <w:pPr>
              <w:pStyle w:val="123"/>
              <w:kinsoku w:val="0"/>
              <w:overflowPunct w:val="0"/>
              <w:jc w:val="center"/>
              <w:rPr>
                <w:rFonts w:hint="eastAsia" w:ascii="宋体" w:hAnsi="宋体" w:eastAsia="宋体" w:cs="宋体"/>
                <w:kern w:val="2"/>
                <w:lang w:eastAsia="zh-CN"/>
              </w:rPr>
            </w:pPr>
            <w:r>
              <w:rPr>
                <w:rFonts w:hint="eastAsia" w:ascii="宋体" w:hAnsi="宋体" w:cs="宋体"/>
                <w:kern w:val="2"/>
                <w:lang w:val="en-US" w:eastAsia="zh-CN"/>
              </w:rPr>
              <w:t>6</w:t>
            </w:r>
            <w:r>
              <w:rPr>
                <w:rFonts w:hint="eastAsia" w:ascii="宋体" w:hAnsi="宋体" w:cs="宋体"/>
                <w:kern w:val="2"/>
              </w:rPr>
              <w:t>.</w:t>
            </w:r>
            <w:r>
              <w:rPr>
                <w:rFonts w:hint="eastAsia" w:ascii="宋体" w:hAnsi="宋体" w:cs="宋体"/>
                <w:kern w:val="2"/>
                <w:lang w:val="en-US" w:eastAsia="zh-CN"/>
              </w:rPr>
              <w:t>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901B06E">
            <w:pPr>
              <w:pStyle w:val="123"/>
              <w:kinsoku w:val="0"/>
              <w:overflowPunct w:val="0"/>
              <w:jc w:val="center"/>
              <w:rPr>
                <w:rFonts w:hint="eastAsia" w:ascii="宋体" w:hAnsi="宋体" w:cs="宋体"/>
                <w:kern w:val="2"/>
              </w:rPr>
            </w:pPr>
            <w:r>
              <w:rPr>
                <w:rFonts w:hint="eastAsia" w:ascii="宋体" w:hAnsi="宋体" w:cs="仿宋_GB2312"/>
                <w:b/>
              </w:rPr>
              <w:t>代理服务费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7875AEE">
            <w:pPr>
              <w:pStyle w:val="17"/>
              <w:spacing w:before="120" w:after="120" w:line="340" w:lineRule="exact"/>
              <w:jc w:val="left"/>
              <w:rPr>
                <w:rFonts w:hint="eastAsia" w:hAnsi="宋体" w:cs="宋体"/>
                <w:color w:val="000000"/>
              </w:rPr>
            </w:pPr>
            <w:r>
              <w:rPr>
                <w:rFonts w:hint="eastAsia" w:hAnsi="宋体" w:cs="仿宋"/>
                <w:kern w:val="28"/>
              </w:rPr>
              <w:t>本项目的代理服务费由</w:t>
            </w:r>
            <w:r>
              <w:rPr>
                <w:rFonts w:hint="eastAsia" w:hAnsi="宋体"/>
              </w:rPr>
              <w:t>招标人</w:t>
            </w:r>
            <w:r>
              <w:rPr>
                <w:rFonts w:hint="eastAsia" w:hAnsi="宋体" w:cs="仿宋"/>
                <w:kern w:val="28"/>
              </w:rPr>
              <w:t>支付。</w:t>
            </w:r>
          </w:p>
        </w:tc>
      </w:tr>
    </w:tbl>
    <w:p w14:paraId="58FA8455">
      <w:pPr>
        <w:spacing w:line="360" w:lineRule="auto"/>
        <w:rPr>
          <w:rFonts w:hint="eastAsia" w:ascii="宋体" w:hAnsi="宋体" w:cs="宋体"/>
          <w:color w:val="000000"/>
          <w:sz w:val="21"/>
          <w:szCs w:val="21"/>
        </w:rPr>
      </w:pPr>
      <w:r>
        <w:rPr>
          <w:rFonts w:hint="eastAsia" w:ascii="宋体" w:hAnsi="宋体" w:cs="宋体"/>
          <w:color w:val="000000"/>
          <w:sz w:val="21"/>
          <w:szCs w:val="21"/>
        </w:rPr>
        <w:t>注：1、以上内容如有变化将另行通知，如通知其中某一内容发生变化，其余未提及的将不作变动。</w:t>
      </w:r>
    </w:p>
    <w:p w14:paraId="69AC4C35">
      <w:pPr>
        <w:spacing w:line="360" w:lineRule="auto"/>
        <w:ind w:left="568" w:leftChars="203"/>
        <w:rPr>
          <w:rFonts w:hint="eastAsia" w:ascii="宋体" w:hAnsi="宋体" w:cs="宋体"/>
          <w:color w:val="000000"/>
          <w:sz w:val="21"/>
          <w:szCs w:val="21"/>
        </w:rPr>
      </w:pPr>
      <w:r>
        <w:rPr>
          <w:rFonts w:hint="eastAsia" w:ascii="宋体" w:hAnsi="宋体" w:cs="宋体"/>
          <w:color w:val="000000"/>
          <w:sz w:val="21"/>
          <w:szCs w:val="21"/>
        </w:rPr>
        <w:t>2、本招标文件未尽事宜按国家、省市现行规定执行。</w:t>
      </w:r>
    </w:p>
    <w:p w14:paraId="3A9D0AFD">
      <w:pPr>
        <w:pStyle w:val="23"/>
      </w:pPr>
    </w:p>
    <w:p w14:paraId="1AEAC369">
      <w:pPr>
        <w:pStyle w:val="17"/>
        <w:keepNext w:val="0"/>
        <w:keepLines w:val="0"/>
        <w:pageBreakBefore w:val="0"/>
        <w:widowControl w:val="0"/>
        <w:kinsoku/>
        <w:wordWrap/>
        <w:overflowPunct/>
        <w:topLinePunct w:val="0"/>
        <w:autoSpaceDE/>
        <w:autoSpaceDN/>
        <w:bidi w:val="0"/>
        <w:spacing w:before="0" w:beforeLines="0" w:after="0" w:afterLines="0" w:line="360" w:lineRule="auto"/>
        <w:textAlignment w:val="auto"/>
        <w:outlineLvl w:val="1"/>
        <w:rPr>
          <w:rFonts w:hAnsi="宋体"/>
          <w:b/>
          <w:spacing w:val="-6"/>
          <w:sz w:val="24"/>
          <w:szCs w:val="24"/>
        </w:rPr>
      </w:pPr>
      <w:r>
        <w:rPr>
          <w:rFonts w:hAnsi="宋体"/>
          <w:b/>
          <w:spacing w:val="-6"/>
          <w:sz w:val="21"/>
          <w:szCs w:val="21"/>
        </w:rPr>
        <w:br w:type="page"/>
      </w:r>
      <w:r>
        <w:rPr>
          <w:rFonts w:hAnsi="宋体"/>
          <w:b/>
          <w:spacing w:val="-6"/>
          <w:sz w:val="24"/>
          <w:szCs w:val="24"/>
        </w:rPr>
        <w:t>一</w:t>
      </w:r>
      <w:r>
        <w:rPr>
          <w:rFonts w:hint="eastAsia" w:hAnsi="宋体"/>
          <w:b/>
          <w:spacing w:val="-6"/>
          <w:sz w:val="24"/>
          <w:szCs w:val="24"/>
        </w:rPr>
        <w:t>、</w:t>
      </w:r>
      <w:r>
        <w:rPr>
          <w:rFonts w:hAnsi="宋体"/>
          <w:b/>
          <w:spacing w:val="-6"/>
          <w:sz w:val="24"/>
          <w:szCs w:val="24"/>
        </w:rPr>
        <w:t>总</w:t>
      </w:r>
      <w:r>
        <w:rPr>
          <w:rFonts w:hint="eastAsia" w:hAnsi="宋体"/>
          <w:b/>
          <w:spacing w:val="-6"/>
          <w:sz w:val="24"/>
          <w:szCs w:val="24"/>
        </w:rPr>
        <w:t xml:space="preserve">  </w:t>
      </w:r>
      <w:r>
        <w:rPr>
          <w:rFonts w:hAnsi="宋体"/>
          <w:b/>
          <w:spacing w:val="-6"/>
          <w:sz w:val="24"/>
          <w:szCs w:val="24"/>
        </w:rPr>
        <w:t>则</w:t>
      </w:r>
    </w:p>
    <w:p w14:paraId="292DF77E">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（一</w:t>
      </w:r>
      <w:r>
        <w:rPr>
          <w:rFonts w:ascii="宋体" w:hAnsi="宋体"/>
          <w:b/>
          <w:spacing w:val="-6"/>
          <w:sz w:val="24"/>
          <w:szCs w:val="24"/>
        </w:rPr>
        <w:t>）</w:t>
      </w:r>
      <w:r>
        <w:rPr>
          <w:rFonts w:hint="eastAsia" w:ascii="宋体" w:hAnsi="宋体"/>
          <w:b/>
          <w:spacing w:val="-6"/>
          <w:sz w:val="24"/>
          <w:szCs w:val="24"/>
        </w:rPr>
        <w:t>适用范围</w:t>
      </w:r>
    </w:p>
    <w:p w14:paraId="4846B64E">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hint="eastAsia" w:ascii="宋体" w:hAnsi="宋体"/>
          <w:spacing w:val="-6"/>
          <w:sz w:val="24"/>
          <w:szCs w:val="24"/>
        </w:rPr>
        <w:t>本招标文件适用于项目（见投标人须知前附表1.1）的招标、评标、定标、验收、合同履约、付款等（法律、法规另有规定的，从其规定）。</w:t>
      </w:r>
    </w:p>
    <w:p w14:paraId="2FED13E3">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（二）定义</w:t>
      </w:r>
    </w:p>
    <w:p w14:paraId="76F33FD4">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hint="eastAsia" w:ascii="宋体" w:hAnsi="宋体"/>
          <w:spacing w:val="-6"/>
          <w:sz w:val="24"/>
          <w:szCs w:val="24"/>
        </w:rPr>
        <w:t>1.“招标</w:t>
      </w:r>
      <w:r>
        <w:rPr>
          <w:rFonts w:ascii="宋体" w:hAnsi="宋体"/>
          <w:spacing w:val="-6"/>
          <w:sz w:val="24"/>
          <w:szCs w:val="24"/>
        </w:rPr>
        <w:t>人</w:t>
      </w:r>
      <w:r>
        <w:rPr>
          <w:rFonts w:hint="eastAsia" w:ascii="宋体" w:hAnsi="宋体"/>
          <w:spacing w:val="-6"/>
          <w:sz w:val="24"/>
          <w:szCs w:val="24"/>
        </w:rPr>
        <w:t>”系指见投标人须知前附表1.2；</w:t>
      </w:r>
    </w:p>
    <w:p w14:paraId="3ADAD2D0">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hint="eastAsia" w:ascii="宋体" w:hAnsi="宋体"/>
          <w:spacing w:val="-6"/>
          <w:sz w:val="24"/>
          <w:szCs w:val="24"/>
        </w:rPr>
        <w:t>2.“招标代理机构”系指组织本次招标的机构见投标人须知前附表1.3；</w:t>
      </w:r>
    </w:p>
    <w:p w14:paraId="75E62E01">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ascii="宋体" w:hAnsi="宋体"/>
          <w:spacing w:val="-6"/>
          <w:sz w:val="24"/>
          <w:szCs w:val="24"/>
        </w:rPr>
      </w:pPr>
      <w:r>
        <w:rPr>
          <w:rFonts w:hint="eastAsia" w:ascii="宋体" w:hAnsi="宋体"/>
          <w:spacing w:val="-6"/>
          <w:sz w:val="24"/>
          <w:szCs w:val="24"/>
        </w:rPr>
        <w:t>3.“投标人”系指响应招标、参加投标竞争的法人、其他组织；</w:t>
      </w:r>
    </w:p>
    <w:p w14:paraId="735FA9A1">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hint="eastAsia" w:ascii="宋体" w:hAnsi="宋体"/>
          <w:spacing w:val="-6"/>
          <w:sz w:val="24"/>
          <w:szCs w:val="24"/>
        </w:rPr>
        <w:t>4.“书面形式”包括信函、传真、电子邮件等；</w:t>
      </w:r>
    </w:p>
    <w:p w14:paraId="17E61867">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hint="eastAsia" w:ascii="宋体" w:hAnsi="宋体"/>
          <w:spacing w:val="-6"/>
          <w:sz w:val="24"/>
          <w:szCs w:val="24"/>
        </w:rPr>
        <w:t>5.“▲”系指实质性要求条款，投标人应当做出实质性响应。</w:t>
      </w:r>
    </w:p>
    <w:p w14:paraId="262737E4">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（三）招标方式</w:t>
      </w:r>
    </w:p>
    <w:p w14:paraId="2FF845FA">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hint="eastAsia" w:ascii="宋体" w:hAnsi="宋体"/>
          <w:spacing w:val="-6"/>
          <w:sz w:val="24"/>
          <w:szCs w:val="24"/>
        </w:rPr>
        <w:t>本次招标采用方式见招标公告。</w:t>
      </w:r>
    </w:p>
    <w:p w14:paraId="04DABB43">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（四）投标委托</w:t>
      </w:r>
    </w:p>
    <w:p w14:paraId="314E17CA">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spacing w:val="-6"/>
          <w:sz w:val="24"/>
          <w:szCs w:val="24"/>
        </w:rPr>
      </w:pPr>
      <w:r>
        <w:rPr>
          <w:rFonts w:ascii="宋体" w:hAnsi="宋体"/>
          <w:spacing w:val="-6"/>
          <w:sz w:val="24"/>
          <w:szCs w:val="24"/>
        </w:rPr>
        <w:t>如投标人代表不是</w:t>
      </w:r>
      <w:r>
        <w:rPr>
          <w:rFonts w:hint="eastAsia" w:ascii="宋体" w:hAnsi="宋体"/>
          <w:spacing w:val="-6"/>
          <w:sz w:val="24"/>
          <w:szCs w:val="24"/>
        </w:rPr>
        <w:t>法定代表人</w:t>
      </w:r>
      <w:r>
        <w:rPr>
          <w:rFonts w:ascii="宋体" w:hAnsi="宋体"/>
          <w:spacing w:val="-6"/>
          <w:sz w:val="24"/>
          <w:szCs w:val="24"/>
        </w:rPr>
        <w:t>，须有</w:t>
      </w:r>
      <w:r>
        <w:rPr>
          <w:rFonts w:ascii="宋体" w:hAnsi="宋体"/>
          <w:bCs/>
          <w:spacing w:val="-6"/>
          <w:sz w:val="24"/>
          <w:szCs w:val="24"/>
        </w:rPr>
        <w:t>附有</w:t>
      </w:r>
      <w:r>
        <w:rPr>
          <w:rFonts w:hint="eastAsia" w:ascii="宋体" w:hAnsi="宋体"/>
          <w:bCs/>
          <w:spacing w:val="-6"/>
          <w:sz w:val="24"/>
          <w:szCs w:val="24"/>
        </w:rPr>
        <w:t>法定代表人资格证明书</w:t>
      </w:r>
      <w:r>
        <w:rPr>
          <w:rFonts w:ascii="宋体" w:hAnsi="宋体"/>
          <w:bCs/>
          <w:spacing w:val="-6"/>
          <w:sz w:val="24"/>
          <w:szCs w:val="24"/>
        </w:rPr>
        <w:t>的</w:t>
      </w:r>
      <w:r>
        <w:rPr>
          <w:rFonts w:hint="eastAsia" w:ascii="宋体" w:hAnsi="宋体"/>
          <w:bCs/>
          <w:spacing w:val="-6"/>
          <w:sz w:val="24"/>
          <w:szCs w:val="24"/>
        </w:rPr>
        <w:t>法定代表人授权委托书</w:t>
      </w:r>
      <w:r>
        <w:rPr>
          <w:rFonts w:hint="eastAsia" w:ascii="宋体" w:hAnsi="宋体"/>
          <w:spacing w:val="-6"/>
          <w:sz w:val="24"/>
          <w:szCs w:val="24"/>
        </w:rPr>
        <w:t>（</w:t>
      </w:r>
      <w:r>
        <w:rPr>
          <w:rFonts w:hint="eastAsia" w:hAnsi="宋体"/>
          <w:spacing w:val="-6"/>
          <w:sz w:val="24"/>
          <w:szCs w:val="24"/>
        </w:rPr>
        <w:t>格式详见招标文件第六章</w:t>
      </w:r>
      <w:r>
        <w:rPr>
          <w:rFonts w:hint="eastAsia" w:ascii="宋体" w:hAnsi="宋体"/>
          <w:spacing w:val="-6"/>
          <w:sz w:val="24"/>
          <w:szCs w:val="24"/>
        </w:rPr>
        <w:t>）</w:t>
      </w:r>
      <w:r>
        <w:rPr>
          <w:rFonts w:ascii="宋体" w:hAnsi="宋体"/>
          <w:spacing w:val="-6"/>
          <w:sz w:val="24"/>
          <w:szCs w:val="24"/>
        </w:rPr>
        <w:t>，</w:t>
      </w:r>
      <w:r>
        <w:rPr>
          <w:rFonts w:hint="eastAsia"/>
          <w:spacing w:val="-6"/>
          <w:sz w:val="24"/>
          <w:szCs w:val="24"/>
        </w:rPr>
        <w:t>投标人未参加开标的，视同认可开标结果。</w:t>
      </w:r>
    </w:p>
    <w:p w14:paraId="144B67C9">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（五）投标费用</w:t>
      </w:r>
    </w:p>
    <w:p w14:paraId="667162B2">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ascii="宋体" w:hAnsi="宋体"/>
          <w:spacing w:val="-6"/>
          <w:sz w:val="24"/>
          <w:szCs w:val="24"/>
        </w:rPr>
        <w:t>1.</w:t>
      </w:r>
      <w:r>
        <w:rPr>
          <w:rFonts w:hint="eastAsia" w:ascii="宋体" w:hAnsi="宋体"/>
          <w:spacing w:val="-6"/>
          <w:sz w:val="24"/>
          <w:szCs w:val="24"/>
        </w:rPr>
        <w:t>不论投标结果如何，投标人均应自行承担所有与投标有关的全部费用；</w:t>
      </w:r>
    </w:p>
    <w:p w14:paraId="7B49BE9A">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（六）联合体投标</w:t>
      </w:r>
    </w:p>
    <w:p w14:paraId="6D5913A9">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ascii="宋体" w:hAnsi="宋体"/>
          <w:spacing w:val="-6"/>
          <w:sz w:val="24"/>
          <w:szCs w:val="24"/>
        </w:rPr>
      </w:pPr>
      <w:r>
        <w:rPr>
          <w:rFonts w:hint="eastAsia" w:ascii="宋体" w:hAnsi="宋体"/>
          <w:spacing w:val="-6"/>
          <w:sz w:val="24"/>
          <w:szCs w:val="24"/>
        </w:rPr>
        <w:t>是否接受联合体投标见招标公告，其他内容详见投标人须知前附表1.6。</w:t>
      </w:r>
    </w:p>
    <w:p w14:paraId="2999D7F3">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（七）踏勘现场</w:t>
      </w:r>
    </w:p>
    <w:p w14:paraId="03419D9C">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ascii="宋体" w:hAnsi="宋体"/>
          <w:spacing w:val="-6"/>
          <w:sz w:val="24"/>
          <w:szCs w:val="24"/>
        </w:rPr>
        <w:t>1.</w:t>
      </w:r>
      <w:r>
        <w:rPr>
          <w:rFonts w:hint="eastAsia" w:ascii="宋体" w:hAnsi="宋体"/>
          <w:spacing w:val="-6"/>
          <w:sz w:val="24"/>
          <w:szCs w:val="24"/>
        </w:rPr>
        <w:t>投标人须知前附表规定组织踏勘现场的，投标人</w:t>
      </w:r>
      <w:r>
        <w:rPr>
          <w:rFonts w:ascii="宋体" w:hAnsi="宋体"/>
          <w:spacing w:val="-6"/>
          <w:sz w:val="24"/>
          <w:szCs w:val="24"/>
        </w:rPr>
        <w:t>按</w:t>
      </w:r>
      <w:r>
        <w:rPr>
          <w:rFonts w:hint="eastAsia" w:ascii="宋体" w:hAnsi="宋体"/>
          <w:spacing w:val="-6"/>
          <w:sz w:val="24"/>
          <w:szCs w:val="24"/>
        </w:rPr>
        <w:t>投标人须知前附表规定的时间、地点进行踏勘项目现场。部分投标人未按时参加踏勘现场的，不影响踏勘现场的正常进行。</w:t>
      </w:r>
    </w:p>
    <w:p w14:paraId="286F961E">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ascii="宋体" w:hAnsi="宋体"/>
          <w:spacing w:val="-6"/>
          <w:sz w:val="24"/>
          <w:szCs w:val="24"/>
        </w:rPr>
        <w:t>2.</w:t>
      </w:r>
      <w:r>
        <w:rPr>
          <w:rFonts w:hint="eastAsia" w:ascii="宋体" w:hAnsi="宋体"/>
          <w:spacing w:val="-6"/>
          <w:sz w:val="24"/>
          <w:szCs w:val="24"/>
        </w:rPr>
        <w:t>投标人踏勘现场发生的费用自理。</w:t>
      </w:r>
    </w:p>
    <w:p w14:paraId="616BBB28">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ascii="宋体" w:hAnsi="宋体"/>
          <w:spacing w:val="-6"/>
          <w:sz w:val="24"/>
          <w:szCs w:val="24"/>
        </w:rPr>
        <w:t>3.</w:t>
      </w:r>
      <w:r>
        <w:rPr>
          <w:rFonts w:hint="eastAsia" w:ascii="宋体" w:hAnsi="宋体"/>
          <w:spacing w:val="-6"/>
          <w:sz w:val="24"/>
          <w:szCs w:val="24"/>
        </w:rPr>
        <w:t>除招标人的原因外，投标人自行负责在踏勘现场中所发生的人员伤亡和财产损失。</w:t>
      </w:r>
    </w:p>
    <w:p w14:paraId="24D7464A">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ascii="宋体" w:hAnsi="宋体"/>
          <w:spacing w:val="-6"/>
          <w:sz w:val="24"/>
          <w:szCs w:val="24"/>
        </w:rPr>
        <w:t>4.</w:t>
      </w:r>
      <w:r>
        <w:rPr>
          <w:rFonts w:hint="eastAsia" w:ascii="宋体" w:hAnsi="宋体"/>
          <w:spacing w:val="-6"/>
          <w:sz w:val="24"/>
          <w:szCs w:val="24"/>
        </w:rPr>
        <w:t>招标人在踏勘现场中介绍的场地和相关的周边环境情况，供投标人在编制投标文件时参考，招标人不对投标人据此作出的判断和决策负责。</w:t>
      </w:r>
    </w:p>
    <w:p w14:paraId="2DCBE249">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w:t>
      </w:r>
      <w:r>
        <w:rPr>
          <w:rFonts w:hint="eastAsia" w:ascii="宋体" w:hAnsi="宋体"/>
          <w:b/>
          <w:spacing w:val="-6"/>
          <w:sz w:val="24"/>
          <w:szCs w:val="24"/>
          <w:lang w:val="en-US" w:eastAsia="zh-CN"/>
        </w:rPr>
        <w:t>八</w:t>
      </w:r>
      <w:r>
        <w:rPr>
          <w:rFonts w:hint="eastAsia" w:ascii="宋体" w:hAnsi="宋体"/>
          <w:b/>
          <w:spacing w:val="-6"/>
          <w:sz w:val="24"/>
          <w:szCs w:val="24"/>
        </w:rPr>
        <w:t>）转包与分包</w:t>
      </w:r>
    </w:p>
    <w:p w14:paraId="3FF4A784">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hint="eastAsia" w:ascii="宋体" w:hAnsi="宋体"/>
          <w:spacing w:val="-6"/>
          <w:sz w:val="24"/>
          <w:szCs w:val="24"/>
        </w:rPr>
        <w:t>1</w:t>
      </w:r>
      <w:r>
        <w:rPr>
          <w:rFonts w:ascii="宋体" w:hAnsi="宋体"/>
          <w:spacing w:val="-6"/>
          <w:sz w:val="24"/>
          <w:szCs w:val="24"/>
        </w:rPr>
        <w:t>.</w:t>
      </w:r>
      <w:r>
        <w:rPr>
          <w:rFonts w:hint="eastAsia" w:ascii="宋体" w:hAnsi="宋体"/>
          <w:spacing w:val="-6"/>
          <w:sz w:val="24"/>
          <w:szCs w:val="24"/>
        </w:rPr>
        <w:t>中标人不得向他人转让中标项目，也不得将中标项目肢解后分别向他人转让。</w:t>
      </w:r>
    </w:p>
    <w:p w14:paraId="3EAF9B61">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hint="eastAsia" w:ascii="宋体" w:hAnsi="宋体"/>
          <w:spacing w:val="-6"/>
          <w:sz w:val="24"/>
          <w:szCs w:val="24"/>
        </w:rPr>
        <w:t>2</w:t>
      </w:r>
      <w:r>
        <w:rPr>
          <w:rFonts w:ascii="宋体" w:hAnsi="宋体"/>
          <w:spacing w:val="-6"/>
          <w:sz w:val="24"/>
          <w:szCs w:val="24"/>
        </w:rPr>
        <w:t>.</w:t>
      </w:r>
      <w:r>
        <w:rPr>
          <w:rFonts w:hint="eastAsia" w:ascii="宋体" w:hAnsi="宋体"/>
          <w:spacing w:val="-6"/>
          <w:sz w:val="24"/>
          <w:szCs w:val="24"/>
        </w:rPr>
        <w:t>投标人根据招标文件载明的项目实际情况，拟在中标后将中标项目的部分非主体、非关键性工作进行分包的，应当在投标文件中载明，见投标人须知前附表1.8。</w:t>
      </w:r>
    </w:p>
    <w:p w14:paraId="3DFC09C3">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spacing w:val="-6"/>
          <w:sz w:val="24"/>
          <w:szCs w:val="24"/>
        </w:rPr>
      </w:pPr>
      <w:r>
        <w:rPr>
          <w:rFonts w:hint="eastAsia" w:ascii="宋体" w:hAnsi="宋体"/>
          <w:spacing w:val="-6"/>
          <w:sz w:val="24"/>
          <w:szCs w:val="24"/>
        </w:rPr>
        <w:t>3.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p w14:paraId="3042AE7A">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w:t>
      </w:r>
      <w:r>
        <w:rPr>
          <w:rFonts w:hint="eastAsia" w:ascii="宋体" w:hAnsi="宋体"/>
          <w:b/>
          <w:spacing w:val="-6"/>
          <w:sz w:val="24"/>
          <w:szCs w:val="24"/>
          <w:lang w:val="en-US" w:eastAsia="zh-CN"/>
        </w:rPr>
        <w:t>九</w:t>
      </w:r>
      <w:r>
        <w:rPr>
          <w:rFonts w:hint="eastAsia" w:ascii="宋体" w:hAnsi="宋体"/>
          <w:b/>
          <w:spacing w:val="-6"/>
          <w:sz w:val="24"/>
          <w:szCs w:val="24"/>
        </w:rPr>
        <w:t>）特别说明</w:t>
      </w:r>
    </w:p>
    <w:p w14:paraId="635DA210">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Ansi="宋体"/>
          <w:spacing w:val="-6"/>
          <w:sz w:val="24"/>
          <w:szCs w:val="24"/>
        </w:rPr>
      </w:pPr>
      <w:r>
        <w:rPr>
          <w:rFonts w:hint="eastAsia" w:hAnsi="宋体"/>
          <w:spacing w:val="-6"/>
          <w:sz w:val="24"/>
          <w:szCs w:val="24"/>
        </w:rPr>
        <w:t>1</w:t>
      </w:r>
      <w:r>
        <w:rPr>
          <w:rFonts w:hAnsi="宋体"/>
          <w:spacing w:val="-6"/>
          <w:sz w:val="24"/>
          <w:szCs w:val="24"/>
        </w:rPr>
        <w:t>.投标人应仔细阅读招标文件的所有内容，按照招标文件的要求提交投标文件，并对所提供的全部资料的真实性承担法律责任。</w:t>
      </w:r>
    </w:p>
    <w:p w14:paraId="32AE8585">
      <w:pPr>
        <w:keepNext w:val="0"/>
        <w:keepLines w:val="0"/>
        <w:pageBreakBefore w:val="0"/>
        <w:widowControl w:val="0"/>
        <w:kinsoku/>
        <w:wordWrap/>
        <w:overflowPunct/>
        <w:topLinePunct w:val="0"/>
        <w:autoSpaceDE/>
        <w:autoSpaceDN/>
        <w:bidi w:val="0"/>
        <w:spacing w:line="360" w:lineRule="auto"/>
        <w:jc w:val="left"/>
        <w:textAlignment w:val="auto"/>
        <w:outlineLvl w:val="2"/>
        <w:rPr>
          <w:rFonts w:ascii="宋体" w:hAnsi="宋体"/>
          <w:b/>
          <w:spacing w:val="-6"/>
          <w:sz w:val="24"/>
          <w:szCs w:val="24"/>
        </w:rPr>
      </w:pPr>
      <w:r>
        <w:rPr>
          <w:rFonts w:hint="eastAsia" w:ascii="宋体" w:hAnsi="宋体"/>
          <w:b/>
          <w:spacing w:val="-6"/>
          <w:sz w:val="24"/>
          <w:szCs w:val="24"/>
        </w:rPr>
        <w:t>（</w:t>
      </w:r>
      <w:r>
        <w:rPr>
          <w:rFonts w:hint="eastAsia" w:ascii="宋体" w:hAnsi="宋体"/>
          <w:b/>
          <w:spacing w:val="-6"/>
          <w:sz w:val="24"/>
          <w:szCs w:val="24"/>
          <w:lang w:val="en-US" w:eastAsia="zh-CN"/>
        </w:rPr>
        <w:t>十</w:t>
      </w:r>
      <w:r>
        <w:rPr>
          <w:rFonts w:hint="eastAsia" w:ascii="宋体" w:hAnsi="宋体"/>
          <w:b/>
          <w:spacing w:val="-6"/>
          <w:sz w:val="24"/>
          <w:szCs w:val="24"/>
        </w:rPr>
        <w:t>）履行社会责任</w:t>
      </w:r>
    </w:p>
    <w:p w14:paraId="0A81513B">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Ansi="宋体"/>
          <w:spacing w:val="-6"/>
          <w:sz w:val="24"/>
          <w:szCs w:val="24"/>
        </w:rPr>
        <w:t xml:space="preserve"> </w:t>
      </w:r>
      <w:r>
        <w:rPr>
          <w:rFonts w:hint="eastAsia" w:hAnsi="宋体"/>
          <w:spacing w:val="-6"/>
          <w:sz w:val="24"/>
          <w:szCs w:val="24"/>
        </w:rPr>
        <w:t>鼓励投标人在参与本项目的过程中，在符合本招标文件全部要求的基础上，开展绿色设计、选择绿色材料、打造绿色制造工艺、开展绿色运输、做好废弃产品回收处理，实现产品全周期的绿色环保：</w:t>
      </w:r>
    </w:p>
    <w:p w14:paraId="32E3FC19">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1.选择具有国家确定的认证机构出具的、处于有效期内的节能产品、环境标志产品认证证书的产品。</w:t>
      </w:r>
    </w:p>
    <w:p w14:paraId="5EB6D23F">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2.修缮、装修类项目采购建材的，提供符合绿色建筑和绿色建材性能、指标的建材。</w:t>
      </w:r>
    </w:p>
    <w:p w14:paraId="2A9572E8">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3.提供秸秆环保板材等资源综合利用产品。</w:t>
      </w:r>
    </w:p>
    <w:p w14:paraId="46596E04">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4.使用绿色包装，提供绿色物流配送服务。</w:t>
      </w:r>
    </w:p>
    <w:p w14:paraId="5633A13A">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Ansi="宋体"/>
          <w:spacing w:val="-6"/>
          <w:sz w:val="24"/>
          <w:szCs w:val="24"/>
        </w:rPr>
      </w:pPr>
      <w:r>
        <w:rPr>
          <w:rFonts w:hint="eastAsia" w:hAnsi="宋体"/>
          <w:spacing w:val="-6"/>
          <w:sz w:val="24"/>
          <w:szCs w:val="24"/>
        </w:rPr>
        <w:t>5.使用新能源交通工具。</w:t>
      </w:r>
    </w:p>
    <w:p w14:paraId="48A02429">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（十</w:t>
      </w:r>
      <w:r>
        <w:rPr>
          <w:rFonts w:hint="eastAsia" w:ascii="宋体" w:hAnsi="宋体"/>
          <w:b/>
          <w:spacing w:val="-6"/>
          <w:sz w:val="24"/>
          <w:szCs w:val="24"/>
          <w:lang w:val="en-US" w:eastAsia="zh-CN"/>
        </w:rPr>
        <w:t>一</w:t>
      </w:r>
      <w:r>
        <w:rPr>
          <w:rFonts w:hint="eastAsia" w:ascii="宋体" w:hAnsi="宋体"/>
          <w:b/>
          <w:spacing w:val="-6"/>
          <w:sz w:val="24"/>
          <w:szCs w:val="24"/>
        </w:rPr>
        <w:t>）</w:t>
      </w:r>
      <w:bookmarkStart w:id="6" w:name="_Toc28079"/>
      <w:r>
        <w:rPr>
          <w:rFonts w:hint="eastAsia" w:ascii="宋体" w:hAnsi="宋体"/>
          <w:b/>
          <w:spacing w:val="-6"/>
          <w:sz w:val="24"/>
          <w:szCs w:val="24"/>
        </w:rPr>
        <w:t>知识产权</w:t>
      </w:r>
      <w:bookmarkEnd w:id="6"/>
    </w:p>
    <w:p w14:paraId="4FDC5EA7">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1．投标人应保证在本项目中使用的任何技术、产品和服务（包括部分使用），不会产生因第三方提出侵犯其专利权、商标权或其它知识产权而引起的法律和经济纠纷，如存在前述情形，由投标人承担所有相关责任，并且赔偿由此给招标人带来的损失。</w:t>
      </w:r>
    </w:p>
    <w:p w14:paraId="1472077B">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2.投标人将在项目实施过程中采用自有或者第三方知识成果的，使用该知识成果后，投标人需提供开发接口和开发手册等技术资料，并承诺提供无限期支持，招标人享有使用权（含招标人委托第三方在该项目后续开发的使用权）。</w:t>
      </w:r>
    </w:p>
    <w:p w14:paraId="546981C1">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Ansi="宋体"/>
          <w:spacing w:val="-6"/>
          <w:sz w:val="24"/>
          <w:szCs w:val="24"/>
        </w:rPr>
      </w:pPr>
      <w:r>
        <w:rPr>
          <w:rFonts w:hint="eastAsia" w:hAnsi="宋体"/>
          <w:spacing w:val="-6"/>
          <w:sz w:val="24"/>
          <w:szCs w:val="24"/>
        </w:rPr>
        <w:t>3.如使用投标人所不拥有的知识产权，投标人在投标报价中必须包括合法使用该知识产权的相关费用。</w:t>
      </w:r>
    </w:p>
    <w:p w14:paraId="3031E76A">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（十</w:t>
      </w:r>
      <w:r>
        <w:rPr>
          <w:rFonts w:hint="eastAsia" w:ascii="宋体" w:hAnsi="宋体"/>
          <w:b/>
          <w:spacing w:val="-6"/>
          <w:sz w:val="24"/>
          <w:szCs w:val="24"/>
          <w:lang w:val="en-US" w:eastAsia="zh-CN"/>
        </w:rPr>
        <w:t>二</w:t>
      </w:r>
      <w:r>
        <w:rPr>
          <w:rFonts w:hint="eastAsia" w:ascii="宋体" w:hAnsi="宋体"/>
          <w:b/>
          <w:spacing w:val="-6"/>
          <w:sz w:val="24"/>
          <w:szCs w:val="24"/>
        </w:rPr>
        <w:t>）保密事项及其他事项</w:t>
      </w:r>
    </w:p>
    <w:p w14:paraId="137C2301">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1.自收到本文件起，应对本招标文件中涉及的招标人内部信息（包括技术信息和经营信息）承担保密义务，投标人承诺不向任何第三方披露上述信息。该保密义务不因招标阶段的结束而解除。如投标人未履行保密义务，应承担因泄密给采购人造成的一切经济损失。</w:t>
      </w:r>
    </w:p>
    <w:p w14:paraId="4E661273">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2.在整个招标过程中，投标人或其任何有关联人员不得向评标委员会询问评审情况，不得进行旨在影响评审结果的活动，否则其投标将被废除，投标人及其关联人员所在公司将被列入招标人的投标人黑名单，招标人有权将该事件通报同业。</w:t>
      </w:r>
    </w:p>
    <w:p w14:paraId="7C35AD64">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3.招标人在任何情况下均不向未成交方解释未成交原因，不退还投标文件。</w:t>
      </w:r>
    </w:p>
    <w:p w14:paraId="5CEF28AB">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 xml:space="preserve">4.本次招标唯一工作联系邮箱详见招标公告联系邮箱，除此之外的其他书面（有公章的除外）和口头答复均不作为此次招标活动的有效答复。 </w:t>
      </w:r>
    </w:p>
    <w:p w14:paraId="516C9E16">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5.对未中标的投标人的所有投标文件，招标人一律不予退回，不承担责任和费用，也无作任何解释的义务。</w:t>
      </w:r>
    </w:p>
    <w:p w14:paraId="4D4F1D2C">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6.未经招标人书面同意，投标人不得将本招标文件的任何内容泄露给任何第三方。</w:t>
      </w:r>
    </w:p>
    <w:p w14:paraId="6CA0834B">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7.中标人在与招标人履约期间，不得提高其已提交的投标报价，对项目落实的承诺不可改变。</w:t>
      </w:r>
    </w:p>
    <w:p w14:paraId="1D501207">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8.中标人需积极配合招标人对其进行的风险评估和尽职调查，愿意接受和配合相关监管部门以及招标人或其指定的代理机构对其进行信息安全方面的检查和审核。</w:t>
      </w:r>
    </w:p>
    <w:p w14:paraId="6CAF69AA">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9.在中标结果公布后，若中标人不能按照投标文件及合同的各项要求执行，招标人有权终止招标并要求其承担相应的违约责任。</w:t>
      </w:r>
    </w:p>
    <w:p w14:paraId="07EC2734">
      <w:pPr>
        <w:pStyle w:val="14"/>
        <w:keepNext w:val="0"/>
        <w:keepLines w:val="0"/>
        <w:pageBreakBefore w:val="0"/>
        <w:widowControl w:val="0"/>
        <w:kinsoku/>
        <w:wordWrap/>
        <w:overflowPunct/>
        <w:topLinePunct w:val="0"/>
        <w:autoSpaceDE/>
        <w:autoSpaceDN/>
        <w:bidi w:val="0"/>
        <w:spacing w:line="360" w:lineRule="auto"/>
        <w:ind w:firstLine="0"/>
        <w:jc w:val="left"/>
        <w:textAlignment w:val="auto"/>
        <w:rPr>
          <w:rFonts w:hint="eastAsia"/>
          <w:b/>
          <w:sz w:val="24"/>
          <w:szCs w:val="24"/>
        </w:rPr>
      </w:pPr>
      <w:r>
        <w:rPr>
          <w:rFonts w:hint="eastAsia"/>
          <w:b/>
          <w:sz w:val="24"/>
          <w:szCs w:val="24"/>
        </w:rPr>
        <w:t>二、招标文件</w:t>
      </w:r>
    </w:p>
    <w:p w14:paraId="6E363362">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（一）招标文件的构成</w:t>
      </w:r>
    </w:p>
    <w:p w14:paraId="082CDEA2">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本招标文件由以下部分组成：</w:t>
      </w:r>
    </w:p>
    <w:p w14:paraId="72D85BAD">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1.招标公告</w:t>
      </w:r>
    </w:p>
    <w:p w14:paraId="2EFC855B">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2.投标人须知</w:t>
      </w:r>
    </w:p>
    <w:p w14:paraId="2D3FFB3B">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3.招标需求</w:t>
      </w:r>
    </w:p>
    <w:p w14:paraId="3D191CC6">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4.评标办法及评分标准</w:t>
      </w:r>
    </w:p>
    <w:p w14:paraId="275CD060">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5.拟签订合同的主要条款</w:t>
      </w:r>
    </w:p>
    <w:p w14:paraId="24371337">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6.投标文件格式</w:t>
      </w:r>
    </w:p>
    <w:p w14:paraId="32B75C36">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7.本项目招标文件的澄清、答复、修改、补充的内容</w:t>
      </w:r>
    </w:p>
    <w:p w14:paraId="0371772E">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（二）投标人的风险</w:t>
      </w:r>
    </w:p>
    <w:p w14:paraId="6A2B362E">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投标人没有按照招标文件要求提供全部资料，或者投标人没有对招标文件在各方面作出实质性响应是投标人的风险，并可能导致其投标被拒绝。</w:t>
      </w:r>
    </w:p>
    <w:p w14:paraId="46F59B5A">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（三）招标文件的澄清与修改</w:t>
      </w:r>
    </w:p>
    <w:p w14:paraId="3C0EFB01">
      <w:pPr>
        <w:keepNext w:val="0"/>
        <w:keepLines w:val="0"/>
        <w:pageBreakBefore w:val="0"/>
        <w:widowControl w:val="0"/>
        <w:kinsoku/>
        <w:wordWrap/>
        <w:overflowPunct/>
        <w:topLinePunct w:val="0"/>
        <w:autoSpaceDE/>
        <w:autoSpaceDN/>
        <w:bidi w:val="0"/>
        <w:spacing w:line="360" w:lineRule="auto"/>
        <w:ind w:firstLine="404"/>
        <w:textAlignment w:val="auto"/>
        <w:rPr>
          <w:rFonts w:ascii="宋体" w:hAnsi="宋体"/>
          <w:sz w:val="24"/>
          <w:szCs w:val="24"/>
        </w:rPr>
      </w:pPr>
      <w:r>
        <w:rPr>
          <w:rFonts w:hint="eastAsia" w:ascii="宋体" w:hAnsi="宋体"/>
          <w:sz w:val="24"/>
          <w:szCs w:val="24"/>
        </w:rPr>
        <w:t>1.投标人应仔细阅读和检查招标文件的全部内容。如发现缺页或附件不全，应及时向招标人提出，以便补齐。如有疑问，可以按投标人须知前附表规定的要求提疑，要求招标人或招标代理机构予以澄清。招标文件的澄清将按前附表规定的时间和方式发布，但不指明澄清问题的来源。</w:t>
      </w:r>
    </w:p>
    <w:p w14:paraId="425E9260">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2.招标人或者招标代理机构可以对已发出的招标文件进行必要的澄清或者修改，澄清或者修改的内容为招标文件的组成部分。</w:t>
      </w:r>
    </w:p>
    <w:p w14:paraId="633E6F0B">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澄清或者修改的内容可能影响投标文件编制的，招标人或者招标代理机构会在投标截止时间至少15日前，以书面形式通知所有获取招标文件的潜在投标人；不足15日的，招标人或者招标代理机构会顺延提交投标文件的截止时间。</w:t>
      </w:r>
    </w:p>
    <w:p w14:paraId="4630EBEE">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sz w:val="24"/>
          <w:szCs w:val="24"/>
        </w:rPr>
        <w:t>4.当招标文件的澄清或修改与招标文件相互矛盾时，以最后发布的文件为准。</w:t>
      </w:r>
    </w:p>
    <w:p w14:paraId="1DB5F5A4">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三、投标文件的编制</w:t>
      </w:r>
    </w:p>
    <w:p w14:paraId="54560934">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（一）投标文件的组成</w:t>
      </w:r>
    </w:p>
    <w:p w14:paraId="59E9AD03">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投标文件由报价文件、资格文件、商务技术文件三部分组成（格式详见招标文件第六章），样品及方案讲解演示见</w:t>
      </w:r>
      <w:r>
        <w:rPr>
          <w:rFonts w:hint="eastAsia" w:ascii="宋体" w:hAnsi="宋体"/>
          <w:spacing w:val="-6"/>
          <w:sz w:val="24"/>
          <w:szCs w:val="24"/>
        </w:rPr>
        <w:t>投标人须知前附表3.2、3.3。</w:t>
      </w:r>
    </w:p>
    <w:p w14:paraId="24521679">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1.报价文件</w:t>
      </w:r>
    </w:p>
    <w:p w14:paraId="36B09651">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1）开标一览表</w:t>
      </w:r>
    </w:p>
    <w:p w14:paraId="685AF40B">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2）报价明细表</w:t>
      </w:r>
    </w:p>
    <w:p w14:paraId="29D8102E">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▲2.资格文件</w:t>
      </w:r>
    </w:p>
    <w:p w14:paraId="704C4D57">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资格审查要求的资格证明材料(均需加盖公章)</w:t>
      </w:r>
      <w:r>
        <w:rPr>
          <w:rFonts w:hint="eastAsia"/>
          <w:sz w:val="24"/>
          <w:szCs w:val="24"/>
        </w:rPr>
        <w:t xml:space="preserve"> </w:t>
      </w:r>
    </w:p>
    <w:p w14:paraId="59BAFF98">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1）提供有效的法人或者其他组织的营业执照等证明文件及投标前三个月内任意一个月的缴纳税收和社保清单；(附件1)</w:t>
      </w:r>
    </w:p>
    <w:p w14:paraId="19F70A15">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2）根据招标公告中资格条件</w:t>
      </w:r>
      <w:r>
        <w:rPr>
          <w:rFonts w:hint="eastAsia" w:ascii="宋体" w:hAnsi="宋体"/>
          <w:sz w:val="24"/>
          <w:szCs w:val="24"/>
          <w:lang w:val="en-US" w:eastAsia="zh-CN"/>
        </w:rPr>
        <w:t>第2.1-2.6</w:t>
      </w:r>
      <w:r>
        <w:rPr>
          <w:rFonts w:hint="eastAsia" w:ascii="宋体" w:hAnsi="宋体"/>
          <w:sz w:val="24"/>
          <w:szCs w:val="24"/>
        </w:rPr>
        <w:t>条，提供相关网页截图等证明材料；（附件2）</w:t>
      </w:r>
    </w:p>
    <w:p w14:paraId="542015F8">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3）参加招标活动前三年内（2023年1月1日至今，新成立不满三年的公司自成立之日起算）在经营活动中没有重大违法记录；（附件3）</w:t>
      </w:r>
    </w:p>
    <w:p w14:paraId="0CA239DD">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4）投标人控股及管理关系申报表；（附件4）</w:t>
      </w:r>
    </w:p>
    <w:p w14:paraId="0ECC2E83">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lang w:val="en-US" w:eastAsia="zh-CN"/>
        </w:rPr>
        <w:t>5</w:t>
      </w:r>
      <w:r>
        <w:rPr>
          <w:rFonts w:hint="eastAsia" w:ascii="宋体" w:hAnsi="宋体"/>
          <w:sz w:val="24"/>
          <w:szCs w:val="24"/>
        </w:rPr>
        <w:t>）投标人诚信经营和诚信履约承诺书；（附件</w:t>
      </w:r>
      <w:r>
        <w:rPr>
          <w:rFonts w:hint="eastAsia" w:ascii="宋体" w:hAnsi="宋体"/>
          <w:sz w:val="24"/>
          <w:szCs w:val="24"/>
          <w:lang w:val="en-US" w:eastAsia="zh-CN"/>
        </w:rPr>
        <w:t>5</w:t>
      </w:r>
      <w:r>
        <w:rPr>
          <w:rFonts w:hint="eastAsia" w:ascii="宋体" w:hAnsi="宋体"/>
          <w:sz w:val="24"/>
          <w:szCs w:val="24"/>
        </w:rPr>
        <w:t>）</w:t>
      </w:r>
    </w:p>
    <w:p w14:paraId="261EB338">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lang w:val="en-US" w:eastAsia="zh-CN"/>
        </w:rPr>
        <w:t>6</w:t>
      </w:r>
      <w:r>
        <w:rPr>
          <w:rFonts w:hint="eastAsia" w:ascii="宋体" w:hAnsi="宋体"/>
          <w:sz w:val="24"/>
          <w:szCs w:val="24"/>
        </w:rPr>
        <w:t>）未违反法律法规规定的其他要求的承诺函；（附件</w:t>
      </w:r>
      <w:r>
        <w:rPr>
          <w:rFonts w:hint="eastAsia" w:ascii="宋体" w:hAnsi="宋体"/>
          <w:sz w:val="24"/>
          <w:szCs w:val="24"/>
          <w:lang w:val="en-US" w:eastAsia="zh-CN"/>
        </w:rPr>
        <w:t>6</w:t>
      </w:r>
      <w:r>
        <w:rPr>
          <w:rFonts w:hint="eastAsia" w:ascii="宋体" w:hAnsi="宋体"/>
          <w:sz w:val="24"/>
          <w:szCs w:val="24"/>
        </w:rPr>
        <w:t>）</w:t>
      </w:r>
    </w:p>
    <w:p w14:paraId="0CA2E982">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lang w:val="en-US" w:eastAsia="zh-CN"/>
        </w:rPr>
        <w:t>7</w:t>
      </w:r>
      <w:r>
        <w:rPr>
          <w:rFonts w:hint="eastAsia" w:ascii="宋体" w:hAnsi="宋体"/>
          <w:sz w:val="24"/>
          <w:szCs w:val="24"/>
        </w:rPr>
        <w:t>）招标公告特定资格要求应提交的资料，见投标人须知前附表3.1。（附件</w:t>
      </w:r>
      <w:r>
        <w:rPr>
          <w:rFonts w:hint="eastAsia" w:ascii="宋体" w:hAnsi="宋体"/>
          <w:sz w:val="24"/>
          <w:szCs w:val="24"/>
          <w:lang w:val="en-US" w:eastAsia="zh-CN"/>
        </w:rPr>
        <w:t>7</w:t>
      </w:r>
      <w:r>
        <w:rPr>
          <w:rFonts w:hint="eastAsia" w:ascii="宋体" w:hAnsi="宋体"/>
          <w:sz w:val="24"/>
          <w:szCs w:val="24"/>
        </w:rPr>
        <w:t>）</w:t>
      </w:r>
    </w:p>
    <w:p w14:paraId="41C48FFD">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3.商务技术文件</w:t>
      </w:r>
    </w:p>
    <w:p w14:paraId="1AF54F3C">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A.商务文件</w:t>
      </w:r>
    </w:p>
    <w:p w14:paraId="73C7934D">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1）投标函</w:t>
      </w:r>
    </w:p>
    <w:p w14:paraId="2683A2FB">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2）承诺函</w:t>
      </w:r>
    </w:p>
    <w:p w14:paraId="5433DD33">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3）法定代表人资格证明书、法定代表人授权委托书</w:t>
      </w:r>
    </w:p>
    <w:p w14:paraId="7649C7A7">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4）投标授权代表的社保缴纳证明</w:t>
      </w:r>
    </w:p>
    <w:p w14:paraId="4817CCD0">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5）投标人情况简介</w:t>
      </w:r>
    </w:p>
    <w:p w14:paraId="1C65B96E">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6）招标需求偏离表</w:t>
      </w:r>
    </w:p>
    <w:p w14:paraId="7D5184F2">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7）投标保证金缴纳凭证（如有，见</w:t>
      </w:r>
      <w:r>
        <w:rPr>
          <w:rFonts w:hint="eastAsia" w:ascii="宋体" w:hAnsi="宋体"/>
          <w:spacing w:val="-6"/>
          <w:sz w:val="24"/>
          <w:szCs w:val="24"/>
        </w:rPr>
        <w:t>投标人须知前附表3.9。</w:t>
      </w:r>
      <w:r>
        <w:rPr>
          <w:rFonts w:hint="eastAsia" w:ascii="宋体" w:hAnsi="宋体"/>
          <w:sz w:val="24"/>
          <w:szCs w:val="24"/>
        </w:rPr>
        <w:t>）</w:t>
      </w:r>
    </w:p>
    <w:p w14:paraId="24771FBA">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8）投标人需要说明的其他文件和材料</w:t>
      </w:r>
    </w:p>
    <w:p w14:paraId="5BC5DCD1">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B.技术文件</w:t>
      </w:r>
    </w:p>
    <w:p w14:paraId="0B249252">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商务</w:t>
      </w:r>
      <w:r>
        <w:rPr>
          <w:rFonts w:hint="eastAsia" w:ascii="宋体" w:hAnsi="宋体"/>
          <w:sz w:val="24"/>
          <w:szCs w:val="24"/>
        </w:rPr>
        <w:t>技术方案 （详见第六章投标文件格式）</w:t>
      </w:r>
    </w:p>
    <w:p w14:paraId="7F5058E6">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（二）投标文件的编制与签署</w:t>
      </w:r>
    </w:p>
    <w:p w14:paraId="31DA24F6">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cs="宋体"/>
          <w:spacing w:val="-6"/>
          <w:sz w:val="24"/>
          <w:szCs w:val="24"/>
        </w:rPr>
      </w:pPr>
      <w:r>
        <w:rPr>
          <w:rFonts w:hint="eastAsia" w:ascii="宋体" w:hAnsi="宋体" w:cs="宋体"/>
          <w:spacing w:val="-6"/>
          <w:sz w:val="24"/>
          <w:szCs w:val="24"/>
        </w:rPr>
        <w:t>1.投标人应按本招标文件规定的格式和顺序编制，投标文件内容不完整、编排混乱导致投标文件被误读、漏读或者查找不到相关内容的，是投标人的责任。</w:t>
      </w:r>
    </w:p>
    <w:p w14:paraId="347A4C56">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cs="宋体"/>
          <w:spacing w:val="-6"/>
          <w:sz w:val="24"/>
          <w:szCs w:val="24"/>
        </w:rPr>
      </w:pPr>
      <w:r>
        <w:rPr>
          <w:rFonts w:hint="eastAsia" w:ascii="宋体" w:hAnsi="宋体" w:cs="宋体"/>
          <w:spacing w:val="-6"/>
          <w:sz w:val="24"/>
          <w:szCs w:val="24"/>
        </w:rPr>
        <w:t>2.投标文件须由投标人在规定位置盖章并由投标人代表签署，投标人应写全称。</w:t>
      </w:r>
    </w:p>
    <w:p w14:paraId="0DCBDDF5">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ascii="宋体" w:hAnsi="宋体" w:cs="宋体"/>
          <w:spacing w:val="-6"/>
          <w:sz w:val="24"/>
          <w:szCs w:val="24"/>
        </w:rPr>
      </w:pPr>
      <w:r>
        <w:rPr>
          <w:rFonts w:hint="eastAsia" w:ascii="宋体" w:hAnsi="宋体" w:cs="宋体"/>
          <w:spacing w:val="-6"/>
          <w:sz w:val="24"/>
          <w:szCs w:val="24"/>
        </w:rPr>
        <w:t>3.投标文件不得涂改，若有修改错漏处，须由投标人代表签字并加盖公章。投标文件因字迹潦草或表达不清所引起的后果由投标人负责。</w:t>
      </w:r>
    </w:p>
    <w:p w14:paraId="2747BD90">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sz w:val="24"/>
          <w:szCs w:val="24"/>
        </w:rPr>
      </w:pPr>
      <w:r>
        <w:rPr>
          <w:rFonts w:hint="eastAsia" w:ascii="宋体" w:hAnsi="宋体" w:cs="宋体"/>
          <w:spacing w:val="-6"/>
          <w:sz w:val="24"/>
          <w:szCs w:val="24"/>
        </w:rPr>
        <w:t>4.投标文件签字或盖章要求见投标人须知前附表3.10。</w:t>
      </w:r>
    </w:p>
    <w:p w14:paraId="364DD169">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（三）投标文件的递交、修改和撤回</w:t>
      </w:r>
    </w:p>
    <w:p w14:paraId="75A2B858">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cs="宋体"/>
          <w:spacing w:val="-6"/>
          <w:sz w:val="24"/>
          <w:szCs w:val="24"/>
        </w:rPr>
      </w:pPr>
      <w:r>
        <w:rPr>
          <w:rFonts w:hint="eastAsia" w:ascii="宋体" w:hAnsi="宋体" w:cs="宋体"/>
          <w:spacing w:val="-6"/>
          <w:sz w:val="24"/>
          <w:szCs w:val="24"/>
        </w:rPr>
        <w:t>1.投标人应当在投标截止时间前完成投标文件的递交，并可以补充、修改或者撤回投标文件。补充或者修改投标文件的，应当先行撤回原文件，补充、修改后重新递交。投标截止时间前未完成递交的，视为撤回投标文件。投标截止时间后递交的投标文件，招标人或招标代理机构将拒收。</w:t>
      </w:r>
    </w:p>
    <w:p w14:paraId="1F85265B">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ascii="宋体" w:hAnsi="宋体" w:cs="宋体"/>
          <w:spacing w:val="-6"/>
          <w:sz w:val="24"/>
          <w:szCs w:val="24"/>
        </w:rPr>
      </w:pPr>
      <w:r>
        <w:rPr>
          <w:rFonts w:hint="eastAsia" w:ascii="宋体" w:hAnsi="宋体" w:cs="宋体"/>
          <w:spacing w:val="-6"/>
          <w:sz w:val="24"/>
          <w:szCs w:val="24"/>
        </w:rPr>
        <w:t>2.招标人、代理机构可以视情况延长投标文件递交的截止时间。在上述情况下，代理机构与投标人以前在投标截止期方面的全部权利、责任和义务，将适用于延长至新的投标截止期。</w:t>
      </w:r>
    </w:p>
    <w:p w14:paraId="52A83892">
      <w:pPr>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ascii="宋体" w:hAnsi="宋体" w:cs="宋体"/>
          <w:spacing w:val="-6"/>
          <w:sz w:val="24"/>
          <w:szCs w:val="24"/>
        </w:rPr>
      </w:pPr>
      <w:r>
        <w:rPr>
          <w:rFonts w:hint="eastAsia" w:ascii="宋体" w:hAnsi="宋体" w:cs="宋体"/>
          <w:spacing w:val="-6"/>
          <w:sz w:val="24"/>
          <w:szCs w:val="24"/>
        </w:rPr>
        <w:t>3. 投标文件份数及递交要求见投标人须知前附表3.11。</w:t>
      </w:r>
    </w:p>
    <w:p w14:paraId="2B660CE4">
      <w:pPr>
        <w:pStyle w:val="23"/>
        <w:keepNext w:val="0"/>
        <w:keepLines w:val="0"/>
        <w:pageBreakBefore w:val="0"/>
        <w:widowControl w:val="0"/>
        <w:kinsoku/>
        <w:wordWrap/>
        <w:overflowPunct/>
        <w:topLinePunct w:val="0"/>
        <w:autoSpaceDE/>
        <w:autoSpaceDN/>
        <w:bidi w:val="0"/>
        <w:spacing w:before="0" w:beforeLines="0" w:after="0" w:afterLines="0" w:line="360" w:lineRule="auto"/>
        <w:ind w:firstLine="482" w:firstLineChars="200"/>
        <w:jc w:val="both"/>
        <w:textAlignment w:val="auto"/>
        <w:rPr>
          <w:sz w:val="24"/>
          <w:szCs w:val="24"/>
        </w:rPr>
      </w:pPr>
      <w:r>
        <w:rPr>
          <w:rFonts w:hint="eastAsia"/>
          <w:sz w:val="24"/>
          <w:szCs w:val="24"/>
        </w:rPr>
        <w:t>（四）投标文件的拒收情形</w:t>
      </w:r>
    </w:p>
    <w:p w14:paraId="2F874312">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sz w:val="24"/>
          <w:szCs w:val="24"/>
        </w:rPr>
      </w:pPr>
      <w:r>
        <w:rPr>
          <w:rFonts w:hint="eastAsia" w:ascii="宋体" w:hAnsi="宋体" w:cs="宋体"/>
          <w:spacing w:val="-6"/>
          <w:sz w:val="24"/>
          <w:szCs w:val="24"/>
        </w:rPr>
        <w:t>1.见投标人须知前附表3.14。</w:t>
      </w:r>
    </w:p>
    <w:p w14:paraId="478A6AE6">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（五）投标文件的语言及计量</w:t>
      </w:r>
    </w:p>
    <w:p w14:paraId="030023B8">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投标文件以及投标人与招标人或招标代理机构就有关投标事宜的所有来往函电，均应以中文汉语书写。除签名、盖章、专用名称等特殊情形外，以中文汉语以外的文字表述的投标文件视同未提供（有中文汉语说明的除外）。</w:t>
      </w:r>
    </w:p>
    <w:p w14:paraId="69ECFF3E">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（六）投标报价</w:t>
      </w:r>
    </w:p>
    <w:p w14:paraId="206978DE">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1.本次投标采用人民币报价.</w:t>
      </w:r>
    </w:p>
    <w:p w14:paraId="0AE2CF4C">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2.投标报价是指一次性报出不得更改的价格，投标报价应按招标文件中相关附表格式填写。</w:t>
      </w:r>
    </w:p>
    <w:p w14:paraId="1B6F447E">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3.投标文件只允许有一个报价，有选择的报价将不予接受。</w:t>
      </w:r>
    </w:p>
    <w:p w14:paraId="2D4507FF">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（七）投标有效期</w:t>
      </w:r>
    </w:p>
    <w:p w14:paraId="036E1A63">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▲1.从提交投标文件的截止之日起至少90天。</w:t>
      </w:r>
    </w:p>
    <w:p w14:paraId="1659C0AF">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2.在原投标有效期满之前，如果出现特殊情况，招标人或招标代理机构以书面形式通知投标人延长投标有效期。</w:t>
      </w:r>
    </w:p>
    <w:p w14:paraId="60F2F384">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（八）投标保证金</w:t>
      </w:r>
    </w:p>
    <w:p w14:paraId="0DDB89C1">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1.投标人应提供前附表中的投标保证金缴纳凭证，作为投标文件的一个组成部分。</w:t>
      </w:r>
    </w:p>
    <w:p w14:paraId="193498AE">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2.投标保证金可缴纳方式，见</w:t>
      </w:r>
      <w:r>
        <w:rPr>
          <w:rFonts w:hint="eastAsia" w:ascii="宋体" w:hAnsi="宋体"/>
          <w:spacing w:val="-6"/>
          <w:sz w:val="24"/>
          <w:szCs w:val="24"/>
        </w:rPr>
        <w:t>投标人须知前附表3.9</w:t>
      </w:r>
      <w:r>
        <w:rPr>
          <w:rFonts w:hint="eastAsia" w:ascii="宋体" w:hAnsi="宋体"/>
          <w:sz w:val="24"/>
          <w:szCs w:val="24"/>
        </w:rPr>
        <w:t>。</w:t>
      </w:r>
    </w:p>
    <w:p w14:paraId="69167EA5">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3.代理机构将拒绝未能按规定时间和数额提交投标保证金的投标人。</w:t>
      </w:r>
    </w:p>
    <w:p w14:paraId="713B8130">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4.中标人的投标保证金，自合同签订后五个工作日内退还（因中标人自身原因导致无法及时退还的除外）。</w:t>
      </w:r>
    </w:p>
    <w:p w14:paraId="36106A0D">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5.未中标人的投标保证金，自中标通知书发出后五个工作日内退还（因投标人自身原因导致无法及时退还的除外）。</w:t>
      </w:r>
    </w:p>
    <w:p w14:paraId="7645A387">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6.如投标人有下列情况，投标保证金将不予退还：</w:t>
      </w:r>
    </w:p>
    <w:p w14:paraId="4454CE48">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1）投标人在投标截止时间后到招标文件规定的投标有效期终止之前，撤销投标文件的；</w:t>
      </w:r>
    </w:p>
    <w:p w14:paraId="52D5DC8F">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2）投标人在投标期间有弄虚作假、串标、哄抬标价等违规违法行为；</w:t>
      </w:r>
    </w:p>
    <w:p w14:paraId="003F8ADD">
      <w:pPr>
        <w:keepNext w:val="0"/>
        <w:keepLines w:val="0"/>
        <w:pageBreakBefore w:val="0"/>
        <w:widowControl w:val="0"/>
        <w:kinsoku/>
        <w:wordWrap/>
        <w:overflowPunct/>
        <w:topLinePunct w:val="0"/>
        <w:autoSpaceDE/>
        <w:autoSpaceDN/>
        <w:bidi w:val="0"/>
        <w:spacing w:line="360" w:lineRule="auto"/>
        <w:ind w:firstLine="404"/>
        <w:textAlignment w:val="auto"/>
        <w:rPr>
          <w:rFonts w:ascii="宋体" w:hAnsi="宋体"/>
          <w:sz w:val="24"/>
          <w:szCs w:val="24"/>
        </w:rPr>
      </w:pPr>
      <w:r>
        <w:rPr>
          <w:rFonts w:hint="eastAsia" w:ascii="宋体" w:hAnsi="宋体"/>
          <w:sz w:val="24"/>
          <w:szCs w:val="24"/>
        </w:rPr>
        <w:t>3）投标人未按规定签订合同或转让中标，在签订合同时向招标人提出附加条件，或者不按照招标文件要求提交履约担保。</w:t>
      </w:r>
    </w:p>
    <w:p w14:paraId="0C6CC12F">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4）法律、法规规定的其他情形。</w:t>
      </w:r>
    </w:p>
    <w:p w14:paraId="569F7296">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注：本招标文件的“投标保证金不予退还”是指：</w:t>
      </w:r>
    </w:p>
    <w:p w14:paraId="7FE7D011">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（1）以现金转账形式，转账现金不予退还。</w:t>
      </w:r>
    </w:p>
    <w:p w14:paraId="1ED58B6C">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（2）以银行保函形式，招标人作为受益人向银行提起索赔。</w:t>
      </w:r>
    </w:p>
    <w:p w14:paraId="23A781B8">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（3）以保证保险形式，招标人作为被保险人（受益人）向保险人提起索赔。</w:t>
      </w:r>
    </w:p>
    <w:p w14:paraId="16E172E5">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（4）以担保公司担保形式，招标人作为受益人向担保人提起索赔。</w:t>
      </w:r>
    </w:p>
    <w:p w14:paraId="3EFC1BCF">
      <w:pPr>
        <w:pStyle w:val="23"/>
        <w:keepNext w:val="0"/>
        <w:keepLines w:val="0"/>
        <w:pageBreakBefore w:val="0"/>
        <w:widowControl w:val="0"/>
        <w:kinsoku/>
        <w:wordWrap/>
        <w:overflowPunct/>
        <w:topLinePunct w:val="0"/>
        <w:autoSpaceDE/>
        <w:autoSpaceDN/>
        <w:bidi w:val="0"/>
        <w:spacing w:before="0" w:beforeLines="0" w:after="0" w:afterLines="0" w:line="360" w:lineRule="auto"/>
        <w:textAlignment w:val="auto"/>
        <w:rPr>
          <w:rFonts w:hint="eastAsia"/>
          <w:sz w:val="24"/>
          <w:szCs w:val="24"/>
        </w:rPr>
      </w:pPr>
    </w:p>
    <w:p w14:paraId="195EFE92">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四、开  标</w:t>
      </w:r>
    </w:p>
    <w:p w14:paraId="0E89056D">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（一）开标准备</w:t>
      </w:r>
    </w:p>
    <w:p w14:paraId="3B2D21F2">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1.制订开标、评审工作的组织方案，落实工作场地、设施。</w:t>
      </w:r>
    </w:p>
    <w:p w14:paraId="2FC3B323">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2.通知或邀请相关单位和人员出席开标、评审活动。</w:t>
      </w:r>
    </w:p>
    <w:p w14:paraId="3918CB92">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3.准备相关文件资料，如专家抽取有关凭证、项目书面说明、招标文件、补充文件及质疑答复情况、现场工作所需的相关登记表单、评审工作底稿等。</w:t>
      </w:r>
    </w:p>
    <w:p w14:paraId="702F8F0A">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4.其他应准备的事项。</w:t>
      </w:r>
    </w:p>
    <w:p w14:paraId="1A8670F6">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b/>
          <w:sz w:val="24"/>
          <w:szCs w:val="24"/>
        </w:rPr>
      </w:pPr>
      <w:r>
        <w:rPr>
          <w:rFonts w:hint="eastAsia" w:ascii="宋体" w:hAnsi="宋体"/>
          <w:b/>
          <w:sz w:val="24"/>
          <w:szCs w:val="24"/>
        </w:rPr>
        <w:t>（二）开标程序</w:t>
      </w:r>
    </w:p>
    <w:p w14:paraId="1536A944">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cs="宋体"/>
          <w:sz w:val="24"/>
          <w:szCs w:val="24"/>
        </w:rPr>
      </w:pPr>
      <w:r>
        <w:rPr>
          <w:rFonts w:hint="eastAsia" w:hAnsi="宋体" w:cs="宋体"/>
          <w:spacing w:val="-6"/>
          <w:sz w:val="24"/>
          <w:szCs w:val="24"/>
        </w:rPr>
        <w:t>1.代理机构按照招标文件规定的时间、地点和程序组织开标，具体按</w:t>
      </w:r>
      <w:r>
        <w:rPr>
          <w:rFonts w:hint="eastAsia" w:hAnsi="宋体"/>
          <w:sz w:val="24"/>
          <w:szCs w:val="24"/>
        </w:rPr>
        <w:t>见</w:t>
      </w:r>
      <w:r>
        <w:rPr>
          <w:rFonts w:hint="eastAsia" w:hAnsi="宋体"/>
          <w:spacing w:val="-6"/>
          <w:sz w:val="24"/>
          <w:szCs w:val="24"/>
        </w:rPr>
        <w:t>投标人须知前附表4.2</w:t>
      </w:r>
      <w:r>
        <w:rPr>
          <w:rFonts w:hint="eastAsia" w:hAnsi="宋体" w:cs="宋体"/>
          <w:spacing w:val="-6"/>
          <w:sz w:val="24"/>
          <w:szCs w:val="24"/>
        </w:rPr>
        <w:t>程序进行：</w:t>
      </w:r>
    </w:p>
    <w:p w14:paraId="6461B88C">
      <w:pPr>
        <w:pStyle w:val="14"/>
        <w:keepNext w:val="0"/>
        <w:keepLines w:val="0"/>
        <w:pageBreakBefore w:val="0"/>
        <w:widowControl w:val="0"/>
        <w:kinsoku/>
        <w:wordWrap/>
        <w:overflowPunct/>
        <w:topLinePunct w:val="0"/>
        <w:autoSpaceDE/>
        <w:autoSpaceDN/>
        <w:bidi w:val="0"/>
        <w:spacing w:line="360" w:lineRule="auto"/>
        <w:ind w:firstLine="464" w:firstLineChars="200"/>
        <w:textAlignment w:val="auto"/>
        <w:rPr>
          <w:rFonts w:hint="eastAsia" w:hAnsi="宋体" w:cs="宋体"/>
          <w:sz w:val="24"/>
          <w:szCs w:val="24"/>
        </w:rPr>
      </w:pPr>
      <w:r>
        <w:rPr>
          <w:rFonts w:hint="eastAsia" w:hAnsi="宋体" w:cs="宋体"/>
          <w:sz w:val="24"/>
          <w:szCs w:val="24"/>
        </w:rPr>
        <w:t>2.代理机构按照招标文件规定的时间组织开标，所有投标人均应当准时参加。投标人不足3家的，不得开标。</w:t>
      </w:r>
    </w:p>
    <w:p w14:paraId="4607151D">
      <w:pPr>
        <w:pStyle w:val="14"/>
        <w:keepNext w:val="0"/>
        <w:keepLines w:val="0"/>
        <w:pageBreakBefore w:val="0"/>
        <w:widowControl w:val="0"/>
        <w:kinsoku/>
        <w:wordWrap/>
        <w:overflowPunct/>
        <w:topLinePunct w:val="0"/>
        <w:autoSpaceDE/>
        <w:autoSpaceDN/>
        <w:bidi w:val="0"/>
        <w:spacing w:line="360" w:lineRule="auto"/>
        <w:ind w:firstLine="464" w:firstLineChars="200"/>
        <w:textAlignment w:val="auto"/>
        <w:rPr>
          <w:rFonts w:hAnsi="宋体" w:cs="宋体"/>
          <w:sz w:val="24"/>
          <w:szCs w:val="24"/>
        </w:rPr>
      </w:pPr>
      <w:r>
        <w:rPr>
          <w:rFonts w:hint="eastAsia" w:hAnsi="宋体" w:cs="宋体"/>
          <w:sz w:val="24"/>
          <w:szCs w:val="24"/>
        </w:rPr>
        <w:t>3.招标人或招标代理机构按本招标文件规定的时间、地点和程序组织开标，各投标人均应当准时参加；投标人对开标有异议的，应当在开标时提出，招标人当场作出答复，并制作记录；投标人未参加开标程序的，不得对采购相关人员、开标过程和开标结果提出异议。</w:t>
      </w:r>
    </w:p>
    <w:p w14:paraId="79738761">
      <w:pPr>
        <w:pStyle w:val="23"/>
        <w:keepNext w:val="0"/>
        <w:keepLines w:val="0"/>
        <w:pageBreakBefore w:val="0"/>
        <w:widowControl w:val="0"/>
        <w:kinsoku/>
        <w:wordWrap/>
        <w:overflowPunct/>
        <w:topLinePunct w:val="0"/>
        <w:autoSpaceDE/>
        <w:autoSpaceDN/>
        <w:bidi w:val="0"/>
        <w:spacing w:before="0" w:beforeLines="0" w:after="0" w:afterLines="0" w:line="360" w:lineRule="auto"/>
        <w:textAlignment w:val="auto"/>
        <w:rPr>
          <w:rFonts w:hint="eastAsia"/>
          <w:sz w:val="24"/>
          <w:szCs w:val="24"/>
        </w:rPr>
      </w:pPr>
    </w:p>
    <w:p w14:paraId="315EB605">
      <w:pPr>
        <w:pStyle w:val="14"/>
        <w:keepNext w:val="0"/>
        <w:keepLines w:val="0"/>
        <w:pageBreakBefore w:val="0"/>
        <w:widowControl w:val="0"/>
        <w:kinsoku/>
        <w:wordWrap/>
        <w:overflowPunct/>
        <w:topLinePunct w:val="0"/>
        <w:autoSpaceDE/>
        <w:autoSpaceDN/>
        <w:bidi w:val="0"/>
        <w:spacing w:line="360" w:lineRule="auto"/>
        <w:ind w:firstLine="458" w:firstLineChars="200"/>
        <w:textAlignment w:val="auto"/>
        <w:rPr>
          <w:rFonts w:hint="eastAsia" w:hAnsi="宋体"/>
          <w:b/>
          <w:spacing w:val="-6"/>
          <w:sz w:val="24"/>
          <w:szCs w:val="24"/>
        </w:rPr>
      </w:pPr>
      <w:r>
        <w:rPr>
          <w:rFonts w:hint="eastAsia" w:hAnsi="宋体"/>
          <w:b/>
          <w:spacing w:val="-6"/>
          <w:sz w:val="24"/>
          <w:szCs w:val="24"/>
        </w:rPr>
        <w:t>五、评  标</w:t>
      </w:r>
    </w:p>
    <w:p w14:paraId="397B46AA">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r>
        <w:rPr>
          <w:rFonts w:hint="eastAsia" w:hAnsi="宋体"/>
          <w:b/>
          <w:spacing w:val="-6"/>
          <w:sz w:val="24"/>
          <w:szCs w:val="24"/>
        </w:rPr>
        <w:t>（一）组建评标委员会</w:t>
      </w:r>
    </w:p>
    <w:p w14:paraId="2951F957">
      <w:pPr>
        <w:pStyle w:val="17"/>
        <w:keepNext w:val="0"/>
        <w:keepLines w:val="0"/>
        <w:pageBreakBefore w:val="0"/>
        <w:widowControl w:val="0"/>
        <w:kinsoku/>
        <w:wordWrap/>
        <w:overflowPunct/>
        <w:topLinePunct w:val="0"/>
        <w:autoSpaceDE/>
        <w:autoSpaceDN/>
        <w:bidi w:val="0"/>
        <w:spacing w:before="0" w:beforeLines="0" w:after="0" w:afterLines="0" w:line="360" w:lineRule="auto"/>
        <w:ind w:firstLine="456" w:firstLineChars="200"/>
        <w:textAlignment w:val="auto"/>
        <w:rPr>
          <w:rFonts w:hAnsi="宋体"/>
          <w:spacing w:val="-6"/>
          <w:sz w:val="24"/>
          <w:szCs w:val="24"/>
        </w:rPr>
      </w:pPr>
      <w:r>
        <w:rPr>
          <w:rFonts w:hAnsi="宋体"/>
          <w:spacing w:val="-6"/>
          <w:sz w:val="24"/>
          <w:szCs w:val="24"/>
        </w:rPr>
        <w:t>本项目评标委员会</w:t>
      </w:r>
      <w:r>
        <w:rPr>
          <w:rFonts w:hint="eastAsia" w:hAnsi="宋体"/>
          <w:spacing w:val="-6"/>
          <w:sz w:val="24"/>
          <w:szCs w:val="24"/>
        </w:rPr>
        <w:t>依据相关法律法规组建，成员人数为5人及以上单数</w:t>
      </w:r>
      <w:r>
        <w:rPr>
          <w:rFonts w:hAnsi="宋体"/>
          <w:spacing w:val="-6"/>
          <w:sz w:val="24"/>
          <w:szCs w:val="24"/>
        </w:rPr>
        <w:t>。</w:t>
      </w:r>
    </w:p>
    <w:p w14:paraId="409A5E93">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r>
        <w:rPr>
          <w:rFonts w:hint="eastAsia" w:hAnsi="宋体"/>
          <w:b/>
          <w:spacing w:val="-6"/>
          <w:sz w:val="24"/>
          <w:szCs w:val="24"/>
        </w:rPr>
        <w:t>（二）评标的方式</w:t>
      </w:r>
    </w:p>
    <w:p w14:paraId="2CF521D5">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Ansi="宋体"/>
          <w:spacing w:val="-6"/>
          <w:sz w:val="24"/>
          <w:szCs w:val="24"/>
        </w:rPr>
        <w:t>本项目采用不公开方式评标，评标的依据为招标文件和投标文件。</w:t>
      </w:r>
    </w:p>
    <w:p w14:paraId="7E579E23">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r>
        <w:rPr>
          <w:rFonts w:hint="eastAsia" w:hAnsi="宋体"/>
          <w:b/>
          <w:spacing w:val="-6"/>
          <w:sz w:val="24"/>
          <w:szCs w:val="24"/>
        </w:rPr>
        <w:t>（三）评标办法</w:t>
      </w:r>
    </w:p>
    <w:p w14:paraId="2B73A0F8">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ascii="宋体" w:hAnsi="宋体"/>
          <w:spacing w:val="-6"/>
          <w:sz w:val="24"/>
          <w:szCs w:val="24"/>
        </w:rPr>
      </w:pPr>
      <w:r>
        <w:rPr>
          <w:rFonts w:hint="eastAsia" w:ascii="宋体" w:hAnsi="宋体"/>
          <w:spacing w:val="-6"/>
          <w:sz w:val="24"/>
          <w:szCs w:val="24"/>
        </w:rPr>
        <w:t>1.评标办法。见投标人须知前附表5.2，具体评标内容及评分标准等详见《第四章：评标办法及评分标准》,</w:t>
      </w:r>
      <w:r>
        <w:rPr>
          <w:rFonts w:hint="eastAsia"/>
          <w:sz w:val="24"/>
          <w:szCs w:val="24"/>
        </w:rPr>
        <w:t xml:space="preserve"> </w:t>
      </w:r>
      <w:r>
        <w:rPr>
          <w:rFonts w:hint="eastAsia" w:ascii="宋体" w:hAnsi="宋体"/>
          <w:spacing w:val="-6"/>
          <w:sz w:val="24"/>
          <w:szCs w:val="24"/>
        </w:rPr>
        <w:t>“评标办法及评分标准”没有规定的方法、评审因素和标准，不作为评标依据。</w:t>
      </w:r>
    </w:p>
    <w:p w14:paraId="71AFCA8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u w:val="single"/>
        </w:rPr>
        <w:t>推荐中标候选人数量</w:t>
      </w:r>
      <w:r>
        <w:rPr>
          <w:rFonts w:hint="eastAsia" w:ascii="宋体" w:hAnsi="宋体"/>
          <w:spacing w:val="-6"/>
          <w:sz w:val="24"/>
          <w:szCs w:val="24"/>
        </w:rPr>
        <w:t>见投标人须知前附表5.3。</w:t>
      </w:r>
    </w:p>
    <w:p w14:paraId="6FD6D2EF">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Ansi="宋体"/>
          <w:b/>
          <w:spacing w:val="-6"/>
          <w:sz w:val="24"/>
          <w:szCs w:val="24"/>
        </w:rPr>
      </w:pPr>
      <w:r>
        <w:rPr>
          <w:rFonts w:hint="eastAsia" w:hAnsi="宋体"/>
          <w:b/>
          <w:spacing w:val="-6"/>
          <w:sz w:val="24"/>
          <w:szCs w:val="24"/>
        </w:rPr>
        <w:t>（四）中标候选人</w:t>
      </w:r>
    </w:p>
    <w:p w14:paraId="477881D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中标候选人公示媒介及期限</w:t>
      </w:r>
      <w:r>
        <w:rPr>
          <w:rFonts w:hint="eastAsia" w:ascii="宋体" w:hAnsi="宋体"/>
          <w:spacing w:val="-6"/>
          <w:sz w:val="24"/>
          <w:szCs w:val="24"/>
        </w:rPr>
        <w:t>见投标人须知前附表5.6。</w:t>
      </w:r>
    </w:p>
    <w:p w14:paraId="2894024D">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Ansi="宋体"/>
          <w:b/>
          <w:spacing w:val="-6"/>
          <w:sz w:val="24"/>
          <w:szCs w:val="24"/>
        </w:rPr>
      </w:pPr>
      <w:r>
        <w:rPr>
          <w:rFonts w:hint="eastAsia" w:hAnsi="宋体"/>
          <w:b/>
          <w:spacing w:val="-6"/>
          <w:sz w:val="24"/>
          <w:szCs w:val="24"/>
        </w:rPr>
        <w:t>（五）确定中标人</w:t>
      </w:r>
    </w:p>
    <w:p w14:paraId="7FE5C7B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确定中标人方式</w:t>
      </w:r>
      <w:r>
        <w:rPr>
          <w:rFonts w:hint="eastAsia" w:ascii="宋体" w:hAnsi="宋体"/>
          <w:spacing w:val="-6"/>
          <w:sz w:val="24"/>
          <w:szCs w:val="24"/>
        </w:rPr>
        <w:t>见投标人须知前附表5.4</w:t>
      </w:r>
    </w:p>
    <w:p w14:paraId="58172B20">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r>
        <w:rPr>
          <w:rFonts w:hint="eastAsia" w:hAnsi="宋体"/>
          <w:b/>
          <w:spacing w:val="-6"/>
          <w:sz w:val="24"/>
          <w:szCs w:val="24"/>
        </w:rPr>
        <w:t>（六）评标有关其他事项</w:t>
      </w:r>
    </w:p>
    <w:p w14:paraId="7BA302B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ascii="宋体" w:hAnsi="宋体" w:cs="宋体"/>
          <w:color w:val="000000"/>
          <w:sz w:val="24"/>
          <w:szCs w:val="24"/>
        </w:rPr>
      </w:pPr>
      <w:r>
        <w:rPr>
          <w:rFonts w:hint="eastAsia" w:ascii="宋体" w:hAnsi="宋体" w:cs="宋体"/>
          <w:color w:val="000000"/>
          <w:sz w:val="24"/>
          <w:szCs w:val="24"/>
        </w:rPr>
        <w:t>评标委员会发现招标文件存在歧义、重大缺陷导致评标工作无法进行，或者招标文件内容违反国家有关强制性规定的，应当停止评标工作，与代理机构沟通并作书面记录。代理机构确认后，应当修改招标文件，重新组织招标活动。</w:t>
      </w:r>
    </w:p>
    <w:p w14:paraId="2BB7AE9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sz w:val="24"/>
          <w:szCs w:val="24"/>
        </w:rPr>
      </w:pPr>
      <w:r>
        <w:rPr>
          <w:rFonts w:hint="eastAsia" w:ascii="宋体" w:hAnsi="宋体" w:cs="宋体"/>
          <w:color w:val="000000"/>
          <w:sz w:val="24"/>
          <w:szCs w:val="24"/>
        </w:rPr>
        <w:t>排名第一的中标人放弃中标、因不可抗力不能履行合同、或者被查实存在影响中标结果的违法行为等情形，不符合中标条件的，招标人可以按照评标委员会提出的中标候选人名单排序依次确定其他中标候选人为中标人，也可以重新招标或者终止招标。</w:t>
      </w:r>
    </w:p>
    <w:p w14:paraId="76B43712">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r>
        <w:rPr>
          <w:rFonts w:hint="eastAsia" w:hAnsi="宋体"/>
          <w:b/>
          <w:spacing w:val="-6"/>
          <w:sz w:val="24"/>
          <w:szCs w:val="24"/>
        </w:rPr>
        <w:t>（七）合同授予</w:t>
      </w:r>
    </w:p>
    <w:p w14:paraId="370DE073">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ascii="宋体" w:hAnsi="宋体"/>
          <w:spacing w:val="-6"/>
          <w:sz w:val="24"/>
          <w:szCs w:val="24"/>
        </w:rPr>
        <w:t>1.</w:t>
      </w:r>
      <w:r>
        <w:rPr>
          <w:rFonts w:hint="eastAsia" w:ascii="宋体" w:hAnsi="宋体"/>
          <w:spacing w:val="-6"/>
          <w:sz w:val="24"/>
          <w:szCs w:val="24"/>
        </w:rPr>
        <w:t>在签订合同前，中标人应按投标人须知前附表规定的金额、银行保函或保险公司保函和招标文件第五章“拟签订合同的主要条款”规定的履约担保形式向招标人提交履约担保。联合体中标的，其履约担保由牵头人递交，并应符合投标人须知前附表规定的金额、担保形式和招标文件第五章“合同条款及格式”规定的履约担保要求。</w:t>
      </w:r>
    </w:p>
    <w:p w14:paraId="1811F01B">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ascii="宋体" w:hAnsi="宋体"/>
          <w:spacing w:val="-6"/>
          <w:sz w:val="24"/>
          <w:szCs w:val="24"/>
        </w:rPr>
        <w:t>2.</w:t>
      </w:r>
      <w:r>
        <w:rPr>
          <w:rFonts w:hint="eastAsia" w:ascii="宋体" w:hAnsi="宋体"/>
          <w:spacing w:val="-6"/>
          <w:sz w:val="24"/>
          <w:szCs w:val="24"/>
        </w:rPr>
        <w:t>中标人不能按投标人须知前附表第</w:t>
      </w:r>
      <w:r>
        <w:rPr>
          <w:rFonts w:hint="eastAsia" w:ascii="宋体" w:hAnsi="宋体"/>
          <w:spacing w:val="-6"/>
          <w:sz w:val="24"/>
          <w:szCs w:val="24"/>
          <w:lang w:val="en-US" w:eastAsia="zh-CN"/>
        </w:rPr>
        <w:t>6</w:t>
      </w:r>
      <w:r>
        <w:rPr>
          <w:rFonts w:hint="eastAsia" w:ascii="宋体" w:hAnsi="宋体"/>
          <w:spacing w:val="-6"/>
          <w:sz w:val="24"/>
          <w:szCs w:val="24"/>
        </w:rPr>
        <w:t>.1项要求提交履约担保的，视为放弃中标，其投标保证金不予退还，给招标人造成的损失超过投标保证金数额的，中标人还应当对超过部分予以赔偿。</w:t>
      </w:r>
    </w:p>
    <w:p w14:paraId="687176BE">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ascii="宋体" w:hAnsi="宋体"/>
          <w:spacing w:val="-6"/>
          <w:sz w:val="24"/>
          <w:szCs w:val="24"/>
        </w:rPr>
        <w:t>3.</w:t>
      </w:r>
      <w:r>
        <w:rPr>
          <w:rFonts w:hint="eastAsia" w:ascii="宋体" w:hAnsi="宋体"/>
          <w:spacing w:val="-6"/>
          <w:sz w:val="24"/>
          <w:szCs w:val="24"/>
        </w:rPr>
        <w:t>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3E4517A7">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ascii="宋体" w:hAnsi="宋体"/>
          <w:spacing w:val="-6"/>
          <w:sz w:val="24"/>
          <w:szCs w:val="24"/>
        </w:rPr>
        <w:t>4.</w:t>
      </w:r>
      <w:r>
        <w:rPr>
          <w:rFonts w:hint="eastAsia" w:ascii="宋体" w:hAnsi="宋体"/>
          <w:spacing w:val="-6"/>
          <w:sz w:val="24"/>
          <w:szCs w:val="24"/>
        </w:rPr>
        <w:t>发出中标通知书后，招标人无正当理由拒签合同，招标人向中标人退还投标保证金；给中标人造成损失的，还应当赔偿损失。</w:t>
      </w:r>
    </w:p>
    <w:p w14:paraId="0CC318CD">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ascii="宋体" w:hAnsi="宋体"/>
          <w:spacing w:val="-6"/>
          <w:sz w:val="24"/>
          <w:szCs w:val="24"/>
        </w:rPr>
        <w:t>5.</w:t>
      </w:r>
      <w:r>
        <w:rPr>
          <w:rFonts w:hint="eastAsia" w:ascii="宋体" w:hAnsi="宋体"/>
          <w:spacing w:val="-6"/>
          <w:sz w:val="24"/>
          <w:szCs w:val="24"/>
        </w:rPr>
        <w:t>联合体中标的，联合体各方应当共同与招标人签订合同，就中标项目向招标人承担连带责任。</w:t>
      </w:r>
    </w:p>
    <w:p w14:paraId="7F252440">
      <w:pPr>
        <w:keepNext w:val="0"/>
        <w:keepLines w:val="0"/>
        <w:pageBreakBefore w:val="0"/>
        <w:widowControl w:val="0"/>
        <w:kinsoku/>
        <w:wordWrap/>
        <w:overflowPunct/>
        <w:topLinePunct w:val="0"/>
        <w:autoSpaceDE/>
        <w:autoSpaceDN/>
        <w:bidi w:val="0"/>
        <w:spacing w:line="360" w:lineRule="auto"/>
        <w:ind w:firstLine="458" w:firstLineChars="200"/>
        <w:textAlignment w:val="auto"/>
        <w:rPr>
          <w:rFonts w:hint="eastAsia" w:ascii="宋体" w:hAnsi="宋体"/>
          <w:b/>
          <w:bCs/>
          <w:spacing w:val="-6"/>
          <w:sz w:val="24"/>
          <w:szCs w:val="24"/>
        </w:rPr>
      </w:pPr>
      <w:r>
        <w:rPr>
          <w:rFonts w:hint="eastAsia" w:ascii="宋体" w:hAnsi="宋体"/>
          <w:b/>
          <w:bCs/>
          <w:spacing w:val="-6"/>
          <w:sz w:val="24"/>
          <w:szCs w:val="24"/>
        </w:rPr>
        <w:t>6.招标人有权对中标候选人业绩案例合同、证书及佐证材料原件进行复核，如招标人需要，中标候选人应在收到通知之日起2个工作日内提交，若中标候选人未能在规定时间内提交，招标人有权取消其中标资格并追究其相应责任。</w:t>
      </w:r>
    </w:p>
    <w:p w14:paraId="143E8717">
      <w:pPr>
        <w:keepNext w:val="0"/>
        <w:keepLines w:val="0"/>
        <w:pageBreakBefore w:val="0"/>
        <w:widowControl w:val="0"/>
        <w:kinsoku/>
        <w:wordWrap/>
        <w:overflowPunct/>
        <w:topLinePunct w:val="0"/>
        <w:autoSpaceDE/>
        <w:autoSpaceDN/>
        <w:bidi w:val="0"/>
        <w:spacing w:line="360" w:lineRule="auto"/>
        <w:jc w:val="left"/>
        <w:textAlignment w:val="auto"/>
        <w:outlineLvl w:val="2"/>
        <w:rPr>
          <w:rFonts w:hint="eastAsia" w:ascii="宋体" w:hAnsi="宋体"/>
          <w:b/>
          <w:spacing w:val="-6"/>
          <w:sz w:val="24"/>
          <w:szCs w:val="24"/>
        </w:rPr>
      </w:pPr>
      <w:r>
        <w:rPr>
          <w:rFonts w:hint="eastAsia" w:ascii="宋体" w:hAnsi="宋体"/>
          <w:b/>
          <w:spacing w:val="-6"/>
          <w:sz w:val="24"/>
          <w:szCs w:val="24"/>
        </w:rPr>
        <w:t>六、异议与投诉</w:t>
      </w:r>
    </w:p>
    <w:p w14:paraId="726254A8">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Ansi="宋体"/>
          <w:b/>
          <w:spacing w:val="-6"/>
          <w:sz w:val="24"/>
          <w:szCs w:val="24"/>
        </w:rPr>
      </w:pPr>
      <w:r>
        <w:rPr>
          <w:rFonts w:hint="eastAsia" w:hAnsi="宋体"/>
          <w:b/>
          <w:spacing w:val="-6"/>
          <w:sz w:val="24"/>
          <w:szCs w:val="24"/>
        </w:rPr>
        <w:t>（一）异议</w:t>
      </w:r>
    </w:p>
    <w:p w14:paraId="16D0A2DF">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投标人和其他利害关系人认为招标投标活动不符合《中华人民共和国招标投标法》有关规定的，有权向本项目的招标人或招标代理机构提出异议。</w:t>
      </w:r>
    </w:p>
    <w:p w14:paraId="417D4C2F">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 xml:space="preserve">1. 潜在投标人或者其他利害关系人对招标文件有异议的，应当在投标截止时间10日前以书面形式向招标人提出。招标人将在收到异议之日起3日内作出书面答复；作出答复前，暂停招标投标活动； </w:t>
      </w:r>
    </w:p>
    <w:p w14:paraId="03B2F5E2">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 xml:space="preserve">2. 投标人认为开标不符合有关规定的，应当在开标时提出异议。招标人将当场对异议给予处理或者告知处理的办法。异议和答复应记入开标记录或者制作专门记录以存档备查； </w:t>
      </w:r>
    </w:p>
    <w:p w14:paraId="49379DC6">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Ansi="宋体"/>
          <w:spacing w:val="-6"/>
          <w:sz w:val="24"/>
          <w:szCs w:val="24"/>
        </w:rPr>
      </w:pPr>
      <w:r>
        <w:rPr>
          <w:rFonts w:hint="eastAsia" w:hAnsi="宋体"/>
          <w:spacing w:val="-6"/>
          <w:sz w:val="24"/>
          <w:szCs w:val="24"/>
        </w:rPr>
        <w:t>3. 投标人及其他利害关系人对评标结果有异议的，应当在</w:t>
      </w:r>
      <w:r>
        <w:rPr>
          <w:rFonts w:hint="eastAsia" w:hAnsi="宋体"/>
          <w:spacing w:val="-6"/>
          <w:sz w:val="24"/>
          <w:szCs w:val="24"/>
          <w:lang w:val="en-US" w:eastAsia="zh-CN"/>
        </w:rPr>
        <w:t>结果公告</w:t>
      </w:r>
      <w:r>
        <w:rPr>
          <w:rFonts w:hint="eastAsia" w:hAnsi="宋体"/>
          <w:spacing w:val="-6"/>
          <w:sz w:val="24"/>
          <w:szCs w:val="24"/>
        </w:rPr>
        <w:t>期内以书面形式向招标人提出。招标人将在收到异议之日起3日内作出书面答复；作出答复前，暂停招标投标活动。</w:t>
      </w:r>
    </w:p>
    <w:p w14:paraId="4436706A">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Ansi="宋体"/>
          <w:spacing w:val="-6"/>
          <w:sz w:val="24"/>
          <w:szCs w:val="24"/>
        </w:rPr>
      </w:pPr>
      <w:r>
        <w:rPr>
          <w:rFonts w:hint="eastAsia" w:hAnsi="宋体"/>
          <w:spacing w:val="-6"/>
          <w:sz w:val="24"/>
          <w:szCs w:val="24"/>
        </w:rPr>
        <w:t>4.对招标文件或评标结果提出异议的</w:t>
      </w:r>
      <w:r>
        <w:rPr>
          <w:rFonts w:hAnsi="宋体"/>
          <w:spacing w:val="-6"/>
          <w:sz w:val="24"/>
          <w:szCs w:val="24"/>
        </w:rPr>
        <w:t>应当采用书面形式，明确阐述招标文件、</w:t>
      </w:r>
      <w:r>
        <w:rPr>
          <w:rFonts w:hint="eastAsia" w:hAnsi="宋体"/>
          <w:spacing w:val="-6"/>
          <w:sz w:val="24"/>
          <w:szCs w:val="24"/>
        </w:rPr>
        <w:t>评标结果违反《中华人民共和国招标投标法》的有关条款，并应当有明确的请求和必要的证明材料。</w:t>
      </w:r>
    </w:p>
    <w:p w14:paraId="641C18FD">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5.鼓励供应商在线提起询问，路径为：浙商银行数智集中采购一体化管理平台-项目采购-询问质疑投诉-询问列表；鼓励供应商在线提起质疑，路径为：浙商银行数智集中采购一体化管理平台-项目采购-询问质疑投诉-质疑列表。质疑供应商对在线质疑答复不满意的，可在线提起投诉，路径为：浙商银行数智集中采购一体化管理平台-项目采购-投诉列表。</w:t>
      </w:r>
    </w:p>
    <w:p w14:paraId="30F1BC80">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Ansi="宋体"/>
          <w:b/>
          <w:spacing w:val="-6"/>
          <w:sz w:val="24"/>
          <w:szCs w:val="24"/>
        </w:rPr>
      </w:pPr>
      <w:r>
        <w:rPr>
          <w:rFonts w:hint="eastAsia" w:hAnsi="宋体"/>
          <w:b/>
          <w:spacing w:val="-6"/>
          <w:sz w:val="24"/>
          <w:szCs w:val="24"/>
        </w:rPr>
        <w:t>（二）投诉</w:t>
      </w:r>
    </w:p>
    <w:p w14:paraId="28AA47A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ascii="宋体" w:hAnsi="宋体" w:cs="宋体"/>
          <w:spacing w:val="-4"/>
          <w:sz w:val="24"/>
          <w:szCs w:val="24"/>
        </w:rPr>
      </w:pPr>
      <w:r>
        <w:rPr>
          <w:rFonts w:hint="eastAsia" w:ascii="宋体" w:hAnsi="宋体" w:cs="宋体"/>
          <w:sz w:val="24"/>
          <w:szCs w:val="24"/>
        </w:rPr>
        <w:t>1.</w:t>
      </w:r>
      <w:r>
        <w:rPr>
          <w:rFonts w:hint="eastAsia" w:ascii="宋体" w:hAnsi="宋体" w:cs="宋体"/>
          <w:spacing w:val="-4"/>
          <w:sz w:val="24"/>
          <w:szCs w:val="24"/>
        </w:rPr>
        <w:t>投标人或者其他利害关系人认为招标投标活动不符合法律、行政法规和招标文件规定的，可以自知道或者应当知道之日起10日内向监督部门投诉。投诉应当有明确的请求和必要的证明资料，就招标文件、开标和评标结果投诉的，应当先向招标人提出异议，异议答复期不计算在前款规定的期限内。</w:t>
      </w:r>
    </w:p>
    <w:p w14:paraId="4F5107F0">
      <w:pPr>
        <w:keepNext w:val="0"/>
        <w:keepLines w:val="0"/>
        <w:pageBreakBefore w:val="0"/>
        <w:widowControl w:val="0"/>
        <w:kinsoku/>
        <w:wordWrap/>
        <w:overflowPunct/>
        <w:topLinePunct w:val="0"/>
        <w:autoSpaceDE/>
        <w:autoSpaceDN/>
        <w:bidi w:val="0"/>
        <w:spacing w:line="360" w:lineRule="auto"/>
        <w:ind w:firstLine="464" w:firstLineChars="200"/>
        <w:textAlignment w:val="auto"/>
        <w:rPr>
          <w:rFonts w:hint="eastAsia" w:ascii="宋体" w:hAnsi="宋体" w:cs="宋体"/>
          <w:spacing w:val="-4"/>
          <w:sz w:val="24"/>
          <w:szCs w:val="24"/>
        </w:rPr>
      </w:pPr>
      <w:r>
        <w:rPr>
          <w:rFonts w:hint="eastAsia" w:ascii="宋体" w:hAnsi="宋体" w:cs="宋体"/>
          <w:spacing w:val="-4"/>
          <w:sz w:val="24"/>
          <w:szCs w:val="24"/>
        </w:rPr>
        <w:t>2.上述时限最后一日如遇国家法定节假日的，顺延至法定节假日后的第一个工作日。</w:t>
      </w:r>
    </w:p>
    <w:p w14:paraId="6FC06514">
      <w:pPr>
        <w:keepNext w:val="0"/>
        <w:keepLines w:val="0"/>
        <w:pageBreakBefore w:val="0"/>
        <w:widowControl w:val="0"/>
        <w:kinsoku/>
        <w:wordWrap/>
        <w:overflowPunct/>
        <w:topLinePunct w:val="0"/>
        <w:autoSpaceDE/>
        <w:autoSpaceDN/>
        <w:bidi w:val="0"/>
        <w:spacing w:line="360" w:lineRule="auto"/>
        <w:ind w:firstLine="464" w:firstLineChars="200"/>
        <w:textAlignment w:val="auto"/>
        <w:rPr>
          <w:rFonts w:hint="eastAsia" w:ascii="宋体" w:hAnsi="宋体" w:cs="宋体"/>
          <w:spacing w:val="-4"/>
          <w:sz w:val="24"/>
          <w:szCs w:val="24"/>
        </w:rPr>
      </w:pPr>
      <w:r>
        <w:rPr>
          <w:rFonts w:hint="eastAsia" w:ascii="宋体" w:hAnsi="宋体" w:cs="宋体"/>
          <w:spacing w:val="-4"/>
          <w:sz w:val="24"/>
          <w:szCs w:val="24"/>
        </w:rPr>
        <w:t>提出投诉的应当知道起始时间界定为：（1）对招标文件公告资格条件的投诉以获取招标文件的第一天为准；（2）对除公告资格条件外招标文件其他内容的投诉以招标文件获取最后一天为准；（3）对开标的投诉以开标时间为准；（4）对评标结果的投诉以</w:t>
      </w:r>
      <w:r>
        <w:rPr>
          <w:rFonts w:hint="eastAsia" w:ascii="宋体" w:hAnsi="宋体" w:cs="宋体"/>
          <w:spacing w:val="-4"/>
          <w:sz w:val="24"/>
          <w:szCs w:val="24"/>
          <w:lang w:val="en-US" w:eastAsia="zh-CN"/>
        </w:rPr>
        <w:t>结果公告</w:t>
      </w:r>
      <w:r>
        <w:rPr>
          <w:rFonts w:hint="eastAsia" w:ascii="宋体" w:hAnsi="宋体" w:cs="宋体"/>
          <w:spacing w:val="-4"/>
          <w:sz w:val="24"/>
          <w:szCs w:val="24"/>
        </w:rPr>
        <w:t>期的起始时间为准。</w:t>
      </w:r>
    </w:p>
    <w:p w14:paraId="051CBD75">
      <w:pPr>
        <w:keepNext w:val="0"/>
        <w:keepLines w:val="0"/>
        <w:pageBreakBefore w:val="0"/>
        <w:widowControl w:val="0"/>
        <w:kinsoku/>
        <w:wordWrap/>
        <w:overflowPunct/>
        <w:topLinePunct w:val="0"/>
        <w:autoSpaceDE/>
        <w:autoSpaceDN/>
        <w:bidi w:val="0"/>
        <w:spacing w:line="360" w:lineRule="auto"/>
        <w:jc w:val="left"/>
        <w:textAlignment w:val="auto"/>
        <w:outlineLvl w:val="2"/>
        <w:rPr>
          <w:rFonts w:ascii="宋体" w:hAnsi="宋体"/>
          <w:b/>
          <w:spacing w:val="-6"/>
          <w:sz w:val="24"/>
          <w:szCs w:val="24"/>
        </w:rPr>
      </w:pPr>
      <w:r>
        <w:rPr>
          <w:rFonts w:hint="eastAsia" w:ascii="宋体" w:hAnsi="宋体"/>
          <w:b/>
          <w:spacing w:val="-6"/>
          <w:sz w:val="24"/>
          <w:szCs w:val="24"/>
        </w:rPr>
        <w:t>七、其他</w:t>
      </w:r>
    </w:p>
    <w:p w14:paraId="4EF75458">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1.投标人应仔细阅读招标文件的所有内容，按照招标文件的要求提交投标文件，并对所提供的全部资料的真实性承担法律责任。</w:t>
      </w:r>
    </w:p>
    <w:p w14:paraId="6FDBB951">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2.参与招标投标活动的各方应对招标文件和投标文件中的商业和技术等秘密保密，否则应承担相应的法律责任。</w:t>
      </w:r>
    </w:p>
    <w:p w14:paraId="784B6DE9">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3.所有计量均采用中华人民共和国法定计量单位。</w:t>
      </w:r>
    </w:p>
    <w:p w14:paraId="59F2BB02">
      <w:pPr>
        <w:pStyle w:val="14"/>
        <w:keepNext w:val="0"/>
        <w:keepLines w:val="0"/>
        <w:pageBreakBefore w:val="0"/>
        <w:widowControl w:val="0"/>
        <w:kinsoku/>
        <w:wordWrap/>
        <w:overflowPunct/>
        <w:topLinePunct w:val="0"/>
        <w:autoSpaceDE/>
        <w:autoSpaceDN/>
        <w:bidi w:val="0"/>
        <w:spacing w:line="360" w:lineRule="auto"/>
        <w:ind w:firstLine="456" w:firstLineChars="200"/>
        <w:jc w:val="left"/>
        <w:textAlignment w:val="auto"/>
        <w:rPr>
          <w:rFonts w:hint="eastAsia" w:hAnsi="宋体"/>
          <w:spacing w:val="-6"/>
          <w:sz w:val="24"/>
          <w:szCs w:val="24"/>
        </w:rPr>
      </w:pPr>
      <w:r>
        <w:rPr>
          <w:rFonts w:hint="eastAsia" w:hAnsi="宋体"/>
          <w:spacing w:val="-6"/>
          <w:sz w:val="24"/>
          <w:szCs w:val="24"/>
        </w:rPr>
        <w:t>4.招标投标文件以及与招标相关的往来通知、函件等均应当使用的语言文字为中文。专用术语使用外文的，应附有中文注释。</w:t>
      </w:r>
    </w:p>
    <w:p w14:paraId="5DA62222">
      <w:pPr>
        <w:spacing w:line="288" w:lineRule="auto"/>
        <w:jc w:val="center"/>
        <w:outlineLvl w:val="0"/>
        <w:rPr>
          <w:rFonts w:ascii="宋体" w:hAnsi="宋体"/>
          <w:b/>
          <w:spacing w:val="-6"/>
          <w:sz w:val="32"/>
          <w:szCs w:val="32"/>
        </w:rPr>
      </w:pPr>
      <w:r>
        <w:rPr>
          <w:rFonts w:hint="eastAsia" w:ascii="宋体" w:hAnsi="宋体"/>
          <w:b/>
          <w:spacing w:val="-6"/>
          <w:sz w:val="32"/>
          <w:szCs w:val="32"/>
        </w:rPr>
        <w:br w:type="page"/>
      </w:r>
      <w:r>
        <w:rPr>
          <w:rFonts w:hint="eastAsia" w:ascii="宋体" w:hAnsi="宋体"/>
          <w:b/>
          <w:spacing w:val="-6"/>
          <w:sz w:val="32"/>
          <w:szCs w:val="32"/>
        </w:rPr>
        <w:t xml:space="preserve">第三章 </w:t>
      </w:r>
      <w:r>
        <w:rPr>
          <w:rFonts w:hint="eastAsia" w:ascii="宋体" w:hAnsi="宋体"/>
          <w:b/>
          <w:spacing w:val="-6"/>
          <w:sz w:val="32"/>
          <w:szCs w:val="32"/>
          <w:lang w:val="en-US" w:eastAsia="zh-CN"/>
        </w:rPr>
        <w:t xml:space="preserve"> </w:t>
      </w:r>
      <w:r>
        <w:rPr>
          <w:rFonts w:hint="eastAsia" w:ascii="宋体" w:hAnsi="宋体"/>
          <w:b/>
          <w:spacing w:val="-6"/>
          <w:sz w:val="32"/>
          <w:szCs w:val="32"/>
        </w:rPr>
        <w:t>招标需求</w:t>
      </w:r>
    </w:p>
    <w:p w14:paraId="122B8C18">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一、工程概况：</w:t>
      </w:r>
    </w:p>
    <w:p w14:paraId="6C246EE6">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该工程施工地点潍坊市奎文区胜利东街4778号4号楼，工程范围为弱电工程。该项工程建设单位为浙商银行股份有限公司济南分行，总建筑面积844.36平方米。</w:t>
      </w:r>
    </w:p>
    <w:p w14:paraId="52DC32CB">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二、招标范围：</w:t>
      </w:r>
    </w:p>
    <w:p w14:paraId="0926EBA1">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图纸及工程量清单范围内的弱电工程，包括深化设计、设备、材料供货、安装、调试、技术培训以及通过相关验收、缺陷处理及后期服务等工作（具体详见招标文件）。具体设备的名称、型号、数量、品牌以招标人提供的图纸、工程量清单为准。</w:t>
      </w:r>
    </w:p>
    <w:p w14:paraId="5D58F48B">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三、编制依据：</w:t>
      </w:r>
    </w:p>
    <w:p w14:paraId="4B5A0598">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1、建设单位提供的电子版图纸及做法；</w:t>
      </w:r>
    </w:p>
    <w:p w14:paraId="228DD8C1">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2、工程量清单项目计量规范(2013-山东)；</w:t>
      </w:r>
    </w:p>
    <w:p w14:paraId="329B68F4">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3、《山东省建设工程费用项目组成及计算规则》（2022）、《山东省建筑工程消耗量定额》（2016）、《山东省安装工程消耗量定额》（2016）；</w:t>
      </w:r>
    </w:p>
    <w:p w14:paraId="013A7106">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4、浙商银行潍坊奎文支行弱电工程项目施工图； </w:t>
      </w:r>
    </w:p>
    <w:p w14:paraId="4AD0DE25">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5、与工程项目有关的规范、标准、技术资料；</w:t>
      </w:r>
    </w:p>
    <w:p w14:paraId="668AEE04">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6、施工现场情况、工程特点及常规的施工方案；</w:t>
      </w:r>
    </w:p>
    <w:p w14:paraId="08587DE4">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7、其他有关资料。</w:t>
      </w:r>
    </w:p>
    <w:p w14:paraId="4E8B9E52">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四、工程质量、工期、材料、施工等要求：</w:t>
      </w:r>
    </w:p>
    <w:p w14:paraId="78CDEB61">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1、工程质量：</w:t>
      </w:r>
      <w:r>
        <w:rPr>
          <w:rFonts w:hint="eastAsia" w:ascii="宋体" w:hAnsi="宋体" w:cs="宋体"/>
          <w:sz w:val="24"/>
          <w:szCs w:val="24"/>
          <w:lang w:val="en-US" w:eastAsia="zh-CN"/>
        </w:rPr>
        <w:t>符合国家标准</w:t>
      </w:r>
      <w:r>
        <w:rPr>
          <w:rFonts w:hint="eastAsia" w:ascii="宋体" w:hAnsi="宋体" w:eastAsia="宋体" w:cs="宋体"/>
          <w:sz w:val="24"/>
          <w:szCs w:val="24"/>
        </w:rPr>
        <w:t>。</w:t>
      </w:r>
    </w:p>
    <w:p w14:paraId="0A57CE77">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2、工期：</w:t>
      </w:r>
      <w:r>
        <w:rPr>
          <w:rFonts w:hint="eastAsia" w:ascii="宋体" w:hAnsi="宋体" w:cs="宋体"/>
          <w:sz w:val="24"/>
          <w:szCs w:val="24"/>
          <w:lang w:val="en-US" w:eastAsia="zh-CN"/>
        </w:rPr>
        <w:t>自合同签订后45天内</w:t>
      </w:r>
      <w:r>
        <w:rPr>
          <w:rFonts w:hint="eastAsia" w:ascii="宋体" w:hAnsi="宋体" w:eastAsia="宋体" w:cs="宋体"/>
          <w:sz w:val="24"/>
          <w:szCs w:val="24"/>
        </w:rPr>
        <w:t>。</w:t>
      </w:r>
    </w:p>
    <w:p w14:paraId="783CA2B1">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3、材料、施工要求详见施工图及技术规范。</w:t>
      </w:r>
    </w:p>
    <w:p w14:paraId="106BD30F">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五、安全文明施工费、企业管理费投标报价要求：</w:t>
      </w:r>
    </w:p>
    <w:p w14:paraId="468862E9">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按山东省相关规定并结合企业自身情况自主确定费率。</w:t>
      </w:r>
    </w:p>
    <w:p w14:paraId="7E10A829">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六、规费、税金取费要求：</w:t>
      </w:r>
    </w:p>
    <w:p w14:paraId="1FAD44F9">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1、规费根据山东省相关文件规定。</w:t>
      </w:r>
    </w:p>
    <w:p w14:paraId="2155904A">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2、本工程采用一般计税方法，税率按9%计取，计费基数为税前工程造价。</w:t>
      </w:r>
    </w:p>
    <w:p w14:paraId="10EAF939">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七、其他需要说明的问题：</w:t>
      </w:r>
    </w:p>
    <w:p w14:paraId="09E4A949">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（一）、整体：</w:t>
      </w:r>
    </w:p>
    <w:p w14:paraId="3FEA5F43">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各投标单位在进行综合单价报价时必须结合施工图、招标文件中的相关条款、清单描述并勘踏现场，结合主体情况进行报价，清单子目中未能对各节点详图进行完全性描述的必须结合施工图详细节点进行报价，否则视为已计入相应项目综合单价中，中标后将不调整综合单价；若招标文件中的相关条款与清单描述有冲突，投标单位在答疑时提出疑问，未提出的以招标人解释为准。</w:t>
      </w:r>
    </w:p>
    <w:p w14:paraId="5C5B5A74">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本项目以“项”为计量单位的措施费用一次性包干，投标人可根据本工程实际情况及自身施工组织设计自行补项并充分考虑本工程变更等风险报价，费用计入总价，结算时不作调整。不发生的措施项目金额以“0”计价。</w:t>
      </w:r>
    </w:p>
    <w:p w14:paraId="681A8A90">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3、分部分项工程量清单中的工程量是按实物净量计算的，一切损耗均应在投标报价内。</w:t>
      </w:r>
    </w:p>
    <w:p w14:paraId="036EC281">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4、投标人的投标文件中必须提供主要材料表中所列材料单价，如投标人需增补其余材料可在相应表中进行补充。</w:t>
      </w:r>
    </w:p>
    <w:p w14:paraId="433589B9">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5、国标清单中已明确的工作内容，清单不再一一罗列，投标人应结合国标清单规定的工作内容进行报价。</w:t>
      </w:r>
    </w:p>
    <w:p w14:paraId="3F30184A">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（二）其他：</w:t>
      </w:r>
    </w:p>
    <w:p w14:paraId="192A4BF2">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1、摄像机、门禁系统设备为甲方供货产品，主材价格不计入本预算，仅计安装费用；</w:t>
      </w:r>
    </w:p>
    <w:p w14:paraId="0E0BBFA6">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2、电控锁由装修单位施工，本预算不计入；</w:t>
      </w:r>
    </w:p>
    <w:p w14:paraId="40A61CA0">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3、监控操作台、网络系统、LED显示屏为甲方供货产品，由甲供设备厂家安装，本预算仅计涉及的预留管线部分；</w:t>
      </w:r>
    </w:p>
    <w:p w14:paraId="07F6C3A3">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4、所有配电箱及网络布线机柜为成套柜，按成套柜成品计价；</w:t>
      </w:r>
    </w:p>
    <w:p w14:paraId="16BD9119">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5、会议室电视机为甲方供货产品，由甲供设备厂家安装。</w:t>
      </w:r>
    </w:p>
    <w:p w14:paraId="208DFA16">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八、暂列金额的数量：</w:t>
      </w:r>
    </w:p>
    <w:p w14:paraId="171EAA59">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本工程不设置暂列金。</w:t>
      </w:r>
    </w:p>
    <w:p w14:paraId="55CE8601">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注：本清单仅提供工程项目清单等具体内容，投标文件的具体格式以招标文件要求的格式为准。</w:t>
      </w:r>
    </w:p>
    <w:p w14:paraId="65C17475">
      <w:pPr>
        <w:widowControl/>
        <w:snapToGrid w:val="0"/>
        <w:spacing w:line="360" w:lineRule="auto"/>
        <w:ind w:firstLine="480" w:firstLineChars="200"/>
        <w:rPr>
          <w:rFonts w:hint="eastAsia" w:ascii="宋体" w:hAnsi="宋体" w:eastAsia="宋体" w:cs="宋体"/>
          <w:sz w:val="24"/>
          <w:szCs w:val="24"/>
        </w:rPr>
      </w:pPr>
    </w:p>
    <w:p w14:paraId="4B883C6B">
      <w:pPr>
        <w:widowControl/>
        <w:snapToGrid w:val="0"/>
        <w:spacing w:line="360" w:lineRule="auto"/>
        <w:ind w:firstLine="643" w:firstLineChars="200"/>
        <w:jc w:val="center"/>
        <w:rPr>
          <w:rFonts w:hint="eastAsia" w:ascii="宋体" w:hAnsi="宋体" w:eastAsia="宋体" w:cs="宋体"/>
          <w:b/>
          <w:bCs/>
          <w:sz w:val="32"/>
          <w:szCs w:val="32"/>
        </w:rPr>
      </w:pPr>
      <w:r>
        <w:rPr>
          <w:rFonts w:hint="eastAsia" w:ascii="宋体" w:hAnsi="宋体" w:eastAsia="宋体" w:cs="宋体"/>
          <w:b/>
          <w:bCs/>
          <w:sz w:val="32"/>
          <w:szCs w:val="32"/>
        </w:rPr>
        <w:t>弱电工程主要材料表</w:t>
      </w:r>
    </w:p>
    <w:tbl>
      <w:tblPr>
        <w:tblStyle w:val="33"/>
        <w:tblW w:w="5000" w:type="pct"/>
        <w:tblInd w:w="0" w:type="dxa"/>
        <w:tblLayout w:type="fixed"/>
        <w:tblCellMar>
          <w:top w:w="0" w:type="dxa"/>
          <w:left w:w="108" w:type="dxa"/>
          <w:bottom w:w="0" w:type="dxa"/>
          <w:right w:w="108" w:type="dxa"/>
        </w:tblCellMar>
      </w:tblPr>
      <w:tblGrid>
        <w:gridCol w:w="427"/>
        <w:gridCol w:w="1452"/>
        <w:gridCol w:w="3917"/>
        <w:gridCol w:w="4058"/>
      </w:tblGrid>
      <w:tr w14:paraId="3B7BEAF9">
        <w:tblPrEx>
          <w:tblCellMar>
            <w:top w:w="0" w:type="dxa"/>
            <w:left w:w="108" w:type="dxa"/>
            <w:bottom w:w="0" w:type="dxa"/>
            <w:right w:w="108" w:type="dxa"/>
          </w:tblCellMar>
        </w:tblPrEx>
        <w:trPr>
          <w:trHeight w:val="870" w:hRule="atLeast"/>
        </w:trPr>
        <w:tc>
          <w:tcPr>
            <w:tcW w:w="5000" w:type="pct"/>
            <w:gridSpan w:val="4"/>
            <w:tcBorders>
              <w:top w:val="nil"/>
              <w:left w:val="nil"/>
              <w:bottom w:val="nil"/>
              <w:right w:val="nil"/>
            </w:tcBorders>
            <w:noWrap w:val="0"/>
            <w:vAlign w:val="center"/>
          </w:tcPr>
          <w:p w14:paraId="54F89A37">
            <w:pPr>
              <w:pStyle w:val="98"/>
              <w:widowControl/>
              <w:ind w:left="360" w:firstLine="0" w:firstLineChars="0"/>
              <w:jc w:val="center"/>
              <w:rPr>
                <w:rFonts w:hint="eastAsia" w:ascii="黑体" w:hAnsi="黑体" w:eastAsia="黑体" w:cs="宋体"/>
                <w:bCs/>
                <w:kern w:val="0"/>
                <w:sz w:val="32"/>
                <w:szCs w:val="32"/>
                <w:highlight w:val="none"/>
              </w:rPr>
            </w:pPr>
            <w:r>
              <w:rPr>
                <w:rFonts w:hint="eastAsia" w:ascii="黑体" w:hAnsi="黑体" w:eastAsia="黑体" w:cs="宋体"/>
                <w:bCs/>
                <w:kern w:val="0"/>
                <w:sz w:val="32"/>
                <w:szCs w:val="32"/>
                <w:highlight w:val="none"/>
                <w:lang w:eastAsia="zh-CN"/>
              </w:rPr>
              <w:t>（</w:t>
            </w:r>
            <w:r>
              <w:rPr>
                <w:rFonts w:hint="eastAsia" w:ascii="黑体" w:hAnsi="黑体" w:eastAsia="黑体" w:cs="宋体"/>
                <w:bCs/>
                <w:kern w:val="0"/>
                <w:sz w:val="32"/>
                <w:szCs w:val="32"/>
                <w:highlight w:val="none"/>
                <w:lang w:val="en-US" w:eastAsia="zh-CN"/>
              </w:rPr>
              <w:t>1</w:t>
            </w:r>
            <w:r>
              <w:rPr>
                <w:rFonts w:hint="eastAsia" w:ascii="黑体" w:hAnsi="黑体" w:eastAsia="黑体" w:cs="宋体"/>
                <w:bCs/>
                <w:kern w:val="0"/>
                <w:sz w:val="32"/>
                <w:szCs w:val="32"/>
                <w:highlight w:val="none"/>
                <w:lang w:eastAsia="zh-CN"/>
              </w:rPr>
              <w:t>）</w:t>
            </w:r>
            <w:r>
              <w:rPr>
                <w:rFonts w:hint="eastAsia" w:ascii="黑体" w:hAnsi="黑体" w:eastAsia="黑体" w:cs="宋体"/>
                <w:bCs/>
                <w:kern w:val="0"/>
                <w:sz w:val="32"/>
                <w:szCs w:val="32"/>
                <w:highlight w:val="none"/>
              </w:rPr>
              <w:t>乙供主要材料清单</w:t>
            </w:r>
          </w:p>
        </w:tc>
      </w:tr>
      <w:tr w14:paraId="3701454D">
        <w:tblPrEx>
          <w:tblCellMar>
            <w:top w:w="0" w:type="dxa"/>
            <w:left w:w="108" w:type="dxa"/>
            <w:bottom w:w="0" w:type="dxa"/>
            <w:right w:w="108" w:type="dxa"/>
          </w:tblCellMar>
        </w:tblPrEx>
        <w:trPr>
          <w:trHeight w:val="540"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1C6E6D98">
            <w:pPr>
              <w:widowControl/>
              <w:jc w:val="center"/>
              <w:rPr>
                <w:rFonts w:ascii="仿宋_GB2312" w:hAnsi="仿宋" w:eastAsia="仿宋_GB2312" w:cs="宋体"/>
                <w:bCs/>
                <w:kern w:val="0"/>
                <w:sz w:val="20"/>
                <w:szCs w:val="20"/>
                <w:highlight w:val="none"/>
              </w:rPr>
            </w:pPr>
            <w:r>
              <w:rPr>
                <w:rFonts w:hint="eastAsia" w:ascii="仿宋_GB2312" w:hAnsi="仿宋" w:eastAsia="仿宋_GB2312" w:cs="宋体"/>
                <w:bCs/>
                <w:kern w:val="0"/>
                <w:sz w:val="20"/>
                <w:szCs w:val="20"/>
                <w:highlight w:val="none"/>
              </w:rPr>
              <w:t>序号</w:t>
            </w:r>
          </w:p>
        </w:tc>
        <w:tc>
          <w:tcPr>
            <w:tcW w:w="736" w:type="pct"/>
            <w:tcBorders>
              <w:top w:val="single" w:color="auto" w:sz="4" w:space="0"/>
              <w:left w:val="nil"/>
              <w:bottom w:val="single" w:color="auto" w:sz="4" w:space="0"/>
              <w:right w:val="single" w:color="auto" w:sz="4" w:space="0"/>
            </w:tcBorders>
            <w:noWrap w:val="0"/>
            <w:vAlign w:val="center"/>
          </w:tcPr>
          <w:p w14:paraId="1D352B00">
            <w:pPr>
              <w:widowControl/>
              <w:jc w:val="center"/>
              <w:rPr>
                <w:rFonts w:ascii="仿宋_GB2312" w:hAnsi="仿宋" w:eastAsia="仿宋_GB2312" w:cs="宋体"/>
                <w:bCs/>
                <w:kern w:val="0"/>
                <w:sz w:val="20"/>
                <w:szCs w:val="20"/>
                <w:highlight w:val="none"/>
              </w:rPr>
            </w:pPr>
            <w:r>
              <w:rPr>
                <w:rFonts w:hint="eastAsia" w:ascii="仿宋_GB2312" w:hAnsi="仿宋" w:eastAsia="仿宋_GB2312" w:cs="宋体"/>
                <w:bCs/>
                <w:kern w:val="0"/>
                <w:sz w:val="20"/>
                <w:szCs w:val="20"/>
                <w:highlight w:val="none"/>
              </w:rPr>
              <w:t>材料名称</w:t>
            </w:r>
          </w:p>
        </w:tc>
        <w:tc>
          <w:tcPr>
            <w:tcW w:w="1987" w:type="pct"/>
            <w:tcBorders>
              <w:top w:val="single" w:color="auto" w:sz="4" w:space="0"/>
              <w:left w:val="nil"/>
              <w:bottom w:val="single" w:color="auto" w:sz="4" w:space="0"/>
              <w:right w:val="single" w:color="auto" w:sz="4" w:space="0"/>
            </w:tcBorders>
            <w:noWrap w:val="0"/>
            <w:vAlign w:val="center"/>
          </w:tcPr>
          <w:p w14:paraId="367EA363">
            <w:pPr>
              <w:widowControl/>
              <w:jc w:val="center"/>
              <w:rPr>
                <w:rFonts w:hint="eastAsia" w:ascii="仿宋_GB2312" w:hAnsi="仿宋" w:eastAsia="仿宋_GB2312" w:cs="宋体"/>
                <w:bCs/>
                <w:kern w:val="0"/>
                <w:sz w:val="20"/>
                <w:szCs w:val="20"/>
                <w:highlight w:val="none"/>
                <w:lang w:val="en-US" w:eastAsia="zh-CN" w:bidi="ar-SA"/>
              </w:rPr>
            </w:pPr>
            <w:r>
              <w:rPr>
                <w:rFonts w:hint="eastAsia" w:ascii="仿宋_GB2312" w:hAnsi="仿宋" w:eastAsia="仿宋_GB2312" w:cs="宋体"/>
                <w:bCs/>
                <w:kern w:val="0"/>
                <w:sz w:val="20"/>
                <w:szCs w:val="20"/>
                <w:highlight w:val="none"/>
              </w:rPr>
              <w:t>规格型号及要求</w:t>
            </w:r>
          </w:p>
        </w:tc>
        <w:tc>
          <w:tcPr>
            <w:tcW w:w="2059" w:type="pct"/>
            <w:tcBorders>
              <w:top w:val="single" w:color="auto" w:sz="4" w:space="0"/>
              <w:left w:val="nil"/>
              <w:bottom w:val="single" w:color="auto" w:sz="4" w:space="0"/>
              <w:right w:val="single" w:color="auto" w:sz="4" w:space="0"/>
            </w:tcBorders>
            <w:noWrap w:val="0"/>
            <w:vAlign w:val="center"/>
          </w:tcPr>
          <w:p w14:paraId="1FF85D29">
            <w:pPr>
              <w:widowControl/>
              <w:jc w:val="center"/>
              <w:rPr>
                <w:rFonts w:ascii="仿宋_GB2312" w:hAnsi="仿宋" w:eastAsia="仿宋_GB2312" w:cs="宋体"/>
                <w:bCs/>
                <w:kern w:val="0"/>
                <w:sz w:val="20"/>
                <w:szCs w:val="20"/>
                <w:highlight w:val="none"/>
              </w:rPr>
            </w:pPr>
            <w:r>
              <w:rPr>
                <w:rFonts w:hint="eastAsia" w:ascii="仿宋_GB2312" w:hAnsi="仿宋" w:eastAsia="仿宋_GB2312" w:cs="宋体"/>
                <w:bCs/>
                <w:kern w:val="0"/>
                <w:sz w:val="20"/>
                <w:szCs w:val="20"/>
                <w:highlight w:val="none"/>
              </w:rPr>
              <w:t>品牌</w:t>
            </w:r>
          </w:p>
        </w:tc>
      </w:tr>
      <w:tr w14:paraId="1A14D4EE">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138BA8A1">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w:t>
            </w:r>
          </w:p>
        </w:tc>
        <w:tc>
          <w:tcPr>
            <w:tcW w:w="736" w:type="pct"/>
            <w:tcBorders>
              <w:top w:val="nil"/>
              <w:left w:val="nil"/>
              <w:bottom w:val="single" w:color="auto" w:sz="4" w:space="0"/>
              <w:right w:val="single" w:color="auto" w:sz="4" w:space="0"/>
            </w:tcBorders>
            <w:noWrap w:val="0"/>
            <w:vAlign w:val="center"/>
          </w:tcPr>
          <w:p w14:paraId="51AD8895">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综合布线系统、摄像机、门禁系统网线</w:t>
            </w:r>
          </w:p>
        </w:tc>
        <w:tc>
          <w:tcPr>
            <w:tcW w:w="1987" w:type="pct"/>
            <w:tcBorders>
              <w:top w:val="nil"/>
              <w:left w:val="nil"/>
              <w:bottom w:val="single" w:color="auto" w:sz="4" w:space="0"/>
              <w:right w:val="single" w:color="auto" w:sz="4" w:space="0"/>
            </w:tcBorders>
            <w:noWrap w:val="0"/>
            <w:vAlign w:val="center"/>
          </w:tcPr>
          <w:p w14:paraId="0AAE5F14">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型号规格以设计图为准</w:t>
            </w:r>
          </w:p>
        </w:tc>
        <w:tc>
          <w:tcPr>
            <w:tcW w:w="2059" w:type="pct"/>
            <w:tcBorders>
              <w:top w:val="nil"/>
              <w:left w:val="nil"/>
              <w:bottom w:val="single" w:color="auto" w:sz="4" w:space="0"/>
              <w:right w:val="single" w:color="auto" w:sz="4" w:space="0"/>
            </w:tcBorders>
            <w:noWrap w:val="0"/>
            <w:vAlign w:val="center"/>
          </w:tcPr>
          <w:p w14:paraId="2C17C266">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eastAsia="zh-CN"/>
              </w:rPr>
              <w:t>西蒙</w:t>
            </w:r>
            <w:r>
              <w:rPr>
                <w:rFonts w:hint="eastAsia" w:ascii="仿宋_GB2312" w:hAnsi="仿宋" w:eastAsia="仿宋_GB2312" w:cs="宋体"/>
                <w:kern w:val="0"/>
                <w:sz w:val="20"/>
                <w:szCs w:val="20"/>
                <w:highlight w:val="none"/>
              </w:rPr>
              <w:t>、泛达、康宁（光产品）</w:t>
            </w:r>
          </w:p>
        </w:tc>
      </w:tr>
      <w:tr w14:paraId="02E61682">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100D503D">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2</w:t>
            </w:r>
          </w:p>
        </w:tc>
        <w:tc>
          <w:tcPr>
            <w:tcW w:w="736" w:type="pct"/>
            <w:tcBorders>
              <w:top w:val="nil"/>
              <w:left w:val="nil"/>
              <w:bottom w:val="single" w:color="auto" w:sz="4" w:space="0"/>
              <w:right w:val="single" w:color="auto" w:sz="4" w:space="0"/>
            </w:tcBorders>
            <w:noWrap w:val="0"/>
            <w:vAlign w:val="center"/>
          </w:tcPr>
          <w:p w14:paraId="51FADAD8">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摄像机护罩</w:t>
            </w:r>
          </w:p>
        </w:tc>
        <w:tc>
          <w:tcPr>
            <w:tcW w:w="1987" w:type="pct"/>
            <w:tcBorders>
              <w:top w:val="nil"/>
              <w:left w:val="nil"/>
              <w:bottom w:val="single" w:color="auto" w:sz="4" w:space="0"/>
              <w:right w:val="single" w:color="auto" w:sz="4" w:space="0"/>
            </w:tcBorders>
            <w:noWrap w:val="0"/>
            <w:vAlign w:val="center"/>
          </w:tcPr>
          <w:p w14:paraId="124B106F">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室内、室外枪机枪式护罩，室内枪机半球护罩</w:t>
            </w:r>
          </w:p>
        </w:tc>
        <w:tc>
          <w:tcPr>
            <w:tcW w:w="2059" w:type="pct"/>
            <w:tcBorders>
              <w:top w:val="nil"/>
              <w:left w:val="nil"/>
              <w:bottom w:val="single" w:color="auto" w:sz="4" w:space="0"/>
              <w:right w:val="single" w:color="auto" w:sz="4" w:space="0"/>
            </w:tcBorders>
            <w:noWrap w:val="0"/>
            <w:vAlign w:val="center"/>
          </w:tcPr>
          <w:p w14:paraId="309597F3">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天津亚安、海康威视或同档次产品</w:t>
            </w:r>
          </w:p>
        </w:tc>
      </w:tr>
      <w:tr w14:paraId="6ED4BAC1">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72C018DC">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3</w:t>
            </w:r>
          </w:p>
        </w:tc>
        <w:tc>
          <w:tcPr>
            <w:tcW w:w="736" w:type="pct"/>
            <w:tcBorders>
              <w:top w:val="nil"/>
              <w:left w:val="nil"/>
              <w:bottom w:val="single" w:color="auto" w:sz="4" w:space="0"/>
              <w:right w:val="single" w:color="auto" w:sz="4" w:space="0"/>
            </w:tcBorders>
            <w:noWrap/>
            <w:vAlign w:val="center"/>
          </w:tcPr>
          <w:p w14:paraId="0E2798F8">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硬盘</w:t>
            </w:r>
          </w:p>
        </w:tc>
        <w:tc>
          <w:tcPr>
            <w:tcW w:w="1987" w:type="pct"/>
            <w:tcBorders>
              <w:top w:val="nil"/>
              <w:left w:val="nil"/>
              <w:bottom w:val="single" w:color="auto" w:sz="4" w:space="0"/>
              <w:right w:val="single" w:color="auto" w:sz="4" w:space="0"/>
            </w:tcBorders>
            <w:noWrap/>
            <w:vAlign w:val="center"/>
          </w:tcPr>
          <w:p w14:paraId="35AC06AD">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lang w:val="en-US" w:eastAsia="zh-CN"/>
              </w:rPr>
              <w:t>6</w:t>
            </w:r>
            <w:r>
              <w:rPr>
                <w:rFonts w:hint="eastAsia" w:ascii="仿宋_GB2312" w:hAnsi="仿宋" w:eastAsia="仿宋_GB2312" w:cs="宋体"/>
                <w:kern w:val="0"/>
                <w:sz w:val="20"/>
                <w:szCs w:val="20"/>
                <w:highlight w:val="none"/>
              </w:rPr>
              <w:t>T，DVR、NVR专用，支持SATA串行模式</w:t>
            </w:r>
          </w:p>
        </w:tc>
        <w:tc>
          <w:tcPr>
            <w:tcW w:w="2059" w:type="pct"/>
            <w:tcBorders>
              <w:top w:val="nil"/>
              <w:left w:val="nil"/>
              <w:bottom w:val="single" w:color="auto" w:sz="4" w:space="0"/>
              <w:right w:val="single" w:color="auto" w:sz="4" w:space="0"/>
            </w:tcBorders>
            <w:noWrap/>
            <w:vAlign w:val="center"/>
          </w:tcPr>
          <w:p w14:paraId="1A57CE44">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希捷或同档次产品</w:t>
            </w:r>
          </w:p>
        </w:tc>
      </w:tr>
      <w:tr w14:paraId="3F3C4D4C">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1C026BEE">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4</w:t>
            </w:r>
          </w:p>
        </w:tc>
        <w:tc>
          <w:tcPr>
            <w:tcW w:w="736" w:type="pct"/>
            <w:tcBorders>
              <w:top w:val="nil"/>
              <w:left w:val="nil"/>
              <w:bottom w:val="single" w:color="auto" w:sz="4" w:space="0"/>
              <w:right w:val="single" w:color="auto" w:sz="4" w:space="0"/>
            </w:tcBorders>
            <w:noWrap w:val="0"/>
            <w:vAlign w:val="center"/>
          </w:tcPr>
          <w:p w14:paraId="013CEFFE">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硬盘录像机</w:t>
            </w:r>
          </w:p>
        </w:tc>
        <w:tc>
          <w:tcPr>
            <w:tcW w:w="1987" w:type="pct"/>
            <w:tcBorders>
              <w:top w:val="nil"/>
              <w:left w:val="nil"/>
              <w:bottom w:val="single" w:color="auto" w:sz="4" w:space="0"/>
              <w:right w:val="single" w:color="auto" w:sz="4" w:space="0"/>
            </w:tcBorders>
            <w:noWrap w:val="0"/>
            <w:vAlign w:val="center"/>
          </w:tcPr>
          <w:p w14:paraId="19C9B41C">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均采用16盘位</w:t>
            </w:r>
          </w:p>
        </w:tc>
        <w:tc>
          <w:tcPr>
            <w:tcW w:w="2059" w:type="pct"/>
            <w:tcBorders>
              <w:top w:val="nil"/>
              <w:left w:val="nil"/>
              <w:bottom w:val="single" w:color="auto" w:sz="4" w:space="0"/>
              <w:right w:val="single" w:color="auto" w:sz="4" w:space="0"/>
            </w:tcBorders>
            <w:noWrap w:val="0"/>
            <w:vAlign w:val="center"/>
          </w:tcPr>
          <w:p w14:paraId="408E0C9A">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海康威视或同档次产品</w:t>
            </w:r>
          </w:p>
        </w:tc>
      </w:tr>
      <w:tr w14:paraId="1CF2F497">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37979EBF">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5</w:t>
            </w:r>
          </w:p>
        </w:tc>
        <w:tc>
          <w:tcPr>
            <w:tcW w:w="736" w:type="pct"/>
            <w:tcBorders>
              <w:top w:val="nil"/>
              <w:left w:val="nil"/>
              <w:bottom w:val="single" w:color="auto" w:sz="4" w:space="0"/>
              <w:right w:val="single" w:color="auto" w:sz="4" w:space="0"/>
            </w:tcBorders>
            <w:noWrap w:val="0"/>
            <w:vAlign w:val="center"/>
          </w:tcPr>
          <w:p w14:paraId="105D39C4">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报警主机</w:t>
            </w:r>
          </w:p>
        </w:tc>
        <w:tc>
          <w:tcPr>
            <w:tcW w:w="1987" w:type="pct"/>
            <w:tcBorders>
              <w:top w:val="nil"/>
              <w:left w:val="nil"/>
              <w:bottom w:val="single" w:color="auto" w:sz="4" w:space="0"/>
              <w:right w:val="single" w:color="auto" w:sz="4" w:space="0"/>
            </w:tcBorders>
            <w:noWrap w:val="0"/>
            <w:vAlign w:val="center"/>
          </w:tcPr>
          <w:p w14:paraId="63FE44B1">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VISTA-128，二级报警，布线采用总线制方式</w:t>
            </w:r>
          </w:p>
        </w:tc>
        <w:tc>
          <w:tcPr>
            <w:tcW w:w="2059" w:type="pct"/>
            <w:tcBorders>
              <w:top w:val="nil"/>
              <w:left w:val="nil"/>
              <w:bottom w:val="single" w:color="auto" w:sz="4" w:space="0"/>
              <w:right w:val="single" w:color="auto" w:sz="4" w:space="0"/>
            </w:tcBorders>
            <w:noWrap w:val="0"/>
            <w:vAlign w:val="center"/>
          </w:tcPr>
          <w:p w14:paraId="3E2B37BD">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霍尼韦尔或同档次产品</w:t>
            </w:r>
          </w:p>
        </w:tc>
      </w:tr>
      <w:tr w14:paraId="2EEC3E10">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7198A10B">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6</w:t>
            </w:r>
          </w:p>
        </w:tc>
        <w:tc>
          <w:tcPr>
            <w:tcW w:w="736" w:type="pct"/>
            <w:tcBorders>
              <w:top w:val="nil"/>
              <w:left w:val="nil"/>
              <w:bottom w:val="single" w:color="auto" w:sz="4" w:space="0"/>
              <w:right w:val="single" w:color="auto" w:sz="4" w:space="0"/>
            </w:tcBorders>
            <w:noWrap w:val="0"/>
            <w:vAlign w:val="center"/>
          </w:tcPr>
          <w:p w14:paraId="3D94EC6B">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监控用交换机</w:t>
            </w:r>
          </w:p>
        </w:tc>
        <w:tc>
          <w:tcPr>
            <w:tcW w:w="1987" w:type="pct"/>
            <w:tcBorders>
              <w:top w:val="nil"/>
              <w:left w:val="nil"/>
              <w:bottom w:val="single" w:color="auto" w:sz="4" w:space="0"/>
              <w:right w:val="single" w:color="auto" w:sz="4" w:space="0"/>
            </w:tcBorders>
            <w:noWrap w:val="0"/>
            <w:vAlign w:val="center"/>
          </w:tcPr>
          <w:p w14:paraId="15A81394">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接入交换机、核心交换机，千兆，非POE型</w:t>
            </w:r>
          </w:p>
        </w:tc>
        <w:tc>
          <w:tcPr>
            <w:tcW w:w="2059" w:type="pct"/>
            <w:tcBorders>
              <w:top w:val="nil"/>
              <w:left w:val="nil"/>
              <w:bottom w:val="single" w:color="auto" w:sz="4" w:space="0"/>
              <w:right w:val="single" w:color="auto" w:sz="4" w:space="0"/>
            </w:tcBorders>
            <w:noWrap w:val="0"/>
            <w:vAlign w:val="center"/>
          </w:tcPr>
          <w:p w14:paraId="1C731570">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华为、华三或同档次产品</w:t>
            </w:r>
          </w:p>
        </w:tc>
      </w:tr>
      <w:tr w14:paraId="4DD1144E">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34D39E05">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7</w:t>
            </w:r>
          </w:p>
        </w:tc>
        <w:tc>
          <w:tcPr>
            <w:tcW w:w="736" w:type="pct"/>
            <w:tcBorders>
              <w:top w:val="nil"/>
              <w:left w:val="nil"/>
              <w:bottom w:val="single" w:color="auto" w:sz="4" w:space="0"/>
              <w:right w:val="single" w:color="auto" w:sz="4" w:space="0"/>
            </w:tcBorders>
            <w:noWrap w:val="0"/>
            <w:vAlign w:val="center"/>
          </w:tcPr>
          <w:p w14:paraId="6E87570E">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摄像机电源</w:t>
            </w:r>
          </w:p>
        </w:tc>
        <w:tc>
          <w:tcPr>
            <w:tcW w:w="1987" w:type="pct"/>
            <w:tcBorders>
              <w:top w:val="nil"/>
              <w:left w:val="nil"/>
              <w:bottom w:val="single" w:color="auto" w:sz="4" w:space="0"/>
              <w:right w:val="single" w:color="auto" w:sz="4" w:space="0"/>
            </w:tcBorders>
            <w:noWrap w:val="0"/>
            <w:vAlign w:val="center"/>
          </w:tcPr>
          <w:p w14:paraId="73F6CC3C">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八路机架式，分线路控制、带指示灯功能</w:t>
            </w:r>
          </w:p>
        </w:tc>
        <w:tc>
          <w:tcPr>
            <w:tcW w:w="2059" w:type="pct"/>
            <w:tcBorders>
              <w:top w:val="nil"/>
              <w:left w:val="nil"/>
              <w:bottom w:val="single" w:color="auto" w:sz="4" w:space="0"/>
              <w:right w:val="single" w:color="auto" w:sz="4" w:space="0"/>
            </w:tcBorders>
            <w:noWrap w:val="0"/>
            <w:vAlign w:val="center"/>
          </w:tcPr>
          <w:p w14:paraId="30B6F57E">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国产高档性能稳定</w:t>
            </w:r>
          </w:p>
        </w:tc>
      </w:tr>
      <w:tr w14:paraId="38DC1B1F">
        <w:tblPrEx>
          <w:tblCellMar>
            <w:top w:w="0" w:type="dxa"/>
            <w:left w:w="108" w:type="dxa"/>
            <w:bottom w:w="0" w:type="dxa"/>
            <w:right w:w="108" w:type="dxa"/>
          </w:tblCellMar>
        </w:tblPrEx>
        <w:trPr>
          <w:trHeight w:val="585" w:hRule="atLeast"/>
        </w:trPr>
        <w:tc>
          <w:tcPr>
            <w:tcW w:w="216" w:type="pct"/>
            <w:tcBorders>
              <w:top w:val="nil"/>
              <w:left w:val="single" w:color="auto" w:sz="4" w:space="0"/>
              <w:bottom w:val="single" w:color="auto" w:sz="4" w:space="0"/>
              <w:right w:val="single" w:color="auto" w:sz="4" w:space="0"/>
            </w:tcBorders>
            <w:noWrap w:val="0"/>
            <w:vAlign w:val="center"/>
          </w:tcPr>
          <w:p w14:paraId="2F2873F0">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8</w:t>
            </w:r>
          </w:p>
        </w:tc>
        <w:tc>
          <w:tcPr>
            <w:tcW w:w="736" w:type="pct"/>
            <w:tcBorders>
              <w:top w:val="nil"/>
              <w:left w:val="nil"/>
              <w:bottom w:val="single" w:color="auto" w:sz="4" w:space="0"/>
              <w:right w:val="single" w:color="auto" w:sz="4" w:space="0"/>
            </w:tcBorders>
            <w:noWrap w:val="0"/>
            <w:vAlign w:val="center"/>
          </w:tcPr>
          <w:p w14:paraId="3EE7BBEB">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安防机柜</w:t>
            </w:r>
          </w:p>
        </w:tc>
        <w:tc>
          <w:tcPr>
            <w:tcW w:w="1987" w:type="pct"/>
            <w:tcBorders>
              <w:top w:val="nil"/>
              <w:left w:val="nil"/>
              <w:bottom w:val="single" w:color="auto" w:sz="4" w:space="0"/>
              <w:right w:val="single" w:color="auto" w:sz="4" w:space="0"/>
            </w:tcBorders>
            <w:noWrap w:val="0"/>
            <w:vAlign w:val="center"/>
          </w:tcPr>
          <w:p w14:paraId="1D03DB3E">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800*1000*2000，正、反柜面均打孔板</w:t>
            </w:r>
          </w:p>
        </w:tc>
        <w:tc>
          <w:tcPr>
            <w:tcW w:w="2059" w:type="pct"/>
            <w:tcBorders>
              <w:top w:val="nil"/>
              <w:left w:val="nil"/>
              <w:bottom w:val="single" w:color="auto" w:sz="4" w:space="0"/>
              <w:right w:val="single" w:color="auto" w:sz="4" w:space="0"/>
            </w:tcBorders>
            <w:noWrap w:val="0"/>
            <w:vAlign w:val="center"/>
          </w:tcPr>
          <w:p w14:paraId="4DD9C197">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施耐德、图腾或同档次</w:t>
            </w:r>
          </w:p>
        </w:tc>
      </w:tr>
      <w:tr w14:paraId="302FCCA1">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16A47813">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9</w:t>
            </w:r>
          </w:p>
        </w:tc>
        <w:tc>
          <w:tcPr>
            <w:tcW w:w="736" w:type="pct"/>
            <w:tcBorders>
              <w:top w:val="nil"/>
              <w:left w:val="nil"/>
              <w:bottom w:val="single" w:color="auto" w:sz="4" w:space="0"/>
              <w:right w:val="single" w:color="auto" w:sz="4" w:space="0"/>
            </w:tcBorders>
            <w:noWrap w:val="0"/>
            <w:vAlign w:val="center"/>
          </w:tcPr>
          <w:p w14:paraId="47641C4C">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拾音器</w:t>
            </w:r>
          </w:p>
        </w:tc>
        <w:tc>
          <w:tcPr>
            <w:tcW w:w="1987" w:type="pct"/>
            <w:tcBorders>
              <w:top w:val="nil"/>
              <w:left w:val="nil"/>
              <w:bottom w:val="single" w:color="auto" w:sz="4" w:space="0"/>
              <w:right w:val="single" w:color="auto" w:sz="4" w:space="0"/>
            </w:tcBorders>
            <w:noWrap w:val="0"/>
            <w:vAlign w:val="center"/>
          </w:tcPr>
          <w:p w14:paraId="021FE076">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吸顶、桌面安装方式，接入对应摄像机</w:t>
            </w:r>
          </w:p>
        </w:tc>
        <w:tc>
          <w:tcPr>
            <w:tcW w:w="2059" w:type="pct"/>
            <w:tcBorders>
              <w:top w:val="nil"/>
              <w:left w:val="nil"/>
              <w:bottom w:val="single" w:color="auto" w:sz="4" w:space="0"/>
              <w:right w:val="single" w:color="auto" w:sz="4" w:space="0"/>
            </w:tcBorders>
            <w:noWrap w:val="0"/>
            <w:vAlign w:val="center"/>
          </w:tcPr>
          <w:p w14:paraId="631EFE31">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海康威视或同档次产品</w:t>
            </w:r>
          </w:p>
        </w:tc>
      </w:tr>
      <w:tr w14:paraId="68D8C134">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0199549A">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10</w:t>
            </w:r>
          </w:p>
        </w:tc>
        <w:tc>
          <w:tcPr>
            <w:tcW w:w="736" w:type="pct"/>
            <w:tcBorders>
              <w:top w:val="nil"/>
              <w:left w:val="nil"/>
              <w:bottom w:val="single" w:color="auto" w:sz="4" w:space="0"/>
              <w:right w:val="single" w:color="auto" w:sz="4" w:space="0"/>
            </w:tcBorders>
            <w:noWrap w:val="0"/>
            <w:vAlign w:val="center"/>
          </w:tcPr>
          <w:p w14:paraId="37C25062">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报警联动设备</w:t>
            </w:r>
          </w:p>
        </w:tc>
        <w:tc>
          <w:tcPr>
            <w:tcW w:w="1987" w:type="pct"/>
            <w:tcBorders>
              <w:top w:val="nil"/>
              <w:left w:val="nil"/>
              <w:bottom w:val="single" w:color="auto" w:sz="4" w:space="0"/>
              <w:right w:val="single" w:color="auto" w:sz="4" w:space="0"/>
            </w:tcBorders>
            <w:noWrap/>
            <w:vAlign w:val="center"/>
          </w:tcPr>
          <w:p w14:paraId="4942D5E8">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4204联动模块等</w:t>
            </w:r>
          </w:p>
        </w:tc>
        <w:tc>
          <w:tcPr>
            <w:tcW w:w="2059" w:type="pct"/>
            <w:tcBorders>
              <w:top w:val="nil"/>
              <w:left w:val="nil"/>
              <w:bottom w:val="single" w:color="auto" w:sz="4" w:space="0"/>
              <w:right w:val="single" w:color="auto" w:sz="4" w:space="0"/>
            </w:tcBorders>
            <w:noWrap/>
            <w:vAlign w:val="center"/>
          </w:tcPr>
          <w:p w14:paraId="30FDF3CF">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霍尼韦尔或同档次产品</w:t>
            </w:r>
          </w:p>
        </w:tc>
      </w:tr>
      <w:tr w14:paraId="0723FE15">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45EF1DB6">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11</w:t>
            </w:r>
          </w:p>
        </w:tc>
        <w:tc>
          <w:tcPr>
            <w:tcW w:w="736" w:type="pct"/>
            <w:tcBorders>
              <w:top w:val="nil"/>
              <w:left w:val="nil"/>
              <w:bottom w:val="single" w:color="auto" w:sz="4" w:space="0"/>
              <w:right w:val="single" w:color="auto" w:sz="4" w:space="0"/>
            </w:tcBorders>
            <w:noWrap w:val="0"/>
            <w:vAlign w:val="center"/>
          </w:tcPr>
          <w:p w14:paraId="24E0B91F">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窗口对讲系统</w:t>
            </w:r>
          </w:p>
        </w:tc>
        <w:tc>
          <w:tcPr>
            <w:tcW w:w="1987" w:type="pct"/>
            <w:tcBorders>
              <w:top w:val="nil"/>
              <w:left w:val="nil"/>
              <w:bottom w:val="single" w:color="auto" w:sz="4" w:space="0"/>
              <w:right w:val="single" w:color="auto" w:sz="4" w:space="0"/>
            </w:tcBorders>
            <w:noWrap w:val="0"/>
            <w:vAlign w:val="center"/>
          </w:tcPr>
          <w:p w14:paraId="2F0EA7AC">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2016DL＋，兼作现金柜台拾音设备</w:t>
            </w:r>
          </w:p>
        </w:tc>
        <w:tc>
          <w:tcPr>
            <w:tcW w:w="2059" w:type="pct"/>
            <w:tcBorders>
              <w:top w:val="nil"/>
              <w:left w:val="nil"/>
              <w:bottom w:val="single" w:color="auto" w:sz="4" w:space="0"/>
              <w:right w:val="single" w:color="auto" w:sz="4" w:space="0"/>
            </w:tcBorders>
            <w:noWrap w:val="0"/>
            <w:vAlign w:val="center"/>
          </w:tcPr>
          <w:p w14:paraId="0CC2F7F3">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深圳来邦或同档次产品</w:t>
            </w:r>
          </w:p>
        </w:tc>
      </w:tr>
      <w:tr w14:paraId="008ACDDA">
        <w:tblPrEx>
          <w:tblCellMar>
            <w:top w:w="0" w:type="dxa"/>
            <w:left w:w="108" w:type="dxa"/>
            <w:bottom w:w="0" w:type="dxa"/>
            <w:right w:w="108" w:type="dxa"/>
          </w:tblCellMar>
        </w:tblPrEx>
        <w:trPr>
          <w:trHeight w:val="540" w:hRule="atLeast"/>
        </w:trPr>
        <w:tc>
          <w:tcPr>
            <w:tcW w:w="216" w:type="pct"/>
            <w:tcBorders>
              <w:top w:val="nil"/>
              <w:left w:val="single" w:color="auto" w:sz="4" w:space="0"/>
              <w:bottom w:val="single" w:color="auto" w:sz="4" w:space="0"/>
              <w:right w:val="single" w:color="auto" w:sz="4" w:space="0"/>
            </w:tcBorders>
            <w:noWrap w:val="0"/>
            <w:vAlign w:val="center"/>
          </w:tcPr>
          <w:p w14:paraId="3EF34B8C">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12</w:t>
            </w:r>
          </w:p>
        </w:tc>
        <w:tc>
          <w:tcPr>
            <w:tcW w:w="736" w:type="pct"/>
            <w:tcBorders>
              <w:top w:val="nil"/>
              <w:left w:val="nil"/>
              <w:bottom w:val="single" w:color="auto" w:sz="4" w:space="0"/>
              <w:right w:val="single" w:color="auto" w:sz="4" w:space="0"/>
            </w:tcBorders>
            <w:noWrap w:val="0"/>
            <w:vAlign w:val="center"/>
          </w:tcPr>
          <w:p w14:paraId="2856E1C0">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可视对讲</w:t>
            </w:r>
          </w:p>
        </w:tc>
        <w:tc>
          <w:tcPr>
            <w:tcW w:w="1987" w:type="pct"/>
            <w:tcBorders>
              <w:top w:val="nil"/>
              <w:left w:val="nil"/>
              <w:bottom w:val="single" w:color="auto" w:sz="4" w:space="0"/>
              <w:right w:val="single" w:color="auto" w:sz="4" w:space="0"/>
            </w:tcBorders>
            <w:noWrap w:val="0"/>
            <w:vAlign w:val="center"/>
          </w:tcPr>
          <w:p w14:paraId="42380CB9">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监控中心（室）、现金区二道门、员工通道等处使用</w:t>
            </w:r>
          </w:p>
        </w:tc>
        <w:tc>
          <w:tcPr>
            <w:tcW w:w="2059" w:type="pct"/>
            <w:tcBorders>
              <w:top w:val="nil"/>
              <w:left w:val="nil"/>
              <w:bottom w:val="single" w:color="auto" w:sz="4" w:space="0"/>
              <w:right w:val="single" w:color="auto" w:sz="4" w:space="0"/>
            </w:tcBorders>
            <w:noWrap w:val="0"/>
            <w:vAlign w:val="center"/>
          </w:tcPr>
          <w:p w14:paraId="301D4016">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三星、视得安、海康或同档次产品</w:t>
            </w:r>
          </w:p>
        </w:tc>
      </w:tr>
      <w:tr w14:paraId="7417403D">
        <w:tblPrEx>
          <w:tblCellMar>
            <w:top w:w="0" w:type="dxa"/>
            <w:left w:w="108" w:type="dxa"/>
            <w:bottom w:w="0" w:type="dxa"/>
            <w:right w:w="108" w:type="dxa"/>
          </w:tblCellMar>
        </w:tblPrEx>
        <w:trPr>
          <w:trHeight w:val="645" w:hRule="atLeast"/>
        </w:trPr>
        <w:tc>
          <w:tcPr>
            <w:tcW w:w="216" w:type="pct"/>
            <w:tcBorders>
              <w:top w:val="nil"/>
              <w:left w:val="single" w:color="auto" w:sz="4" w:space="0"/>
              <w:bottom w:val="single" w:color="auto" w:sz="4" w:space="0"/>
              <w:right w:val="single" w:color="auto" w:sz="4" w:space="0"/>
            </w:tcBorders>
            <w:noWrap w:val="0"/>
            <w:vAlign w:val="center"/>
          </w:tcPr>
          <w:p w14:paraId="67741213">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13</w:t>
            </w:r>
          </w:p>
        </w:tc>
        <w:tc>
          <w:tcPr>
            <w:tcW w:w="736" w:type="pct"/>
            <w:tcBorders>
              <w:top w:val="nil"/>
              <w:left w:val="nil"/>
              <w:bottom w:val="single" w:color="auto" w:sz="4" w:space="0"/>
              <w:right w:val="single" w:color="auto" w:sz="4" w:space="0"/>
            </w:tcBorders>
            <w:noWrap w:val="0"/>
            <w:vAlign w:val="center"/>
          </w:tcPr>
          <w:p w14:paraId="7D8AD0CF">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IP对讲设备</w:t>
            </w:r>
          </w:p>
        </w:tc>
        <w:tc>
          <w:tcPr>
            <w:tcW w:w="1987" w:type="pct"/>
            <w:tcBorders>
              <w:top w:val="nil"/>
              <w:left w:val="nil"/>
              <w:bottom w:val="single" w:color="auto" w:sz="4" w:space="0"/>
              <w:right w:val="single" w:color="auto" w:sz="4" w:space="0"/>
            </w:tcBorders>
            <w:noWrap w:val="0"/>
            <w:vAlign w:val="center"/>
          </w:tcPr>
          <w:p w14:paraId="6FAA500D">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型号规格以设计图为准</w:t>
            </w:r>
          </w:p>
        </w:tc>
        <w:tc>
          <w:tcPr>
            <w:tcW w:w="2059" w:type="pct"/>
            <w:tcBorders>
              <w:top w:val="nil"/>
              <w:left w:val="nil"/>
              <w:bottom w:val="single" w:color="auto" w:sz="4" w:space="0"/>
              <w:right w:val="single" w:color="auto" w:sz="4" w:space="0"/>
            </w:tcBorders>
            <w:noWrap w:val="0"/>
            <w:vAlign w:val="center"/>
          </w:tcPr>
          <w:p w14:paraId="6D7C9A14">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来邦/海康/大华</w:t>
            </w:r>
          </w:p>
        </w:tc>
      </w:tr>
      <w:tr w14:paraId="5241D429">
        <w:tblPrEx>
          <w:tblCellMar>
            <w:top w:w="0" w:type="dxa"/>
            <w:left w:w="108" w:type="dxa"/>
            <w:bottom w:w="0" w:type="dxa"/>
            <w:right w:w="108" w:type="dxa"/>
          </w:tblCellMar>
        </w:tblPrEx>
        <w:trPr>
          <w:trHeight w:val="645" w:hRule="atLeast"/>
        </w:trPr>
        <w:tc>
          <w:tcPr>
            <w:tcW w:w="216" w:type="pct"/>
            <w:tcBorders>
              <w:top w:val="nil"/>
              <w:left w:val="single" w:color="auto" w:sz="4" w:space="0"/>
              <w:bottom w:val="single" w:color="auto" w:sz="4" w:space="0"/>
              <w:right w:val="single" w:color="auto" w:sz="4" w:space="0"/>
            </w:tcBorders>
            <w:noWrap w:val="0"/>
            <w:vAlign w:val="center"/>
          </w:tcPr>
          <w:p w14:paraId="612093BE">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14</w:t>
            </w:r>
          </w:p>
        </w:tc>
        <w:tc>
          <w:tcPr>
            <w:tcW w:w="736" w:type="pct"/>
            <w:tcBorders>
              <w:top w:val="nil"/>
              <w:left w:val="nil"/>
              <w:bottom w:val="single" w:color="auto" w:sz="4" w:space="0"/>
              <w:right w:val="single" w:color="auto" w:sz="4" w:space="0"/>
            </w:tcBorders>
            <w:noWrap w:val="0"/>
            <w:vAlign w:val="center"/>
          </w:tcPr>
          <w:p w14:paraId="016215EC">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自助银行语音控制器</w:t>
            </w:r>
          </w:p>
        </w:tc>
        <w:tc>
          <w:tcPr>
            <w:tcW w:w="1987" w:type="pct"/>
            <w:tcBorders>
              <w:top w:val="nil"/>
              <w:left w:val="nil"/>
              <w:bottom w:val="single" w:color="auto" w:sz="4" w:space="0"/>
              <w:right w:val="single" w:color="auto" w:sz="4" w:space="0"/>
            </w:tcBorders>
            <w:noWrap w:val="0"/>
            <w:vAlign w:val="center"/>
          </w:tcPr>
          <w:p w14:paraId="313C71F4">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型号规格以设计图为准</w:t>
            </w:r>
          </w:p>
        </w:tc>
        <w:tc>
          <w:tcPr>
            <w:tcW w:w="2059" w:type="pct"/>
            <w:tcBorders>
              <w:top w:val="nil"/>
              <w:left w:val="nil"/>
              <w:bottom w:val="single" w:color="auto" w:sz="4" w:space="0"/>
              <w:right w:val="single" w:color="auto" w:sz="4" w:space="0"/>
            </w:tcBorders>
            <w:noWrap w:val="0"/>
            <w:vAlign w:val="center"/>
          </w:tcPr>
          <w:p w14:paraId="4BD2CD67">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国产高档性能稳定</w:t>
            </w:r>
          </w:p>
        </w:tc>
      </w:tr>
      <w:tr w14:paraId="0C521F79">
        <w:tblPrEx>
          <w:tblCellMar>
            <w:top w:w="0" w:type="dxa"/>
            <w:left w:w="108" w:type="dxa"/>
            <w:bottom w:w="0" w:type="dxa"/>
            <w:right w:w="108" w:type="dxa"/>
          </w:tblCellMar>
        </w:tblPrEx>
        <w:trPr>
          <w:trHeight w:val="643" w:hRule="atLeast"/>
        </w:trPr>
        <w:tc>
          <w:tcPr>
            <w:tcW w:w="216" w:type="pct"/>
            <w:tcBorders>
              <w:top w:val="nil"/>
              <w:left w:val="single" w:color="auto" w:sz="4" w:space="0"/>
              <w:bottom w:val="single" w:color="auto" w:sz="4" w:space="0"/>
              <w:right w:val="single" w:color="auto" w:sz="4" w:space="0"/>
            </w:tcBorders>
            <w:noWrap w:val="0"/>
            <w:vAlign w:val="center"/>
          </w:tcPr>
          <w:p w14:paraId="42D981C0">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15</w:t>
            </w:r>
          </w:p>
        </w:tc>
        <w:tc>
          <w:tcPr>
            <w:tcW w:w="736" w:type="pct"/>
            <w:tcBorders>
              <w:top w:val="nil"/>
              <w:left w:val="nil"/>
              <w:bottom w:val="single" w:color="auto" w:sz="4" w:space="0"/>
              <w:right w:val="single" w:color="auto" w:sz="4" w:space="0"/>
            </w:tcBorders>
            <w:noWrap w:val="0"/>
            <w:vAlign w:val="center"/>
          </w:tcPr>
          <w:p w14:paraId="46FF43FD">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技防系统线缆</w:t>
            </w:r>
          </w:p>
        </w:tc>
        <w:tc>
          <w:tcPr>
            <w:tcW w:w="1987" w:type="pct"/>
            <w:tcBorders>
              <w:top w:val="nil"/>
              <w:left w:val="nil"/>
              <w:bottom w:val="single" w:color="auto" w:sz="4" w:space="0"/>
              <w:right w:val="single" w:color="auto" w:sz="4" w:space="0"/>
            </w:tcBorders>
            <w:noWrap w:val="0"/>
            <w:vAlign w:val="center"/>
          </w:tcPr>
          <w:p w14:paraId="0B01D791">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摄像机电源线/按钮线RVV2*1.0、红外报警线RVV4*1.0、音频线RVVP2*1.0等</w:t>
            </w:r>
          </w:p>
        </w:tc>
        <w:tc>
          <w:tcPr>
            <w:tcW w:w="2059" w:type="pct"/>
            <w:tcBorders>
              <w:top w:val="nil"/>
              <w:left w:val="nil"/>
              <w:bottom w:val="single" w:color="auto" w:sz="4" w:space="0"/>
              <w:right w:val="single" w:color="auto" w:sz="4" w:space="0"/>
            </w:tcBorders>
            <w:noWrap w:val="0"/>
            <w:vAlign w:val="center"/>
          </w:tcPr>
          <w:p w14:paraId="7369ADBC">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江苏天诚、爱谱华顿或同档次产品</w:t>
            </w:r>
          </w:p>
        </w:tc>
      </w:tr>
      <w:tr w14:paraId="6D3B156B">
        <w:tblPrEx>
          <w:tblCellMar>
            <w:top w:w="0" w:type="dxa"/>
            <w:left w:w="108" w:type="dxa"/>
            <w:bottom w:w="0" w:type="dxa"/>
            <w:right w:w="108" w:type="dxa"/>
          </w:tblCellMar>
        </w:tblPrEx>
        <w:trPr>
          <w:trHeight w:val="549"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0DDEBF1E">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19</w:t>
            </w:r>
          </w:p>
        </w:tc>
        <w:tc>
          <w:tcPr>
            <w:tcW w:w="736" w:type="pct"/>
            <w:tcBorders>
              <w:top w:val="single" w:color="auto" w:sz="4" w:space="0"/>
              <w:left w:val="nil"/>
              <w:bottom w:val="single" w:color="auto" w:sz="4" w:space="0"/>
              <w:right w:val="single" w:color="auto" w:sz="4" w:space="0"/>
            </w:tcBorders>
            <w:noWrap w:val="0"/>
            <w:vAlign w:val="center"/>
          </w:tcPr>
          <w:p w14:paraId="10E6D0F2">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防雷接地设备</w:t>
            </w:r>
          </w:p>
        </w:tc>
        <w:tc>
          <w:tcPr>
            <w:tcW w:w="1987" w:type="pct"/>
            <w:tcBorders>
              <w:top w:val="single" w:color="auto" w:sz="4" w:space="0"/>
              <w:left w:val="nil"/>
              <w:bottom w:val="single" w:color="auto" w:sz="4" w:space="0"/>
              <w:right w:val="single" w:color="auto" w:sz="4" w:space="0"/>
            </w:tcBorders>
            <w:noWrap w:val="0"/>
            <w:vAlign w:val="center"/>
          </w:tcPr>
          <w:p w14:paraId="49117C3D">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型号规格以设计图为准</w:t>
            </w:r>
          </w:p>
        </w:tc>
        <w:tc>
          <w:tcPr>
            <w:tcW w:w="2059" w:type="pct"/>
            <w:tcBorders>
              <w:top w:val="single" w:color="auto" w:sz="4" w:space="0"/>
              <w:left w:val="nil"/>
              <w:bottom w:val="single" w:color="auto" w:sz="4" w:space="0"/>
              <w:right w:val="single" w:color="auto" w:sz="4" w:space="0"/>
            </w:tcBorders>
            <w:noWrap w:val="0"/>
            <w:vAlign w:val="center"/>
          </w:tcPr>
          <w:p w14:paraId="4E3256E6">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施耐德、ABB、西门子</w:t>
            </w:r>
          </w:p>
        </w:tc>
      </w:tr>
      <w:tr w14:paraId="780E6413">
        <w:tblPrEx>
          <w:tblCellMar>
            <w:top w:w="0" w:type="dxa"/>
            <w:left w:w="108" w:type="dxa"/>
            <w:bottom w:w="0" w:type="dxa"/>
            <w:right w:w="108" w:type="dxa"/>
          </w:tblCellMar>
        </w:tblPrEx>
        <w:trPr>
          <w:trHeight w:val="1015"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63334687">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21</w:t>
            </w:r>
          </w:p>
        </w:tc>
        <w:tc>
          <w:tcPr>
            <w:tcW w:w="736" w:type="pct"/>
            <w:tcBorders>
              <w:top w:val="single" w:color="auto" w:sz="4" w:space="0"/>
              <w:left w:val="nil"/>
              <w:bottom w:val="single" w:color="auto" w:sz="4" w:space="0"/>
              <w:right w:val="single" w:color="auto" w:sz="4" w:space="0"/>
            </w:tcBorders>
            <w:noWrap w:val="0"/>
            <w:vAlign w:val="center"/>
          </w:tcPr>
          <w:p w14:paraId="74FDFD82">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静电地板</w:t>
            </w:r>
          </w:p>
        </w:tc>
        <w:tc>
          <w:tcPr>
            <w:tcW w:w="1987" w:type="pct"/>
            <w:tcBorders>
              <w:top w:val="single" w:color="auto" w:sz="4" w:space="0"/>
              <w:left w:val="nil"/>
              <w:bottom w:val="single" w:color="auto" w:sz="4" w:space="0"/>
              <w:right w:val="single" w:color="auto" w:sz="4" w:space="0"/>
            </w:tcBorders>
            <w:noWrap/>
            <w:vAlign w:val="center"/>
          </w:tcPr>
          <w:p w14:paraId="6BAC3E04">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计算机机房、监控室使用，全钢制无边框，一般采用30cm支架，有精密空调下送风的区域采用40cm支架</w:t>
            </w:r>
          </w:p>
        </w:tc>
        <w:tc>
          <w:tcPr>
            <w:tcW w:w="2059" w:type="pct"/>
            <w:tcBorders>
              <w:top w:val="single" w:color="auto" w:sz="4" w:space="0"/>
              <w:left w:val="nil"/>
              <w:bottom w:val="single" w:color="auto" w:sz="4" w:space="0"/>
              <w:right w:val="single" w:color="auto" w:sz="4" w:space="0"/>
            </w:tcBorders>
            <w:noWrap/>
            <w:vAlign w:val="center"/>
          </w:tcPr>
          <w:p w14:paraId="31393392">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沈阳沈飞、美露</w:t>
            </w:r>
            <w:r>
              <w:rPr>
                <w:rFonts w:hint="eastAsia" w:ascii="仿宋_GB2312" w:hAnsi="仿宋" w:eastAsia="仿宋_GB2312" w:cs="宋体"/>
                <w:kern w:val="0"/>
                <w:sz w:val="20"/>
                <w:szCs w:val="20"/>
                <w:highlight w:val="none"/>
                <w:lang w:eastAsia="zh-CN"/>
              </w:rPr>
              <w:t>、</w:t>
            </w:r>
            <w:r>
              <w:rPr>
                <w:rFonts w:hint="eastAsia" w:ascii="宋体" w:hAnsi="宋体" w:eastAsia="宋体"/>
                <w:szCs w:val="21"/>
                <w:highlight w:val="none"/>
              </w:rPr>
              <w:t>汇迈</w:t>
            </w:r>
            <w:r>
              <w:rPr>
                <w:rFonts w:hint="eastAsia" w:ascii="仿宋_GB2312" w:hAnsi="仿宋" w:eastAsia="仿宋_GB2312" w:cs="宋体"/>
                <w:kern w:val="0"/>
                <w:sz w:val="20"/>
                <w:szCs w:val="20"/>
                <w:highlight w:val="none"/>
              </w:rPr>
              <w:t>或同档次</w:t>
            </w:r>
          </w:p>
        </w:tc>
      </w:tr>
      <w:tr w14:paraId="1C832361">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54D7847D">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23</w:t>
            </w:r>
          </w:p>
        </w:tc>
        <w:tc>
          <w:tcPr>
            <w:tcW w:w="736" w:type="pct"/>
            <w:tcBorders>
              <w:top w:val="single" w:color="auto" w:sz="4" w:space="0"/>
              <w:left w:val="nil"/>
              <w:bottom w:val="single" w:color="auto" w:sz="4" w:space="0"/>
              <w:right w:val="single" w:color="auto" w:sz="4" w:space="0"/>
            </w:tcBorders>
            <w:noWrap w:val="0"/>
            <w:vAlign w:val="center"/>
          </w:tcPr>
          <w:p w14:paraId="36B0B0CA">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JDG管</w:t>
            </w:r>
          </w:p>
        </w:tc>
        <w:tc>
          <w:tcPr>
            <w:tcW w:w="1987" w:type="pct"/>
            <w:tcBorders>
              <w:top w:val="single" w:color="auto" w:sz="4" w:space="0"/>
              <w:left w:val="nil"/>
              <w:bottom w:val="single" w:color="auto" w:sz="4" w:space="0"/>
              <w:right w:val="single" w:color="auto" w:sz="4" w:space="0"/>
            </w:tcBorders>
            <w:noWrap/>
            <w:vAlign w:val="center"/>
          </w:tcPr>
          <w:p w14:paraId="7C479DC9">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符合国标标准（壁厚1.2mm以上）</w:t>
            </w:r>
          </w:p>
        </w:tc>
        <w:tc>
          <w:tcPr>
            <w:tcW w:w="2059" w:type="pct"/>
            <w:tcBorders>
              <w:top w:val="single" w:color="auto" w:sz="4" w:space="0"/>
              <w:left w:val="nil"/>
              <w:bottom w:val="single" w:color="auto" w:sz="4" w:space="0"/>
              <w:right w:val="single" w:color="auto" w:sz="4" w:space="0"/>
            </w:tcBorders>
            <w:noWrap/>
            <w:vAlign w:val="center"/>
          </w:tcPr>
          <w:p w14:paraId="56866843">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国标天一、一通或同档次当地知名品牌</w:t>
            </w:r>
          </w:p>
        </w:tc>
      </w:tr>
      <w:tr w14:paraId="161BAAA4">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30E989A8">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24</w:t>
            </w:r>
          </w:p>
        </w:tc>
        <w:tc>
          <w:tcPr>
            <w:tcW w:w="736" w:type="pct"/>
            <w:tcBorders>
              <w:top w:val="single" w:color="auto" w:sz="4" w:space="0"/>
              <w:left w:val="nil"/>
              <w:bottom w:val="single" w:color="auto" w:sz="4" w:space="0"/>
              <w:right w:val="single" w:color="auto" w:sz="4" w:space="0"/>
            </w:tcBorders>
            <w:noWrap w:val="0"/>
            <w:vAlign w:val="center"/>
          </w:tcPr>
          <w:p w14:paraId="3CA8E832">
            <w:pPr>
              <w:widowControl/>
              <w:jc w:val="left"/>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音箱</w:t>
            </w:r>
          </w:p>
        </w:tc>
        <w:tc>
          <w:tcPr>
            <w:tcW w:w="1987" w:type="pct"/>
            <w:tcBorders>
              <w:top w:val="single" w:color="auto" w:sz="4" w:space="0"/>
              <w:left w:val="nil"/>
              <w:bottom w:val="single" w:color="auto" w:sz="4" w:space="0"/>
              <w:right w:val="single" w:color="auto" w:sz="4" w:space="0"/>
            </w:tcBorders>
            <w:noWrap/>
            <w:vAlign w:val="center"/>
          </w:tcPr>
          <w:p w14:paraId="2B3D5C74">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3FF30FEC">
            <w:pPr>
              <w:ind w:firstLine="0"/>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HK AUDIO（爱曲客）</w:t>
            </w:r>
            <w:r>
              <w:rPr>
                <w:rFonts w:hint="eastAsia" w:ascii="仿宋_GB2312" w:hAnsi="仿宋" w:eastAsia="仿宋_GB2312" w:cs="宋体"/>
                <w:kern w:val="0"/>
                <w:sz w:val="20"/>
                <w:szCs w:val="20"/>
                <w:highlight w:val="none"/>
              </w:rPr>
              <w:t>、</w:t>
            </w:r>
            <w:r>
              <w:rPr>
                <w:rFonts w:hint="eastAsia" w:ascii="仿宋_GB2312" w:hAnsi="仿宋" w:eastAsia="仿宋_GB2312" w:cs="宋体"/>
                <w:kern w:val="0"/>
                <w:sz w:val="20"/>
                <w:szCs w:val="20"/>
                <w:highlight w:val="none"/>
                <w:lang w:val="en-US" w:eastAsia="zh-CN"/>
              </w:rPr>
              <w:t>KLANGFEST（声祝）</w:t>
            </w:r>
            <w:r>
              <w:rPr>
                <w:rFonts w:hint="eastAsia" w:ascii="仿宋_GB2312" w:hAnsi="仿宋" w:eastAsia="仿宋_GB2312" w:cs="宋体"/>
                <w:kern w:val="0"/>
                <w:sz w:val="20"/>
                <w:szCs w:val="20"/>
                <w:highlight w:val="none"/>
              </w:rPr>
              <w:t>、L'Arte suono（蓝素）</w:t>
            </w:r>
            <w:r>
              <w:rPr>
                <w:rFonts w:hint="eastAsia" w:ascii="仿宋_GB2312" w:hAnsi="仿宋" w:eastAsia="仿宋_GB2312" w:cs="宋体"/>
                <w:kern w:val="0"/>
                <w:sz w:val="20"/>
                <w:szCs w:val="20"/>
                <w:highlight w:val="none"/>
                <w:lang w:val="en-US" w:eastAsia="zh-CN"/>
              </w:rPr>
              <w:t>或同等档次品牌</w:t>
            </w:r>
          </w:p>
        </w:tc>
      </w:tr>
      <w:tr w14:paraId="732C8500">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40D3CBFC">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25</w:t>
            </w:r>
          </w:p>
        </w:tc>
        <w:tc>
          <w:tcPr>
            <w:tcW w:w="736" w:type="pct"/>
            <w:tcBorders>
              <w:top w:val="single" w:color="auto" w:sz="4" w:space="0"/>
              <w:left w:val="nil"/>
              <w:bottom w:val="single" w:color="auto" w:sz="4" w:space="0"/>
              <w:right w:val="single" w:color="auto" w:sz="4" w:space="0"/>
            </w:tcBorders>
            <w:noWrap w:val="0"/>
            <w:vAlign w:val="center"/>
          </w:tcPr>
          <w:p w14:paraId="63322D33">
            <w:pPr>
              <w:widowControl/>
              <w:jc w:val="left"/>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功放</w:t>
            </w:r>
          </w:p>
        </w:tc>
        <w:tc>
          <w:tcPr>
            <w:tcW w:w="1987" w:type="pct"/>
            <w:tcBorders>
              <w:top w:val="single" w:color="auto" w:sz="4" w:space="0"/>
              <w:left w:val="nil"/>
              <w:bottom w:val="single" w:color="auto" w:sz="4" w:space="0"/>
              <w:right w:val="single" w:color="auto" w:sz="4" w:space="0"/>
            </w:tcBorders>
            <w:noWrap/>
            <w:vAlign w:val="center"/>
          </w:tcPr>
          <w:p w14:paraId="6B8AA6BB">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556AFE6C">
            <w:pPr>
              <w:ind w:firstLine="0"/>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LEA（栎）</w:t>
            </w:r>
            <w:r>
              <w:rPr>
                <w:rFonts w:hint="eastAsia" w:ascii="仿宋_GB2312" w:hAnsi="仿宋" w:eastAsia="仿宋_GB2312" w:cs="宋体"/>
                <w:kern w:val="0"/>
                <w:sz w:val="20"/>
                <w:szCs w:val="20"/>
                <w:highlight w:val="none"/>
                <w:lang w:eastAsia="zh-CN"/>
              </w:rPr>
              <w:t>、</w:t>
            </w:r>
            <w:r>
              <w:rPr>
                <w:rFonts w:hint="eastAsia" w:ascii="仿宋_GB2312" w:hAnsi="仿宋" w:eastAsia="仿宋_GB2312" w:cs="宋体"/>
                <w:kern w:val="0"/>
                <w:sz w:val="20"/>
                <w:szCs w:val="20"/>
                <w:highlight w:val="none"/>
                <w:lang w:val="en-US" w:eastAsia="zh-CN"/>
              </w:rPr>
              <w:t>KLANGFEST（声祝）、L'Arte suono（蓝素）或同等档次品牌</w:t>
            </w:r>
          </w:p>
        </w:tc>
      </w:tr>
      <w:tr w14:paraId="4AF66E25">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6A36012D">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26</w:t>
            </w:r>
          </w:p>
        </w:tc>
        <w:tc>
          <w:tcPr>
            <w:tcW w:w="736" w:type="pct"/>
            <w:tcBorders>
              <w:top w:val="single" w:color="auto" w:sz="4" w:space="0"/>
              <w:left w:val="nil"/>
              <w:bottom w:val="single" w:color="auto" w:sz="4" w:space="0"/>
              <w:right w:val="single" w:color="auto" w:sz="4" w:space="0"/>
            </w:tcBorders>
            <w:noWrap w:val="0"/>
            <w:vAlign w:val="center"/>
          </w:tcPr>
          <w:p w14:paraId="51D3BB9D">
            <w:pPr>
              <w:widowControl/>
              <w:jc w:val="left"/>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数字音频处理器</w:t>
            </w:r>
          </w:p>
        </w:tc>
        <w:tc>
          <w:tcPr>
            <w:tcW w:w="1987" w:type="pct"/>
            <w:tcBorders>
              <w:top w:val="single" w:color="auto" w:sz="4" w:space="0"/>
              <w:left w:val="nil"/>
              <w:bottom w:val="single" w:color="auto" w:sz="4" w:space="0"/>
              <w:right w:val="single" w:color="auto" w:sz="4" w:space="0"/>
            </w:tcBorders>
            <w:noWrap/>
            <w:vAlign w:val="center"/>
          </w:tcPr>
          <w:p w14:paraId="0264D100">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5EB5E71B">
            <w:pPr>
              <w:ind w:firstLine="0"/>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BSS audio（毕斯）、KLANGFEST（声祝）、PEAVEY（百威）或同等档次品牌</w:t>
            </w:r>
          </w:p>
        </w:tc>
      </w:tr>
      <w:tr w14:paraId="156F5DD4">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5C76FA1B">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27</w:t>
            </w:r>
          </w:p>
        </w:tc>
        <w:tc>
          <w:tcPr>
            <w:tcW w:w="736" w:type="pct"/>
            <w:tcBorders>
              <w:top w:val="single" w:color="auto" w:sz="4" w:space="0"/>
              <w:left w:val="nil"/>
              <w:bottom w:val="single" w:color="auto" w:sz="4" w:space="0"/>
              <w:right w:val="single" w:color="auto" w:sz="4" w:space="0"/>
            </w:tcBorders>
            <w:noWrap w:val="0"/>
            <w:vAlign w:val="center"/>
          </w:tcPr>
          <w:p w14:paraId="4F9FDC58">
            <w:pPr>
              <w:widowControl/>
              <w:jc w:val="left"/>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会议发言系统</w:t>
            </w:r>
          </w:p>
        </w:tc>
        <w:tc>
          <w:tcPr>
            <w:tcW w:w="1987" w:type="pct"/>
            <w:tcBorders>
              <w:top w:val="single" w:color="auto" w:sz="4" w:space="0"/>
              <w:left w:val="nil"/>
              <w:bottom w:val="single" w:color="auto" w:sz="4" w:space="0"/>
              <w:right w:val="single" w:color="auto" w:sz="4" w:space="0"/>
            </w:tcBorders>
            <w:noWrap/>
            <w:vAlign w:val="center"/>
          </w:tcPr>
          <w:p w14:paraId="44CB5EF9">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1217C5C1">
            <w:pPr>
              <w:ind w:firstLine="0"/>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GONSIN（公信）、BOSCH（博世）、L'Arte suono（蓝素）或同等档次品牌</w:t>
            </w:r>
          </w:p>
        </w:tc>
      </w:tr>
      <w:tr w14:paraId="5F06AA63">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673A1451">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28</w:t>
            </w:r>
          </w:p>
        </w:tc>
        <w:tc>
          <w:tcPr>
            <w:tcW w:w="736" w:type="pct"/>
            <w:tcBorders>
              <w:top w:val="single" w:color="auto" w:sz="4" w:space="0"/>
              <w:left w:val="nil"/>
              <w:bottom w:val="single" w:color="auto" w:sz="4" w:space="0"/>
              <w:right w:val="single" w:color="auto" w:sz="4" w:space="0"/>
            </w:tcBorders>
            <w:noWrap w:val="0"/>
            <w:vAlign w:val="center"/>
          </w:tcPr>
          <w:p w14:paraId="2B7D0198">
            <w:pPr>
              <w:widowControl/>
              <w:jc w:val="left"/>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无线/有线话筒</w:t>
            </w:r>
          </w:p>
        </w:tc>
        <w:tc>
          <w:tcPr>
            <w:tcW w:w="1987" w:type="pct"/>
            <w:tcBorders>
              <w:top w:val="single" w:color="auto" w:sz="4" w:space="0"/>
              <w:left w:val="nil"/>
              <w:bottom w:val="single" w:color="auto" w:sz="4" w:space="0"/>
              <w:right w:val="single" w:color="auto" w:sz="4" w:space="0"/>
            </w:tcBorders>
            <w:noWrap/>
            <w:vAlign w:val="center"/>
          </w:tcPr>
          <w:p w14:paraId="2D6408E7">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0EDC2298">
            <w:pPr>
              <w:ind w:firstLine="0"/>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SHURE（舒尔）、Sennheiser（森海塞尔）、方图或同等档次品牌</w:t>
            </w:r>
          </w:p>
        </w:tc>
      </w:tr>
      <w:tr w14:paraId="5D52DE4A">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1FA85B70">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29</w:t>
            </w:r>
          </w:p>
        </w:tc>
        <w:tc>
          <w:tcPr>
            <w:tcW w:w="736" w:type="pct"/>
            <w:tcBorders>
              <w:top w:val="single" w:color="auto" w:sz="4" w:space="0"/>
              <w:left w:val="nil"/>
              <w:bottom w:val="single" w:color="auto" w:sz="4" w:space="0"/>
              <w:right w:val="single" w:color="auto" w:sz="4" w:space="0"/>
            </w:tcBorders>
            <w:noWrap w:val="0"/>
            <w:vAlign w:val="center"/>
          </w:tcPr>
          <w:p w14:paraId="64014422">
            <w:pPr>
              <w:widowControl/>
              <w:jc w:val="left"/>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中控和矩阵设备系统</w:t>
            </w:r>
          </w:p>
        </w:tc>
        <w:tc>
          <w:tcPr>
            <w:tcW w:w="1987" w:type="pct"/>
            <w:tcBorders>
              <w:top w:val="single" w:color="auto" w:sz="4" w:space="0"/>
              <w:left w:val="nil"/>
              <w:bottom w:val="single" w:color="auto" w:sz="4" w:space="0"/>
              <w:right w:val="single" w:color="auto" w:sz="4" w:space="0"/>
            </w:tcBorders>
            <w:noWrap/>
            <w:vAlign w:val="center"/>
          </w:tcPr>
          <w:p w14:paraId="4E9002D4">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2319A03B">
            <w:pPr>
              <w:ind w:firstLine="0"/>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AMX、</w:t>
            </w:r>
            <w:r>
              <w:rPr>
                <w:rFonts w:hint="eastAsia" w:ascii="仿宋_GB2312" w:hAnsi="仿宋" w:eastAsia="仿宋_GB2312" w:cs="宋体"/>
                <w:kern w:val="0"/>
                <w:sz w:val="20"/>
                <w:szCs w:val="20"/>
                <w:highlight w:val="none"/>
                <w:lang w:eastAsia="zh-CN"/>
              </w:rPr>
              <w:t>CUE（酷森）</w:t>
            </w:r>
            <w:r>
              <w:rPr>
                <w:rFonts w:hint="eastAsia" w:ascii="仿宋_GB2312" w:hAnsi="仿宋" w:eastAsia="仿宋_GB2312" w:cs="宋体"/>
                <w:kern w:val="0"/>
                <w:sz w:val="20"/>
                <w:szCs w:val="20"/>
                <w:highlight w:val="none"/>
                <w:lang w:val="en-US" w:eastAsia="zh-CN"/>
              </w:rPr>
              <w:t>、L'Arte suono（蓝素）或同等档次品牌</w:t>
            </w:r>
          </w:p>
        </w:tc>
      </w:tr>
      <w:tr w14:paraId="149D39F8">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439D13B6">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30</w:t>
            </w:r>
          </w:p>
        </w:tc>
        <w:tc>
          <w:tcPr>
            <w:tcW w:w="736" w:type="pct"/>
            <w:tcBorders>
              <w:top w:val="single" w:color="auto" w:sz="4" w:space="0"/>
              <w:left w:val="nil"/>
              <w:bottom w:val="single" w:color="auto" w:sz="4" w:space="0"/>
              <w:right w:val="single" w:color="auto" w:sz="4" w:space="0"/>
            </w:tcBorders>
            <w:noWrap w:val="0"/>
            <w:vAlign w:val="center"/>
          </w:tcPr>
          <w:p w14:paraId="3F5322B1">
            <w:pPr>
              <w:widowControl/>
              <w:jc w:val="left"/>
              <w:rPr>
                <w:rFonts w:hint="eastAsia"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会议预约系统</w:t>
            </w:r>
          </w:p>
        </w:tc>
        <w:tc>
          <w:tcPr>
            <w:tcW w:w="1987" w:type="pct"/>
            <w:tcBorders>
              <w:top w:val="single" w:color="auto" w:sz="4" w:space="0"/>
              <w:left w:val="nil"/>
              <w:bottom w:val="single" w:color="auto" w:sz="4" w:space="0"/>
              <w:right w:val="single" w:color="auto" w:sz="4" w:space="0"/>
            </w:tcBorders>
            <w:noWrap/>
            <w:vAlign w:val="center"/>
          </w:tcPr>
          <w:p w14:paraId="77E8EBC7">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379C31D1">
            <w:pPr>
              <w:ind w:firstLine="0"/>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信瑞时代、熠飞、U-Space或同等档次品牌</w:t>
            </w:r>
          </w:p>
        </w:tc>
      </w:tr>
      <w:tr w14:paraId="448F102C">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31E3EE18">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31</w:t>
            </w:r>
          </w:p>
        </w:tc>
        <w:tc>
          <w:tcPr>
            <w:tcW w:w="736" w:type="pct"/>
            <w:tcBorders>
              <w:top w:val="single" w:color="auto" w:sz="4" w:space="0"/>
              <w:left w:val="nil"/>
              <w:bottom w:val="single" w:color="auto" w:sz="4" w:space="0"/>
              <w:right w:val="single" w:color="auto" w:sz="4" w:space="0"/>
            </w:tcBorders>
            <w:noWrap w:val="0"/>
            <w:vAlign w:val="center"/>
          </w:tcPr>
          <w:p w14:paraId="60D82ACC">
            <w:pPr>
              <w:widowControl/>
              <w:jc w:val="left"/>
              <w:rPr>
                <w:rFonts w:hint="eastAsia"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无纸化办公</w:t>
            </w:r>
          </w:p>
        </w:tc>
        <w:tc>
          <w:tcPr>
            <w:tcW w:w="1987" w:type="pct"/>
            <w:tcBorders>
              <w:top w:val="single" w:color="auto" w:sz="4" w:space="0"/>
              <w:left w:val="nil"/>
              <w:bottom w:val="single" w:color="auto" w:sz="4" w:space="0"/>
              <w:right w:val="single" w:color="auto" w:sz="4" w:space="0"/>
            </w:tcBorders>
            <w:noWrap/>
            <w:vAlign w:val="center"/>
          </w:tcPr>
          <w:p w14:paraId="6CF508F4">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3A4D42D4">
            <w:pPr>
              <w:widowControl/>
              <w:jc w:val="left"/>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席媒、L'Arte suono（蓝素）、VIMAY（唯美）或</w:t>
            </w:r>
            <w:r>
              <w:rPr>
                <w:rFonts w:hint="eastAsia" w:ascii="仿宋_GB2312" w:hAnsi="仿宋" w:eastAsia="仿宋_GB2312" w:cs="宋体"/>
                <w:kern w:val="0"/>
                <w:sz w:val="20"/>
                <w:szCs w:val="20"/>
                <w:highlight w:val="none"/>
              </w:rPr>
              <w:t>同等档次品牌</w:t>
            </w:r>
          </w:p>
        </w:tc>
      </w:tr>
      <w:tr w14:paraId="331FBC31">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6D691110">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32</w:t>
            </w:r>
          </w:p>
        </w:tc>
        <w:tc>
          <w:tcPr>
            <w:tcW w:w="736" w:type="pct"/>
            <w:tcBorders>
              <w:top w:val="single" w:color="auto" w:sz="4" w:space="0"/>
              <w:left w:val="nil"/>
              <w:bottom w:val="single" w:color="auto" w:sz="4" w:space="0"/>
              <w:right w:val="single" w:color="auto" w:sz="4" w:space="0"/>
            </w:tcBorders>
            <w:noWrap w:val="0"/>
            <w:vAlign w:val="center"/>
          </w:tcPr>
          <w:p w14:paraId="2F478D30">
            <w:pPr>
              <w:widowControl/>
              <w:jc w:val="left"/>
              <w:rPr>
                <w:rFonts w:hint="eastAsia"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rPr>
              <w:t>低碳节能系统</w:t>
            </w:r>
          </w:p>
        </w:tc>
        <w:tc>
          <w:tcPr>
            <w:tcW w:w="1987" w:type="pct"/>
            <w:tcBorders>
              <w:top w:val="single" w:color="auto" w:sz="4" w:space="0"/>
              <w:left w:val="nil"/>
              <w:bottom w:val="single" w:color="auto" w:sz="4" w:space="0"/>
              <w:right w:val="single" w:color="auto" w:sz="4" w:space="0"/>
            </w:tcBorders>
            <w:noWrap/>
            <w:vAlign w:val="center"/>
          </w:tcPr>
          <w:p w14:paraId="2E4C75FC">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63DAA598">
            <w:pPr>
              <w:widowControl/>
              <w:jc w:val="left"/>
              <w:rPr>
                <w:rFonts w:hint="eastAsia"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lang w:val="en-US" w:eastAsia="zh-CN"/>
              </w:rPr>
              <w:t>西门子、华为、奥拓</w:t>
            </w:r>
            <w:r>
              <w:rPr>
                <w:rFonts w:hint="eastAsia" w:ascii="仿宋_GB2312" w:hAnsi="仿宋" w:eastAsia="仿宋_GB2312" w:cs="宋体"/>
                <w:kern w:val="0"/>
                <w:sz w:val="20"/>
                <w:szCs w:val="20"/>
                <w:highlight w:val="none"/>
                <w:lang w:val="en-US"/>
              </w:rPr>
              <w:t>或同等档次品牌</w:t>
            </w:r>
          </w:p>
        </w:tc>
      </w:tr>
      <w:tr w14:paraId="6EBE70CB">
        <w:tblPrEx>
          <w:tblCellMar>
            <w:top w:w="0" w:type="dxa"/>
            <w:left w:w="108" w:type="dxa"/>
            <w:bottom w:w="0" w:type="dxa"/>
            <w:right w:w="108" w:type="dxa"/>
          </w:tblCellMar>
        </w:tblPrEx>
        <w:trPr>
          <w:trHeight w:val="989"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09F94930">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33</w:t>
            </w:r>
          </w:p>
        </w:tc>
        <w:tc>
          <w:tcPr>
            <w:tcW w:w="736" w:type="pct"/>
            <w:tcBorders>
              <w:top w:val="single" w:color="auto" w:sz="4" w:space="0"/>
              <w:left w:val="nil"/>
              <w:bottom w:val="single" w:color="auto" w:sz="4" w:space="0"/>
              <w:right w:val="single" w:color="auto" w:sz="4" w:space="0"/>
            </w:tcBorders>
            <w:noWrap w:val="0"/>
            <w:vAlign w:val="center"/>
          </w:tcPr>
          <w:p w14:paraId="20252F47">
            <w:pPr>
              <w:widowControl/>
              <w:jc w:val="left"/>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精密空调系统</w:t>
            </w:r>
          </w:p>
        </w:tc>
        <w:tc>
          <w:tcPr>
            <w:tcW w:w="1987" w:type="pct"/>
            <w:tcBorders>
              <w:top w:val="single" w:color="auto" w:sz="4" w:space="0"/>
              <w:left w:val="nil"/>
              <w:bottom w:val="single" w:color="auto" w:sz="4" w:space="0"/>
              <w:right w:val="single" w:color="auto" w:sz="4" w:space="0"/>
            </w:tcBorders>
            <w:noWrap/>
            <w:vAlign w:val="center"/>
          </w:tcPr>
          <w:p w14:paraId="06A8DBF4">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6751D3D6">
            <w:pPr>
              <w:widowControl/>
              <w:jc w:val="left"/>
              <w:rPr>
                <w:rFonts w:hint="eastAsia" w:ascii="仿宋_GB2312" w:hAnsi="仿宋" w:eastAsia="仿宋_GB2312" w:cs="宋体"/>
                <w:kern w:val="0"/>
                <w:sz w:val="20"/>
                <w:szCs w:val="20"/>
                <w:highlight w:val="none"/>
                <w:lang w:val="en-US" w:eastAsia="zh-CN"/>
              </w:rPr>
            </w:pPr>
            <w:r>
              <w:rPr>
                <w:rFonts w:hint="eastAsia" w:ascii="仿宋_GB2312" w:hAnsi="仿宋" w:eastAsia="仿宋_GB2312"/>
                <w:sz w:val="20"/>
                <w:szCs w:val="20"/>
                <w:highlight w:val="none"/>
                <w:u w:val="none"/>
                <w:lang w:val="en-US" w:eastAsia="zh-CN"/>
              </w:rPr>
              <w:t>世图兹、伊顿、克莱门特</w:t>
            </w:r>
            <w:r>
              <w:rPr>
                <w:rFonts w:hint="eastAsia" w:ascii="仿宋_GB2312" w:hAnsi="仿宋" w:eastAsia="仿宋_GB2312" w:cs="宋体"/>
                <w:kern w:val="0"/>
                <w:sz w:val="20"/>
                <w:szCs w:val="20"/>
                <w:highlight w:val="none"/>
                <w:u w:val="none"/>
              </w:rPr>
              <w:t>或</w:t>
            </w:r>
            <w:r>
              <w:rPr>
                <w:rFonts w:hint="eastAsia" w:ascii="仿宋_GB2312" w:hAnsi="仿宋" w:eastAsia="仿宋_GB2312" w:cs="宋体"/>
                <w:kern w:val="0"/>
                <w:sz w:val="20"/>
                <w:szCs w:val="20"/>
                <w:highlight w:val="none"/>
              </w:rPr>
              <w:t>同档次</w:t>
            </w:r>
          </w:p>
        </w:tc>
      </w:tr>
      <w:tr w14:paraId="6D8EC055">
        <w:tblPrEx>
          <w:tblCellMar>
            <w:top w:w="0" w:type="dxa"/>
            <w:left w:w="108" w:type="dxa"/>
            <w:bottom w:w="0" w:type="dxa"/>
            <w:right w:w="108" w:type="dxa"/>
          </w:tblCellMar>
        </w:tblPrEx>
        <w:trPr>
          <w:trHeight w:val="711" w:hRule="atLeast"/>
        </w:trPr>
        <w:tc>
          <w:tcPr>
            <w:tcW w:w="216" w:type="pct"/>
            <w:tcBorders>
              <w:top w:val="single" w:color="auto" w:sz="4" w:space="0"/>
              <w:left w:val="single" w:color="auto" w:sz="4" w:space="0"/>
              <w:bottom w:val="single" w:color="auto" w:sz="4" w:space="0"/>
              <w:right w:val="single" w:color="auto" w:sz="4" w:space="0"/>
            </w:tcBorders>
            <w:noWrap w:val="0"/>
            <w:vAlign w:val="center"/>
          </w:tcPr>
          <w:p w14:paraId="62EAE161">
            <w:pPr>
              <w:widowControl/>
              <w:jc w:val="center"/>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34</w:t>
            </w:r>
          </w:p>
        </w:tc>
        <w:tc>
          <w:tcPr>
            <w:tcW w:w="736" w:type="pct"/>
            <w:tcBorders>
              <w:top w:val="single" w:color="auto" w:sz="4" w:space="0"/>
              <w:left w:val="nil"/>
              <w:bottom w:val="single" w:color="auto" w:sz="4" w:space="0"/>
              <w:right w:val="single" w:color="auto" w:sz="4" w:space="0"/>
            </w:tcBorders>
            <w:noWrap w:val="0"/>
            <w:vAlign w:val="center"/>
          </w:tcPr>
          <w:p w14:paraId="0819245A">
            <w:pPr>
              <w:widowControl/>
              <w:jc w:val="left"/>
              <w:rPr>
                <w:rFonts w:hint="default"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智慧食堂管理系统</w:t>
            </w:r>
          </w:p>
        </w:tc>
        <w:tc>
          <w:tcPr>
            <w:tcW w:w="1987" w:type="pct"/>
            <w:tcBorders>
              <w:top w:val="single" w:color="auto" w:sz="4" w:space="0"/>
              <w:left w:val="nil"/>
              <w:bottom w:val="single" w:color="auto" w:sz="4" w:space="0"/>
              <w:right w:val="single" w:color="auto" w:sz="4" w:space="0"/>
            </w:tcBorders>
            <w:noWrap/>
            <w:vAlign w:val="center"/>
          </w:tcPr>
          <w:p w14:paraId="62954B43">
            <w:pPr>
              <w:widowControl/>
              <w:jc w:val="left"/>
              <w:rPr>
                <w:rFonts w:hint="default"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型号规格以以</w:t>
            </w:r>
            <w:r>
              <w:rPr>
                <w:rFonts w:hint="eastAsia" w:ascii="仿宋_GB2312" w:hAnsi="仿宋" w:eastAsia="仿宋_GB2312" w:cs="宋体"/>
                <w:kern w:val="0"/>
                <w:sz w:val="20"/>
                <w:szCs w:val="20"/>
                <w:highlight w:val="none"/>
                <w:lang w:val="en-US" w:eastAsia="zh-CN"/>
              </w:rPr>
              <w:t>招标技术要求</w:t>
            </w:r>
            <w:r>
              <w:rPr>
                <w:rFonts w:hint="eastAsia" w:ascii="仿宋_GB2312" w:hAnsi="仿宋" w:eastAsia="仿宋_GB2312" w:cs="宋体"/>
                <w:kern w:val="0"/>
                <w:sz w:val="20"/>
                <w:szCs w:val="20"/>
                <w:highlight w:val="none"/>
              </w:rPr>
              <w:t>为准</w:t>
            </w:r>
          </w:p>
        </w:tc>
        <w:tc>
          <w:tcPr>
            <w:tcW w:w="2059" w:type="pct"/>
            <w:tcBorders>
              <w:top w:val="single" w:color="auto" w:sz="4" w:space="0"/>
              <w:left w:val="nil"/>
              <w:bottom w:val="single" w:color="auto" w:sz="4" w:space="0"/>
              <w:right w:val="single" w:color="auto" w:sz="4" w:space="0"/>
            </w:tcBorders>
            <w:noWrap/>
            <w:vAlign w:val="center"/>
          </w:tcPr>
          <w:p w14:paraId="6B90EEF6">
            <w:pPr>
              <w:ind w:firstLine="0"/>
              <w:rPr>
                <w:rFonts w:hint="eastAsia" w:ascii="仿宋_GB2312" w:hAnsi="仿宋" w:eastAsia="仿宋_GB2312" w:cs="宋体"/>
                <w:kern w:val="0"/>
                <w:sz w:val="20"/>
                <w:szCs w:val="20"/>
                <w:highlight w:val="none"/>
                <w:lang w:val="en-US" w:eastAsia="zh-CN"/>
              </w:rPr>
            </w:pPr>
            <w:r>
              <w:rPr>
                <w:rFonts w:hint="eastAsia" w:ascii="仿宋_GB2312" w:hAnsi="仿宋" w:eastAsia="仿宋_GB2312" w:cs="宋体"/>
                <w:kern w:val="0"/>
                <w:sz w:val="20"/>
                <w:szCs w:val="20"/>
                <w:highlight w:val="none"/>
                <w:lang w:val="en-US" w:eastAsia="zh-CN"/>
              </w:rPr>
              <w:t>正元智慧、云澎、祐全或同等档次品牌</w:t>
            </w:r>
          </w:p>
          <w:p w14:paraId="1775BA91">
            <w:pPr>
              <w:widowControl/>
              <w:jc w:val="left"/>
              <w:rPr>
                <w:rFonts w:hint="default" w:ascii="仿宋_GB2312" w:hAnsi="仿宋" w:eastAsia="仿宋_GB2312" w:cs="宋体"/>
                <w:kern w:val="0"/>
                <w:sz w:val="20"/>
                <w:szCs w:val="20"/>
                <w:highlight w:val="none"/>
                <w:lang w:val="en-US" w:eastAsia="zh-CN"/>
              </w:rPr>
            </w:pPr>
          </w:p>
        </w:tc>
      </w:tr>
      <w:tr w14:paraId="54DD14D8">
        <w:tblPrEx>
          <w:tblCellMar>
            <w:top w:w="0" w:type="dxa"/>
            <w:left w:w="108" w:type="dxa"/>
            <w:bottom w:w="0" w:type="dxa"/>
            <w:right w:w="108" w:type="dxa"/>
          </w:tblCellMar>
        </w:tblPrEx>
        <w:trPr>
          <w:trHeight w:val="480" w:hRule="atLeast"/>
        </w:trPr>
        <w:tc>
          <w:tcPr>
            <w:tcW w:w="5000" w:type="pct"/>
            <w:gridSpan w:val="4"/>
            <w:tcBorders>
              <w:top w:val="single" w:color="auto" w:sz="4" w:space="0"/>
              <w:left w:val="nil"/>
              <w:bottom w:val="nil"/>
              <w:right w:val="nil"/>
            </w:tcBorders>
            <w:noWrap w:val="0"/>
            <w:vAlign w:val="center"/>
          </w:tcPr>
          <w:p w14:paraId="687AD58B">
            <w:pPr>
              <w:widowControl/>
              <w:jc w:val="left"/>
              <w:rPr>
                <w:rFonts w:ascii="仿宋_GB2312" w:hAnsi="仿宋" w:eastAsia="仿宋_GB2312"/>
                <w:sz w:val="24"/>
                <w:highlight w:val="none"/>
              </w:rPr>
            </w:pPr>
          </w:p>
        </w:tc>
      </w:tr>
    </w:tbl>
    <w:p w14:paraId="580C9A86">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61191F41">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投标单位须在投标文件的主要材料表内注明所投材料的品牌、型号，以确保装饰材料的唯一性。若投标人有部分未对招标文件要求的主要材料品牌进行响应，则招标人有权在上述推荐品牌或相当于档次范围内挑选，原投标价不予调整。</w:t>
      </w:r>
    </w:p>
    <w:p w14:paraId="21AA3D70">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2.如投标人选择与其相当的其他品牌/厂家，则投标人应同时提供该产品相当于招标人推荐品牌/厂家的证明材料。</w:t>
      </w:r>
    </w:p>
    <w:p w14:paraId="5B32D73A">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3.所有品种石材（大理石、花岗岩）须按照市场最高品质，样品达到甲方要求并签字确认后方可采购。</w:t>
      </w:r>
    </w:p>
    <w:p w14:paraId="2CD43454">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4.所有木饰面、木门须保证高品质，样品达到甲方要求并签字确认后方可采购。</w:t>
      </w:r>
    </w:p>
    <w:p w14:paraId="0CBF3061">
      <w:pPr>
        <w:widowControl/>
        <w:snapToGrid w:val="0"/>
        <w:spacing w:line="360" w:lineRule="auto"/>
        <w:ind w:firstLine="480" w:firstLineChars="200"/>
        <w:rPr>
          <w:rFonts w:hint="eastAsia" w:ascii="宋体" w:hAnsi="宋体" w:eastAsia="宋体" w:cs="宋体"/>
          <w:sz w:val="24"/>
          <w:szCs w:val="24"/>
        </w:rPr>
      </w:pPr>
    </w:p>
    <w:p w14:paraId="46A87094">
      <w:pPr>
        <w:widowControl/>
        <w:snapToGrid w:val="0"/>
        <w:spacing w:line="360" w:lineRule="auto"/>
        <w:ind w:firstLine="480" w:firstLineChars="200"/>
        <w:rPr>
          <w:rFonts w:hint="eastAsia" w:ascii="宋体" w:hAnsi="宋体" w:eastAsia="宋体" w:cs="宋体"/>
          <w:sz w:val="24"/>
          <w:szCs w:val="24"/>
        </w:rPr>
      </w:pPr>
    </w:p>
    <w:tbl>
      <w:tblPr>
        <w:tblStyle w:val="33"/>
        <w:tblpPr w:leftFromText="180" w:rightFromText="180" w:vertAnchor="text" w:horzAnchor="page" w:tblpX="1379" w:tblpY="650"/>
        <w:tblOverlap w:val="never"/>
        <w:tblW w:w="5000" w:type="pct"/>
        <w:tblInd w:w="0" w:type="dxa"/>
        <w:tblLayout w:type="fixed"/>
        <w:tblCellMar>
          <w:top w:w="0" w:type="dxa"/>
          <w:left w:w="108" w:type="dxa"/>
          <w:bottom w:w="0" w:type="dxa"/>
          <w:right w:w="108" w:type="dxa"/>
        </w:tblCellMar>
      </w:tblPr>
      <w:tblGrid>
        <w:gridCol w:w="698"/>
        <w:gridCol w:w="1489"/>
        <w:gridCol w:w="5580"/>
        <w:gridCol w:w="2087"/>
      </w:tblGrid>
      <w:tr w14:paraId="7CFFB2E9">
        <w:tblPrEx>
          <w:tblCellMar>
            <w:top w:w="0" w:type="dxa"/>
            <w:left w:w="108" w:type="dxa"/>
            <w:bottom w:w="0" w:type="dxa"/>
            <w:right w:w="108" w:type="dxa"/>
          </w:tblCellMar>
        </w:tblPrEx>
        <w:trPr>
          <w:trHeight w:val="480" w:hRule="atLeast"/>
        </w:trPr>
        <w:tc>
          <w:tcPr>
            <w:tcW w:w="5000" w:type="pct"/>
            <w:gridSpan w:val="4"/>
            <w:tcBorders>
              <w:top w:val="nil"/>
              <w:left w:val="single" w:color="auto" w:sz="4" w:space="0"/>
              <w:bottom w:val="single" w:color="auto" w:sz="4" w:space="0"/>
              <w:right w:val="single" w:color="auto" w:sz="4" w:space="0"/>
            </w:tcBorders>
            <w:noWrap w:val="0"/>
            <w:vAlign w:val="center"/>
          </w:tcPr>
          <w:p w14:paraId="07EF2AFC">
            <w:pPr>
              <w:widowControl/>
              <w:jc w:val="center"/>
              <w:rPr>
                <w:rFonts w:hint="eastAsia" w:ascii="黑体" w:hAnsi="黑体" w:eastAsia="黑体" w:cs="宋体"/>
                <w:bCs/>
                <w:kern w:val="0"/>
                <w:sz w:val="32"/>
                <w:szCs w:val="32"/>
                <w:highlight w:val="none"/>
                <w:lang w:eastAsia="zh-CN"/>
              </w:rPr>
            </w:pPr>
            <w:r>
              <w:rPr>
                <w:rFonts w:hint="eastAsia" w:ascii="黑体" w:hAnsi="黑体" w:eastAsia="黑体" w:cs="宋体"/>
                <w:bCs/>
                <w:kern w:val="0"/>
                <w:sz w:val="32"/>
                <w:szCs w:val="32"/>
                <w:highlight w:val="none"/>
                <w:lang w:eastAsia="zh-CN"/>
              </w:rPr>
              <w:t>（</w:t>
            </w:r>
            <w:r>
              <w:rPr>
                <w:rFonts w:hint="eastAsia" w:ascii="黑体" w:hAnsi="黑体" w:eastAsia="黑体" w:cs="宋体"/>
                <w:bCs/>
                <w:kern w:val="0"/>
                <w:sz w:val="32"/>
                <w:szCs w:val="32"/>
                <w:highlight w:val="none"/>
                <w:lang w:val="en-US" w:eastAsia="zh-CN"/>
              </w:rPr>
              <w:t>2</w:t>
            </w:r>
            <w:r>
              <w:rPr>
                <w:rFonts w:hint="eastAsia" w:ascii="黑体" w:hAnsi="黑体" w:eastAsia="黑体" w:cs="宋体"/>
                <w:bCs/>
                <w:kern w:val="0"/>
                <w:sz w:val="32"/>
                <w:szCs w:val="32"/>
                <w:highlight w:val="none"/>
                <w:lang w:eastAsia="zh-CN"/>
              </w:rPr>
              <w:t>）甲</w:t>
            </w:r>
            <w:r>
              <w:rPr>
                <w:rFonts w:hint="eastAsia" w:ascii="黑体" w:hAnsi="黑体" w:eastAsia="黑体" w:cs="宋体"/>
                <w:bCs/>
                <w:kern w:val="0"/>
                <w:sz w:val="32"/>
                <w:szCs w:val="32"/>
                <w:highlight w:val="none"/>
              </w:rPr>
              <w:t>供主要材料清单</w:t>
            </w:r>
          </w:p>
        </w:tc>
      </w:tr>
      <w:tr w14:paraId="03BE2951">
        <w:tblPrEx>
          <w:tblCellMar>
            <w:top w:w="0" w:type="dxa"/>
            <w:left w:w="108" w:type="dxa"/>
            <w:bottom w:w="0" w:type="dxa"/>
            <w:right w:w="108" w:type="dxa"/>
          </w:tblCellMar>
        </w:tblPrEx>
        <w:trPr>
          <w:trHeight w:val="480" w:hRule="atLeast"/>
        </w:trPr>
        <w:tc>
          <w:tcPr>
            <w:tcW w:w="354" w:type="pct"/>
            <w:tcBorders>
              <w:top w:val="nil"/>
              <w:left w:val="single" w:color="auto" w:sz="4" w:space="0"/>
              <w:bottom w:val="single" w:color="auto" w:sz="4" w:space="0"/>
              <w:right w:val="single" w:color="auto" w:sz="4" w:space="0"/>
            </w:tcBorders>
            <w:noWrap w:val="0"/>
            <w:vAlign w:val="center"/>
          </w:tcPr>
          <w:p w14:paraId="7BBAEE12">
            <w:pPr>
              <w:widowControl/>
              <w:jc w:val="center"/>
              <w:rPr>
                <w:rFonts w:ascii="仿宋_GB2312" w:hAnsi="仿宋" w:eastAsia="仿宋_GB2312" w:cs="宋体"/>
                <w:bCs/>
                <w:kern w:val="0"/>
                <w:sz w:val="20"/>
                <w:szCs w:val="20"/>
                <w:highlight w:val="none"/>
              </w:rPr>
            </w:pPr>
            <w:r>
              <w:rPr>
                <w:rFonts w:hint="eastAsia" w:ascii="仿宋_GB2312" w:hAnsi="仿宋" w:eastAsia="仿宋_GB2312" w:cs="宋体"/>
                <w:bCs/>
                <w:kern w:val="0"/>
                <w:sz w:val="20"/>
                <w:szCs w:val="20"/>
                <w:highlight w:val="none"/>
              </w:rPr>
              <w:t>序号</w:t>
            </w:r>
          </w:p>
        </w:tc>
        <w:tc>
          <w:tcPr>
            <w:tcW w:w="755" w:type="pct"/>
            <w:tcBorders>
              <w:top w:val="nil"/>
              <w:left w:val="nil"/>
              <w:bottom w:val="single" w:color="auto" w:sz="4" w:space="0"/>
              <w:right w:val="single" w:color="auto" w:sz="4" w:space="0"/>
            </w:tcBorders>
            <w:noWrap w:val="0"/>
            <w:vAlign w:val="center"/>
          </w:tcPr>
          <w:p w14:paraId="67868050">
            <w:pPr>
              <w:widowControl/>
              <w:jc w:val="center"/>
              <w:rPr>
                <w:rFonts w:ascii="仿宋_GB2312" w:hAnsi="仿宋" w:eastAsia="仿宋_GB2312" w:cs="宋体"/>
                <w:bCs/>
                <w:kern w:val="0"/>
                <w:sz w:val="20"/>
                <w:szCs w:val="20"/>
                <w:highlight w:val="none"/>
              </w:rPr>
            </w:pPr>
            <w:r>
              <w:rPr>
                <w:rFonts w:hint="eastAsia" w:ascii="仿宋_GB2312" w:hAnsi="仿宋" w:eastAsia="仿宋_GB2312" w:cs="宋体"/>
                <w:bCs/>
                <w:kern w:val="0"/>
                <w:sz w:val="20"/>
                <w:szCs w:val="20"/>
                <w:highlight w:val="none"/>
              </w:rPr>
              <w:t>材料名称</w:t>
            </w:r>
          </w:p>
        </w:tc>
        <w:tc>
          <w:tcPr>
            <w:tcW w:w="2831" w:type="pct"/>
            <w:tcBorders>
              <w:top w:val="nil"/>
              <w:left w:val="nil"/>
              <w:bottom w:val="single" w:color="auto" w:sz="4" w:space="0"/>
              <w:right w:val="single" w:color="auto" w:sz="4" w:space="0"/>
            </w:tcBorders>
            <w:noWrap w:val="0"/>
            <w:vAlign w:val="center"/>
          </w:tcPr>
          <w:p w14:paraId="0E007453">
            <w:pPr>
              <w:widowControl/>
              <w:jc w:val="center"/>
              <w:rPr>
                <w:rFonts w:ascii="仿宋_GB2312" w:hAnsi="仿宋" w:eastAsia="仿宋_GB2312" w:cs="宋体"/>
                <w:bCs/>
                <w:kern w:val="0"/>
                <w:sz w:val="20"/>
                <w:szCs w:val="20"/>
                <w:highlight w:val="none"/>
              </w:rPr>
            </w:pPr>
            <w:r>
              <w:rPr>
                <w:rFonts w:hint="eastAsia" w:ascii="仿宋_GB2312" w:hAnsi="仿宋" w:eastAsia="仿宋_GB2312" w:cs="宋体"/>
                <w:bCs/>
                <w:kern w:val="0"/>
                <w:sz w:val="20"/>
                <w:szCs w:val="20"/>
                <w:highlight w:val="none"/>
              </w:rPr>
              <w:t>规格型号及要求</w:t>
            </w:r>
          </w:p>
        </w:tc>
        <w:tc>
          <w:tcPr>
            <w:tcW w:w="1058" w:type="pct"/>
            <w:tcBorders>
              <w:top w:val="nil"/>
              <w:left w:val="nil"/>
              <w:bottom w:val="single" w:color="auto" w:sz="4" w:space="0"/>
              <w:right w:val="single" w:color="auto" w:sz="4" w:space="0"/>
            </w:tcBorders>
            <w:noWrap w:val="0"/>
            <w:vAlign w:val="center"/>
          </w:tcPr>
          <w:p w14:paraId="5BEA81F7">
            <w:pPr>
              <w:widowControl/>
              <w:jc w:val="center"/>
              <w:rPr>
                <w:rFonts w:hint="eastAsia" w:ascii="仿宋_GB2312" w:hAnsi="仿宋" w:eastAsia="仿宋_GB2312" w:cs="宋体"/>
                <w:bCs/>
                <w:kern w:val="0"/>
                <w:sz w:val="20"/>
                <w:szCs w:val="20"/>
                <w:highlight w:val="none"/>
                <w:lang w:val="en-US" w:eastAsia="zh-CN" w:bidi="ar-SA"/>
              </w:rPr>
            </w:pPr>
            <w:r>
              <w:rPr>
                <w:rFonts w:hint="eastAsia" w:ascii="仿宋_GB2312" w:hAnsi="仿宋" w:eastAsia="仿宋_GB2312" w:cs="宋体"/>
                <w:bCs/>
                <w:kern w:val="0"/>
                <w:sz w:val="20"/>
                <w:szCs w:val="20"/>
                <w:highlight w:val="none"/>
              </w:rPr>
              <w:t>品牌</w:t>
            </w:r>
          </w:p>
        </w:tc>
      </w:tr>
      <w:tr w14:paraId="0251171F">
        <w:tblPrEx>
          <w:tblCellMar>
            <w:top w:w="0" w:type="dxa"/>
            <w:left w:w="108" w:type="dxa"/>
            <w:bottom w:w="0" w:type="dxa"/>
            <w:right w:w="108" w:type="dxa"/>
          </w:tblCellMar>
        </w:tblPrEx>
        <w:trPr>
          <w:trHeight w:val="1440" w:hRule="atLeast"/>
        </w:trPr>
        <w:tc>
          <w:tcPr>
            <w:tcW w:w="354" w:type="pct"/>
            <w:tcBorders>
              <w:top w:val="nil"/>
              <w:left w:val="single" w:color="auto" w:sz="4" w:space="0"/>
              <w:bottom w:val="single" w:color="auto" w:sz="4" w:space="0"/>
              <w:right w:val="single" w:color="auto" w:sz="4" w:space="0"/>
            </w:tcBorders>
            <w:noWrap w:val="0"/>
            <w:vAlign w:val="center"/>
          </w:tcPr>
          <w:p w14:paraId="59A4B805">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w:t>
            </w:r>
          </w:p>
        </w:tc>
        <w:tc>
          <w:tcPr>
            <w:tcW w:w="755" w:type="pct"/>
            <w:tcBorders>
              <w:top w:val="nil"/>
              <w:left w:val="nil"/>
              <w:bottom w:val="single" w:color="auto" w:sz="4" w:space="0"/>
              <w:right w:val="single" w:color="auto" w:sz="4" w:space="0"/>
            </w:tcBorders>
            <w:noWrap/>
            <w:vAlign w:val="center"/>
          </w:tcPr>
          <w:p w14:paraId="1E396F1C">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摄像机</w:t>
            </w:r>
          </w:p>
        </w:tc>
        <w:tc>
          <w:tcPr>
            <w:tcW w:w="2831" w:type="pct"/>
            <w:tcBorders>
              <w:top w:val="nil"/>
              <w:left w:val="nil"/>
              <w:bottom w:val="single" w:color="auto" w:sz="4" w:space="0"/>
              <w:right w:val="single" w:color="auto" w:sz="4" w:space="0"/>
            </w:tcBorders>
            <w:noWrap w:val="0"/>
            <w:vAlign w:val="center"/>
          </w:tcPr>
          <w:p w14:paraId="460F1746">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枪式网络摄像机、半球网络摄像机、红外筒形网络摄像机、红外半球网络摄像机、彩色针孔摄像机，由甲方指定厂家负责供货，弱电单位负弱电单位计安装费，责安装、调试及维保</w:t>
            </w:r>
          </w:p>
        </w:tc>
        <w:tc>
          <w:tcPr>
            <w:tcW w:w="1058" w:type="pct"/>
            <w:tcBorders>
              <w:top w:val="nil"/>
              <w:left w:val="nil"/>
              <w:bottom w:val="single" w:color="auto" w:sz="4" w:space="0"/>
              <w:right w:val="single" w:color="auto" w:sz="4" w:space="0"/>
            </w:tcBorders>
            <w:noWrap w:val="0"/>
            <w:vAlign w:val="center"/>
          </w:tcPr>
          <w:p w14:paraId="45E2A31A">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总行集采入围品牌</w:t>
            </w:r>
          </w:p>
        </w:tc>
      </w:tr>
      <w:tr w14:paraId="276F6C99">
        <w:tblPrEx>
          <w:tblCellMar>
            <w:top w:w="0" w:type="dxa"/>
            <w:left w:w="108" w:type="dxa"/>
            <w:bottom w:w="0" w:type="dxa"/>
            <w:right w:w="108" w:type="dxa"/>
          </w:tblCellMar>
        </w:tblPrEx>
        <w:trPr>
          <w:trHeight w:val="889" w:hRule="atLeast"/>
        </w:trPr>
        <w:tc>
          <w:tcPr>
            <w:tcW w:w="354" w:type="pct"/>
            <w:tcBorders>
              <w:top w:val="nil"/>
              <w:left w:val="single" w:color="auto" w:sz="4" w:space="0"/>
              <w:bottom w:val="single" w:color="auto" w:sz="4" w:space="0"/>
              <w:right w:val="single" w:color="auto" w:sz="4" w:space="0"/>
            </w:tcBorders>
            <w:noWrap w:val="0"/>
            <w:vAlign w:val="center"/>
          </w:tcPr>
          <w:p w14:paraId="66F927D6">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2</w:t>
            </w:r>
          </w:p>
        </w:tc>
        <w:tc>
          <w:tcPr>
            <w:tcW w:w="755" w:type="pct"/>
            <w:tcBorders>
              <w:top w:val="nil"/>
              <w:left w:val="nil"/>
              <w:bottom w:val="single" w:color="auto" w:sz="4" w:space="0"/>
              <w:right w:val="single" w:color="auto" w:sz="4" w:space="0"/>
            </w:tcBorders>
            <w:noWrap/>
            <w:vAlign w:val="center"/>
          </w:tcPr>
          <w:p w14:paraId="694D424C">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监控拼接屏</w:t>
            </w:r>
          </w:p>
        </w:tc>
        <w:tc>
          <w:tcPr>
            <w:tcW w:w="2831" w:type="pct"/>
            <w:tcBorders>
              <w:top w:val="nil"/>
              <w:left w:val="nil"/>
              <w:bottom w:val="single" w:color="auto" w:sz="4" w:space="0"/>
              <w:right w:val="single" w:color="auto" w:sz="4" w:space="0"/>
            </w:tcBorders>
            <w:noWrap w:val="0"/>
            <w:vAlign w:val="center"/>
          </w:tcPr>
          <w:p w14:paraId="11154ABA">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由甲方指定厂家负责供货、安装及调试，施工单位负责配合</w:t>
            </w:r>
            <w:r>
              <w:rPr>
                <w:rFonts w:hint="eastAsia" w:ascii="仿宋_GB2312" w:hAnsi="仿宋" w:eastAsia="仿宋_GB2312" w:cs="宋体"/>
                <w:kern w:val="0"/>
                <w:sz w:val="20"/>
                <w:szCs w:val="20"/>
                <w:highlight w:val="none"/>
                <w:lang w:eastAsia="zh-CN"/>
              </w:rPr>
              <w:t>网络</w:t>
            </w:r>
            <w:r>
              <w:rPr>
                <w:rFonts w:hint="eastAsia" w:ascii="仿宋_GB2312" w:hAnsi="仿宋" w:eastAsia="仿宋_GB2312" w:cs="宋体"/>
                <w:kern w:val="0"/>
                <w:sz w:val="20"/>
                <w:szCs w:val="20"/>
                <w:highlight w:val="none"/>
              </w:rPr>
              <w:t>、供电线缆敷设</w:t>
            </w:r>
          </w:p>
        </w:tc>
        <w:tc>
          <w:tcPr>
            <w:tcW w:w="1058" w:type="pct"/>
            <w:tcBorders>
              <w:top w:val="nil"/>
              <w:left w:val="nil"/>
              <w:bottom w:val="single" w:color="auto" w:sz="4" w:space="0"/>
              <w:right w:val="single" w:color="auto" w:sz="4" w:space="0"/>
            </w:tcBorders>
            <w:noWrap w:val="0"/>
            <w:vAlign w:val="center"/>
          </w:tcPr>
          <w:p w14:paraId="50130307">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总行集采入围品牌</w:t>
            </w:r>
          </w:p>
        </w:tc>
      </w:tr>
      <w:tr w14:paraId="513A41DD">
        <w:tblPrEx>
          <w:tblCellMar>
            <w:top w:w="0" w:type="dxa"/>
            <w:left w:w="108" w:type="dxa"/>
            <w:bottom w:w="0" w:type="dxa"/>
            <w:right w:w="108" w:type="dxa"/>
          </w:tblCellMar>
        </w:tblPrEx>
        <w:trPr>
          <w:trHeight w:val="847" w:hRule="atLeast"/>
        </w:trPr>
        <w:tc>
          <w:tcPr>
            <w:tcW w:w="354" w:type="pct"/>
            <w:tcBorders>
              <w:top w:val="nil"/>
              <w:left w:val="single" w:color="auto" w:sz="4" w:space="0"/>
              <w:bottom w:val="single" w:color="auto" w:sz="4" w:space="0"/>
              <w:right w:val="single" w:color="auto" w:sz="4" w:space="0"/>
            </w:tcBorders>
            <w:noWrap w:val="0"/>
            <w:vAlign w:val="center"/>
          </w:tcPr>
          <w:p w14:paraId="417D9699">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3</w:t>
            </w:r>
          </w:p>
        </w:tc>
        <w:tc>
          <w:tcPr>
            <w:tcW w:w="755" w:type="pct"/>
            <w:tcBorders>
              <w:top w:val="nil"/>
              <w:left w:val="nil"/>
              <w:bottom w:val="single" w:color="auto" w:sz="8" w:space="0"/>
              <w:right w:val="single" w:color="auto" w:sz="8" w:space="0"/>
            </w:tcBorders>
            <w:noWrap/>
            <w:vAlign w:val="center"/>
          </w:tcPr>
          <w:p w14:paraId="21C11789">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监控液晶监视器</w:t>
            </w:r>
          </w:p>
        </w:tc>
        <w:tc>
          <w:tcPr>
            <w:tcW w:w="2831" w:type="pct"/>
            <w:tcBorders>
              <w:top w:val="nil"/>
              <w:left w:val="single" w:color="auto" w:sz="4" w:space="0"/>
              <w:bottom w:val="single" w:color="auto" w:sz="4" w:space="0"/>
              <w:right w:val="single" w:color="auto" w:sz="4" w:space="0"/>
            </w:tcBorders>
            <w:noWrap w:val="0"/>
            <w:vAlign w:val="center"/>
          </w:tcPr>
          <w:p w14:paraId="558AA12E">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监控中心（室）用，由甲方指定厂家负责供货，弱电单位负责安装调试</w:t>
            </w:r>
          </w:p>
        </w:tc>
        <w:tc>
          <w:tcPr>
            <w:tcW w:w="1058" w:type="pct"/>
            <w:tcBorders>
              <w:top w:val="nil"/>
              <w:left w:val="single" w:color="auto" w:sz="4" w:space="0"/>
              <w:bottom w:val="single" w:color="auto" w:sz="4" w:space="0"/>
              <w:right w:val="single" w:color="auto" w:sz="4" w:space="0"/>
            </w:tcBorders>
            <w:noWrap w:val="0"/>
            <w:vAlign w:val="center"/>
          </w:tcPr>
          <w:p w14:paraId="571C5231">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总行集采入围品牌</w:t>
            </w:r>
          </w:p>
        </w:tc>
      </w:tr>
      <w:tr w14:paraId="7269C489">
        <w:tblPrEx>
          <w:tblCellMar>
            <w:top w:w="0" w:type="dxa"/>
            <w:left w:w="108" w:type="dxa"/>
            <w:bottom w:w="0" w:type="dxa"/>
            <w:right w:w="108" w:type="dxa"/>
          </w:tblCellMar>
        </w:tblPrEx>
        <w:trPr>
          <w:trHeight w:val="667" w:hRule="atLeast"/>
        </w:trPr>
        <w:tc>
          <w:tcPr>
            <w:tcW w:w="354" w:type="pct"/>
            <w:tcBorders>
              <w:top w:val="nil"/>
              <w:left w:val="single" w:color="auto" w:sz="4" w:space="0"/>
              <w:bottom w:val="single" w:color="auto" w:sz="4" w:space="0"/>
              <w:right w:val="single" w:color="auto" w:sz="4" w:space="0"/>
            </w:tcBorders>
            <w:noWrap w:val="0"/>
            <w:vAlign w:val="center"/>
          </w:tcPr>
          <w:p w14:paraId="6DE671BD">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4</w:t>
            </w:r>
          </w:p>
        </w:tc>
        <w:tc>
          <w:tcPr>
            <w:tcW w:w="755" w:type="pct"/>
            <w:tcBorders>
              <w:top w:val="single" w:color="auto" w:sz="8" w:space="0"/>
              <w:left w:val="single" w:color="auto" w:sz="8" w:space="0"/>
              <w:bottom w:val="single" w:color="auto" w:sz="8" w:space="0"/>
              <w:right w:val="single" w:color="auto" w:sz="8" w:space="0"/>
            </w:tcBorders>
            <w:noWrap/>
            <w:vAlign w:val="center"/>
          </w:tcPr>
          <w:p w14:paraId="3619391D">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二道门门禁</w:t>
            </w:r>
          </w:p>
        </w:tc>
        <w:tc>
          <w:tcPr>
            <w:tcW w:w="2831" w:type="pct"/>
            <w:tcBorders>
              <w:top w:val="nil"/>
              <w:left w:val="single" w:color="auto" w:sz="4" w:space="0"/>
              <w:bottom w:val="single" w:color="auto" w:sz="4" w:space="0"/>
              <w:right w:val="single" w:color="auto" w:sz="4" w:space="0"/>
            </w:tcBorders>
            <w:noWrap w:val="0"/>
            <w:vAlign w:val="center"/>
          </w:tcPr>
          <w:p w14:paraId="47606598">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由甲方指定厂家负责供货，弱电单位负责安装调试</w:t>
            </w:r>
          </w:p>
        </w:tc>
        <w:tc>
          <w:tcPr>
            <w:tcW w:w="1058" w:type="pct"/>
            <w:tcBorders>
              <w:top w:val="nil"/>
              <w:left w:val="single" w:color="auto" w:sz="4" w:space="0"/>
              <w:bottom w:val="single" w:color="auto" w:sz="4" w:space="0"/>
              <w:right w:val="single" w:color="auto" w:sz="4" w:space="0"/>
            </w:tcBorders>
            <w:noWrap w:val="0"/>
            <w:vAlign w:val="center"/>
          </w:tcPr>
          <w:p w14:paraId="53D77A88">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总行集采入围品牌</w:t>
            </w:r>
          </w:p>
        </w:tc>
      </w:tr>
      <w:tr w14:paraId="6A91E139">
        <w:tblPrEx>
          <w:tblCellMar>
            <w:top w:w="0" w:type="dxa"/>
            <w:left w:w="108" w:type="dxa"/>
            <w:bottom w:w="0" w:type="dxa"/>
            <w:right w:w="108" w:type="dxa"/>
          </w:tblCellMar>
        </w:tblPrEx>
        <w:trPr>
          <w:trHeight w:val="701" w:hRule="atLeast"/>
        </w:trPr>
        <w:tc>
          <w:tcPr>
            <w:tcW w:w="354" w:type="pct"/>
            <w:tcBorders>
              <w:top w:val="nil"/>
              <w:left w:val="single" w:color="auto" w:sz="4" w:space="0"/>
              <w:bottom w:val="single" w:color="auto" w:sz="4" w:space="0"/>
              <w:right w:val="single" w:color="auto" w:sz="8" w:space="0"/>
            </w:tcBorders>
            <w:noWrap w:val="0"/>
            <w:vAlign w:val="center"/>
          </w:tcPr>
          <w:p w14:paraId="0A0F5E34">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5</w:t>
            </w:r>
          </w:p>
        </w:tc>
        <w:tc>
          <w:tcPr>
            <w:tcW w:w="755" w:type="pct"/>
            <w:tcBorders>
              <w:top w:val="single" w:color="auto" w:sz="8" w:space="0"/>
              <w:left w:val="single" w:color="auto" w:sz="8" w:space="0"/>
              <w:bottom w:val="single" w:color="auto" w:sz="8" w:space="0"/>
              <w:right w:val="single" w:color="auto" w:sz="8" w:space="0"/>
            </w:tcBorders>
            <w:noWrap/>
            <w:vAlign w:val="center"/>
          </w:tcPr>
          <w:p w14:paraId="2E04D707">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其他门禁系统（含人脸识别）</w:t>
            </w:r>
          </w:p>
        </w:tc>
        <w:tc>
          <w:tcPr>
            <w:tcW w:w="2831" w:type="pct"/>
            <w:tcBorders>
              <w:top w:val="nil"/>
              <w:left w:val="single" w:color="auto" w:sz="4" w:space="0"/>
              <w:bottom w:val="single" w:color="auto" w:sz="4" w:space="0"/>
              <w:right w:val="single" w:color="auto" w:sz="4" w:space="0"/>
            </w:tcBorders>
            <w:noWrap w:val="0"/>
            <w:vAlign w:val="center"/>
          </w:tcPr>
          <w:p w14:paraId="6DAF73A1">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由甲方指定厂家负责供货，弱电单位负责安装调试</w:t>
            </w:r>
          </w:p>
        </w:tc>
        <w:tc>
          <w:tcPr>
            <w:tcW w:w="1058" w:type="pct"/>
            <w:tcBorders>
              <w:top w:val="nil"/>
              <w:left w:val="single" w:color="auto" w:sz="4" w:space="0"/>
              <w:bottom w:val="single" w:color="auto" w:sz="4" w:space="0"/>
              <w:right w:val="single" w:color="auto" w:sz="4" w:space="0"/>
            </w:tcBorders>
            <w:noWrap w:val="0"/>
            <w:vAlign w:val="center"/>
          </w:tcPr>
          <w:p w14:paraId="58376FE8">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总行集采入围品牌</w:t>
            </w:r>
          </w:p>
        </w:tc>
      </w:tr>
      <w:tr w14:paraId="42EE824F">
        <w:tblPrEx>
          <w:tblCellMar>
            <w:top w:w="0" w:type="dxa"/>
            <w:left w:w="108" w:type="dxa"/>
            <w:bottom w:w="0" w:type="dxa"/>
            <w:right w:w="108" w:type="dxa"/>
          </w:tblCellMar>
        </w:tblPrEx>
        <w:trPr>
          <w:trHeight w:val="930" w:hRule="atLeast"/>
        </w:trPr>
        <w:tc>
          <w:tcPr>
            <w:tcW w:w="354" w:type="pct"/>
            <w:tcBorders>
              <w:top w:val="nil"/>
              <w:left w:val="single" w:color="auto" w:sz="4" w:space="0"/>
              <w:bottom w:val="single" w:color="auto" w:sz="4" w:space="0"/>
              <w:right w:val="single" w:color="auto" w:sz="8" w:space="0"/>
            </w:tcBorders>
            <w:noWrap w:val="0"/>
            <w:vAlign w:val="center"/>
          </w:tcPr>
          <w:p w14:paraId="4B583A0A">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6</w:t>
            </w:r>
          </w:p>
        </w:tc>
        <w:tc>
          <w:tcPr>
            <w:tcW w:w="755" w:type="pct"/>
            <w:tcBorders>
              <w:top w:val="single" w:color="auto" w:sz="8" w:space="0"/>
              <w:left w:val="nil"/>
              <w:bottom w:val="single" w:color="auto" w:sz="4" w:space="0"/>
              <w:right w:val="single" w:color="auto" w:sz="4" w:space="0"/>
            </w:tcBorders>
            <w:noWrap/>
            <w:vAlign w:val="center"/>
          </w:tcPr>
          <w:p w14:paraId="0C268220">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LCD多媒体展示系统（营业厅拼接屏、单屏</w:t>
            </w:r>
            <w:r>
              <w:rPr>
                <w:rFonts w:hint="eastAsia" w:ascii="仿宋_GB2312" w:hAnsi="仿宋" w:eastAsia="仿宋_GB2312" w:cs="宋体"/>
                <w:kern w:val="0"/>
                <w:sz w:val="20"/>
                <w:szCs w:val="20"/>
                <w:highlight w:val="none"/>
                <w:lang w:eastAsia="zh-CN"/>
              </w:rPr>
              <w:t>、会议系统显示设备</w:t>
            </w:r>
            <w:r>
              <w:rPr>
                <w:rFonts w:hint="eastAsia" w:ascii="仿宋_GB2312" w:hAnsi="仿宋" w:eastAsia="仿宋_GB2312" w:cs="宋体"/>
                <w:kern w:val="0"/>
                <w:sz w:val="20"/>
                <w:szCs w:val="20"/>
                <w:highlight w:val="none"/>
              </w:rPr>
              <w:t>）</w:t>
            </w:r>
          </w:p>
        </w:tc>
        <w:tc>
          <w:tcPr>
            <w:tcW w:w="2831" w:type="pct"/>
            <w:tcBorders>
              <w:top w:val="nil"/>
              <w:left w:val="nil"/>
              <w:bottom w:val="single" w:color="auto" w:sz="4" w:space="0"/>
              <w:right w:val="single" w:color="auto" w:sz="4" w:space="0"/>
            </w:tcBorders>
            <w:noWrap w:val="0"/>
            <w:vAlign w:val="center"/>
          </w:tcPr>
          <w:p w14:paraId="32443155">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由甲方指定厂家负责供货，弱电单位负责安装调试</w:t>
            </w:r>
          </w:p>
        </w:tc>
        <w:tc>
          <w:tcPr>
            <w:tcW w:w="1058" w:type="pct"/>
            <w:tcBorders>
              <w:top w:val="nil"/>
              <w:left w:val="nil"/>
              <w:bottom w:val="single" w:color="auto" w:sz="4" w:space="0"/>
              <w:right w:val="single" w:color="auto" w:sz="4" w:space="0"/>
            </w:tcBorders>
            <w:noWrap w:val="0"/>
            <w:vAlign w:val="center"/>
          </w:tcPr>
          <w:p w14:paraId="7F6153E1">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总行集采入围品牌</w:t>
            </w:r>
          </w:p>
        </w:tc>
      </w:tr>
      <w:tr w14:paraId="52AFB51A">
        <w:tblPrEx>
          <w:tblCellMar>
            <w:top w:w="0" w:type="dxa"/>
            <w:left w:w="108" w:type="dxa"/>
            <w:bottom w:w="0" w:type="dxa"/>
            <w:right w:w="108" w:type="dxa"/>
          </w:tblCellMar>
        </w:tblPrEx>
        <w:trPr>
          <w:trHeight w:val="723" w:hRule="atLeast"/>
        </w:trPr>
        <w:tc>
          <w:tcPr>
            <w:tcW w:w="354" w:type="pct"/>
            <w:tcBorders>
              <w:top w:val="nil"/>
              <w:left w:val="single" w:color="auto" w:sz="4" w:space="0"/>
              <w:bottom w:val="single" w:color="auto" w:sz="4" w:space="0"/>
              <w:right w:val="single" w:color="auto" w:sz="8" w:space="0"/>
            </w:tcBorders>
            <w:noWrap w:val="0"/>
            <w:vAlign w:val="center"/>
          </w:tcPr>
          <w:p w14:paraId="22F26524">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7</w:t>
            </w:r>
          </w:p>
        </w:tc>
        <w:tc>
          <w:tcPr>
            <w:tcW w:w="755" w:type="pct"/>
            <w:tcBorders>
              <w:top w:val="nil"/>
              <w:left w:val="nil"/>
              <w:bottom w:val="single" w:color="auto" w:sz="4" w:space="0"/>
              <w:right w:val="single" w:color="auto" w:sz="4" w:space="0"/>
            </w:tcBorders>
            <w:noWrap/>
            <w:vAlign w:val="center"/>
          </w:tcPr>
          <w:p w14:paraId="1F33CDB5">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LED显示屏</w:t>
            </w:r>
          </w:p>
        </w:tc>
        <w:tc>
          <w:tcPr>
            <w:tcW w:w="2831" w:type="pct"/>
            <w:tcBorders>
              <w:top w:val="nil"/>
              <w:left w:val="single" w:color="auto" w:sz="4" w:space="0"/>
              <w:bottom w:val="single" w:color="auto" w:sz="4" w:space="0"/>
              <w:right w:val="single" w:color="auto" w:sz="4" w:space="0"/>
            </w:tcBorders>
            <w:noWrap w:val="0"/>
            <w:vAlign w:val="center"/>
          </w:tcPr>
          <w:p w14:paraId="4F5D1EDA">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由甲方指定厂家供货、安装及调试，弱电单位负责敷设线缆</w:t>
            </w:r>
          </w:p>
        </w:tc>
        <w:tc>
          <w:tcPr>
            <w:tcW w:w="1058" w:type="pct"/>
            <w:tcBorders>
              <w:top w:val="nil"/>
              <w:left w:val="single" w:color="auto" w:sz="4" w:space="0"/>
              <w:bottom w:val="single" w:color="auto" w:sz="4" w:space="0"/>
              <w:right w:val="single" w:color="auto" w:sz="4" w:space="0"/>
            </w:tcBorders>
            <w:noWrap w:val="0"/>
            <w:vAlign w:val="center"/>
          </w:tcPr>
          <w:p w14:paraId="774A1AB6">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总行集采入围品牌</w:t>
            </w:r>
          </w:p>
        </w:tc>
      </w:tr>
      <w:tr w14:paraId="0101B622">
        <w:tblPrEx>
          <w:tblCellMar>
            <w:top w:w="0" w:type="dxa"/>
            <w:left w:w="108" w:type="dxa"/>
            <w:bottom w:w="0" w:type="dxa"/>
            <w:right w:w="108" w:type="dxa"/>
          </w:tblCellMar>
        </w:tblPrEx>
        <w:trPr>
          <w:trHeight w:val="821" w:hRule="atLeast"/>
        </w:trPr>
        <w:tc>
          <w:tcPr>
            <w:tcW w:w="354" w:type="pct"/>
            <w:tcBorders>
              <w:top w:val="nil"/>
              <w:left w:val="single" w:color="auto" w:sz="4" w:space="0"/>
              <w:bottom w:val="single" w:color="auto" w:sz="4" w:space="0"/>
              <w:right w:val="single" w:color="auto" w:sz="4" w:space="0"/>
            </w:tcBorders>
            <w:noWrap w:val="0"/>
            <w:vAlign w:val="center"/>
          </w:tcPr>
          <w:p w14:paraId="256A5AE3">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8</w:t>
            </w:r>
          </w:p>
        </w:tc>
        <w:tc>
          <w:tcPr>
            <w:tcW w:w="755" w:type="pct"/>
            <w:tcBorders>
              <w:top w:val="nil"/>
              <w:left w:val="nil"/>
              <w:bottom w:val="single" w:color="auto" w:sz="4" w:space="0"/>
              <w:right w:val="single" w:color="auto" w:sz="4" w:space="0"/>
            </w:tcBorders>
            <w:noWrap/>
            <w:vAlign w:val="center"/>
          </w:tcPr>
          <w:p w14:paraId="0D4C0DB5">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UPS主机（含电池）</w:t>
            </w:r>
          </w:p>
        </w:tc>
        <w:tc>
          <w:tcPr>
            <w:tcW w:w="2831" w:type="pct"/>
            <w:tcBorders>
              <w:top w:val="nil"/>
              <w:left w:val="nil"/>
              <w:bottom w:val="single" w:color="auto" w:sz="4" w:space="0"/>
              <w:right w:val="single" w:color="auto" w:sz="4" w:space="0"/>
            </w:tcBorders>
            <w:noWrap w:val="0"/>
            <w:vAlign w:val="center"/>
          </w:tcPr>
          <w:p w14:paraId="00085B18">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由科技部指定厂家供货、安装及调试，弱电单位负责敷设UPS线缆</w:t>
            </w:r>
          </w:p>
        </w:tc>
        <w:tc>
          <w:tcPr>
            <w:tcW w:w="1058" w:type="pct"/>
            <w:tcBorders>
              <w:top w:val="nil"/>
              <w:left w:val="nil"/>
              <w:bottom w:val="single" w:color="auto" w:sz="4" w:space="0"/>
              <w:right w:val="single" w:color="auto" w:sz="4" w:space="0"/>
            </w:tcBorders>
            <w:noWrap w:val="0"/>
            <w:vAlign w:val="center"/>
          </w:tcPr>
          <w:p w14:paraId="3BEE85F5">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以科技部供货为准</w:t>
            </w:r>
          </w:p>
        </w:tc>
      </w:tr>
      <w:tr w14:paraId="7E939261">
        <w:tblPrEx>
          <w:tblCellMar>
            <w:top w:w="0" w:type="dxa"/>
            <w:left w:w="108" w:type="dxa"/>
            <w:bottom w:w="0" w:type="dxa"/>
            <w:right w:w="108" w:type="dxa"/>
          </w:tblCellMar>
        </w:tblPrEx>
        <w:trPr>
          <w:trHeight w:val="675" w:hRule="atLeast"/>
        </w:trPr>
        <w:tc>
          <w:tcPr>
            <w:tcW w:w="354" w:type="pct"/>
            <w:tcBorders>
              <w:top w:val="nil"/>
              <w:left w:val="single" w:color="auto" w:sz="4" w:space="0"/>
              <w:bottom w:val="single" w:color="auto" w:sz="4" w:space="0"/>
              <w:right w:val="single" w:color="auto" w:sz="4" w:space="0"/>
            </w:tcBorders>
            <w:noWrap w:val="0"/>
            <w:vAlign w:val="center"/>
          </w:tcPr>
          <w:p w14:paraId="6D780BD8">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11</w:t>
            </w:r>
          </w:p>
        </w:tc>
        <w:tc>
          <w:tcPr>
            <w:tcW w:w="755" w:type="pct"/>
            <w:tcBorders>
              <w:top w:val="nil"/>
              <w:left w:val="nil"/>
              <w:bottom w:val="nil"/>
              <w:right w:val="single" w:color="auto" w:sz="4" w:space="0"/>
            </w:tcBorders>
            <w:noWrap w:val="0"/>
            <w:vAlign w:val="center"/>
          </w:tcPr>
          <w:p w14:paraId="3197B4D0">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计算机机房服务器机柜</w:t>
            </w:r>
          </w:p>
        </w:tc>
        <w:tc>
          <w:tcPr>
            <w:tcW w:w="2831" w:type="pct"/>
            <w:tcBorders>
              <w:top w:val="nil"/>
              <w:left w:val="single" w:color="auto" w:sz="4" w:space="0"/>
              <w:bottom w:val="nil"/>
              <w:right w:val="single" w:color="auto" w:sz="4" w:space="0"/>
            </w:tcBorders>
            <w:noWrap w:val="0"/>
            <w:vAlign w:val="center"/>
          </w:tcPr>
          <w:p w14:paraId="0925A07C">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由科技部指定厂家供货、安装及调试，弱电单位负责敷设线缆</w:t>
            </w:r>
          </w:p>
        </w:tc>
        <w:tc>
          <w:tcPr>
            <w:tcW w:w="1058" w:type="pct"/>
            <w:tcBorders>
              <w:top w:val="nil"/>
              <w:left w:val="single" w:color="auto" w:sz="4" w:space="0"/>
              <w:bottom w:val="nil"/>
              <w:right w:val="single" w:color="auto" w:sz="4" w:space="0"/>
            </w:tcBorders>
            <w:noWrap w:val="0"/>
            <w:vAlign w:val="center"/>
          </w:tcPr>
          <w:p w14:paraId="3FC4D31D">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以科技部供货为准</w:t>
            </w:r>
          </w:p>
        </w:tc>
      </w:tr>
      <w:tr w14:paraId="66FA9BAF">
        <w:tblPrEx>
          <w:tblCellMar>
            <w:top w:w="0" w:type="dxa"/>
            <w:left w:w="108" w:type="dxa"/>
            <w:bottom w:w="0" w:type="dxa"/>
            <w:right w:w="108" w:type="dxa"/>
          </w:tblCellMar>
        </w:tblPrEx>
        <w:trPr>
          <w:trHeight w:val="855" w:hRule="atLeast"/>
        </w:trPr>
        <w:tc>
          <w:tcPr>
            <w:tcW w:w="354" w:type="pct"/>
            <w:tcBorders>
              <w:top w:val="single" w:color="auto" w:sz="4" w:space="0"/>
              <w:left w:val="single" w:color="auto" w:sz="4" w:space="0"/>
              <w:bottom w:val="single" w:color="auto" w:sz="4" w:space="0"/>
              <w:right w:val="single" w:color="auto" w:sz="4" w:space="0"/>
            </w:tcBorders>
            <w:noWrap w:val="0"/>
            <w:vAlign w:val="center"/>
          </w:tcPr>
          <w:p w14:paraId="7FCFCFE8">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12</w:t>
            </w:r>
          </w:p>
        </w:tc>
        <w:tc>
          <w:tcPr>
            <w:tcW w:w="755" w:type="pct"/>
            <w:tcBorders>
              <w:top w:val="single" w:color="auto" w:sz="4" w:space="0"/>
              <w:left w:val="nil"/>
              <w:bottom w:val="single" w:color="auto" w:sz="4" w:space="0"/>
              <w:right w:val="single" w:color="auto" w:sz="4" w:space="0"/>
            </w:tcBorders>
            <w:noWrap w:val="0"/>
            <w:vAlign w:val="center"/>
          </w:tcPr>
          <w:p w14:paraId="57457E1B">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计算机机房服务器、交换机、防火墙等</w:t>
            </w:r>
          </w:p>
        </w:tc>
        <w:tc>
          <w:tcPr>
            <w:tcW w:w="2831" w:type="pct"/>
            <w:tcBorders>
              <w:top w:val="single" w:color="auto" w:sz="4" w:space="0"/>
              <w:left w:val="nil"/>
              <w:bottom w:val="single" w:color="auto" w:sz="4" w:space="0"/>
              <w:right w:val="single" w:color="auto" w:sz="4" w:space="0"/>
            </w:tcBorders>
            <w:noWrap w:val="0"/>
            <w:vAlign w:val="center"/>
          </w:tcPr>
          <w:p w14:paraId="5C5D7D3D">
            <w:pPr>
              <w:widowControl/>
              <w:jc w:val="left"/>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由科技部指定厂家供货、安装及调试，弱电单位负责敷设线缆</w:t>
            </w:r>
          </w:p>
        </w:tc>
        <w:tc>
          <w:tcPr>
            <w:tcW w:w="1058" w:type="pct"/>
            <w:tcBorders>
              <w:top w:val="single" w:color="auto" w:sz="4" w:space="0"/>
              <w:left w:val="nil"/>
              <w:bottom w:val="single" w:color="auto" w:sz="4" w:space="0"/>
              <w:right w:val="single" w:color="auto" w:sz="4" w:space="0"/>
            </w:tcBorders>
            <w:noWrap w:val="0"/>
            <w:vAlign w:val="center"/>
          </w:tcPr>
          <w:p w14:paraId="49926538">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以科技部供货为准</w:t>
            </w:r>
          </w:p>
        </w:tc>
      </w:tr>
      <w:tr w14:paraId="3F4948E6">
        <w:tblPrEx>
          <w:tblCellMar>
            <w:top w:w="0" w:type="dxa"/>
            <w:left w:w="108" w:type="dxa"/>
            <w:bottom w:w="0" w:type="dxa"/>
            <w:right w:w="108" w:type="dxa"/>
          </w:tblCellMar>
        </w:tblPrEx>
        <w:trPr>
          <w:trHeight w:val="855" w:hRule="atLeast"/>
        </w:trPr>
        <w:tc>
          <w:tcPr>
            <w:tcW w:w="354" w:type="pct"/>
            <w:tcBorders>
              <w:top w:val="single" w:color="auto" w:sz="4" w:space="0"/>
              <w:left w:val="single" w:color="auto" w:sz="4" w:space="0"/>
              <w:bottom w:val="single" w:color="auto" w:sz="4" w:space="0"/>
              <w:right w:val="single" w:color="auto" w:sz="4" w:space="0"/>
            </w:tcBorders>
            <w:noWrap w:val="0"/>
            <w:vAlign w:val="center"/>
          </w:tcPr>
          <w:p w14:paraId="7E1B43CA">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13</w:t>
            </w:r>
          </w:p>
        </w:tc>
        <w:tc>
          <w:tcPr>
            <w:tcW w:w="755" w:type="pct"/>
            <w:tcBorders>
              <w:top w:val="single" w:color="auto" w:sz="4" w:space="0"/>
              <w:left w:val="nil"/>
              <w:bottom w:val="single" w:color="auto" w:sz="4" w:space="0"/>
              <w:right w:val="single" w:color="auto" w:sz="4" w:space="0"/>
            </w:tcBorders>
            <w:noWrap w:val="0"/>
            <w:vAlign w:val="center"/>
          </w:tcPr>
          <w:p w14:paraId="3C5BBB07">
            <w:pPr>
              <w:widowControl/>
              <w:jc w:val="center"/>
              <w:rPr>
                <w:rFonts w:ascii="仿宋_GB2312" w:hAnsi="仿宋" w:eastAsia="仿宋_GB2312" w:cs="宋体"/>
                <w:kern w:val="0"/>
                <w:sz w:val="20"/>
                <w:szCs w:val="20"/>
                <w:highlight w:val="none"/>
              </w:rPr>
            </w:pPr>
            <w:r>
              <w:rPr>
                <w:rFonts w:hint="eastAsia" w:ascii="仿宋_GB2312" w:hAnsi="仿宋" w:eastAsia="仿宋_GB2312" w:cs="宋体"/>
                <w:kern w:val="0"/>
                <w:sz w:val="20"/>
                <w:szCs w:val="20"/>
                <w:highlight w:val="none"/>
              </w:rPr>
              <w:t>智能安防设备</w:t>
            </w:r>
          </w:p>
        </w:tc>
        <w:tc>
          <w:tcPr>
            <w:tcW w:w="2831" w:type="pct"/>
            <w:tcBorders>
              <w:top w:val="single" w:color="auto" w:sz="4" w:space="0"/>
              <w:left w:val="nil"/>
              <w:bottom w:val="single" w:color="auto" w:sz="4" w:space="0"/>
              <w:right w:val="single" w:color="auto" w:sz="4" w:space="0"/>
            </w:tcBorders>
            <w:noWrap w:val="0"/>
            <w:vAlign w:val="center"/>
          </w:tcPr>
          <w:p w14:paraId="7DD4D1D1">
            <w:pPr>
              <w:widowControl/>
              <w:jc w:val="left"/>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由甲方指定厂家负责供货安装调试</w:t>
            </w:r>
            <w:r>
              <w:rPr>
                <w:rFonts w:hint="eastAsia" w:ascii="仿宋_GB2312" w:hAnsi="仿宋" w:eastAsia="仿宋_GB2312" w:cs="宋体"/>
                <w:kern w:val="0"/>
                <w:sz w:val="20"/>
                <w:szCs w:val="20"/>
                <w:highlight w:val="none"/>
                <w:lang w:eastAsia="zh-CN"/>
              </w:rPr>
              <w:t>及培训售后服务。</w:t>
            </w:r>
          </w:p>
        </w:tc>
        <w:tc>
          <w:tcPr>
            <w:tcW w:w="1058" w:type="pct"/>
            <w:tcBorders>
              <w:top w:val="single" w:color="auto" w:sz="4" w:space="0"/>
              <w:left w:val="nil"/>
              <w:bottom w:val="single" w:color="auto" w:sz="4" w:space="0"/>
              <w:right w:val="single" w:color="auto" w:sz="4" w:space="0"/>
            </w:tcBorders>
            <w:noWrap w:val="0"/>
            <w:vAlign w:val="center"/>
          </w:tcPr>
          <w:p w14:paraId="6AA9B2BD">
            <w:pPr>
              <w:widowControl/>
              <w:jc w:val="center"/>
              <w:rPr>
                <w:rFonts w:hint="eastAsia" w:ascii="仿宋_GB2312" w:hAnsi="仿宋" w:eastAsia="仿宋_GB2312" w:cs="宋体"/>
                <w:kern w:val="0"/>
                <w:sz w:val="20"/>
                <w:szCs w:val="20"/>
                <w:highlight w:val="none"/>
                <w:lang w:val="en-US" w:eastAsia="zh-CN" w:bidi="ar-SA"/>
              </w:rPr>
            </w:pPr>
            <w:r>
              <w:rPr>
                <w:rFonts w:hint="eastAsia" w:ascii="仿宋_GB2312" w:hAnsi="仿宋" w:eastAsia="仿宋_GB2312" w:cs="宋体"/>
                <w:kern w:val="0"/>
                <w:sz w:val="20"/>
                <w:szCs w:val="20"/>
                <w:highlight w:val="none"/>
              </w:rPr>
              <w:t>总行集采入围品牌</w:t>
            </w:r>
          </w:p>
        </w:tc>
      </w:tr>
    </w:tbl>
    <w:p w14:paraId="18C0E5C9">
      <w:pPr>
        <w:widowControl/>
        <w:snapToGrid w:val="0"/>
        <w:spacing w:line="360" w:lineRule="auto"/>
        <w:ind w:firstLine="480" w:firstLineChars="200"/>
        <w:rPr>
          <w:rFonts w:hint="eastAsia" w:ascii="宋体" w:hAnsi="宋体" w:eastAsia="宋体" w:cs="宋体"/>
          <w:sz w:val="24"/>
          <w:szCs w:val="24"/>
        </w:rPr>
      </w:pPr>
    </w:p>
    <w:p w14:paraId="09667DD1">
      <w:pPr>
        <w:spacing w:line="288" w:lineRule="auto"/>
        <w:ind w:firstLine="560" w:firstLineChars="200"/>
        <w:rPr>
          <w:rFonts w:hint="eastAsia" w:ascii="宋体" w:hAnsi="宋体"/>
          <w:spacing w:val="-6"/>
          <w:sz w:val="21"/>
          <w:szCs w:val="21"/>
        </w:rPr>
      </w:pPr>
      <w:r>
        <w:br w:type="page"/>
      </w:r>
    </w:p>
    <w:p w14:paraId="07B8F213">
      <w:pPr>
        <w:spacing w:line="288" w:lineRule="auto"/>
        <w:ind w:firstLine="662" w:firstLineChars="214"/>
        <w:jc w:val="center"/>
        <w:outlineLvl w:val="0"/>
        <w:rPr>
          <w:rFonts w:hint="eastAsia" w:ascii="宋体" w:hAnsi="宋体"/>
          <w:b/>
          <w:spacing w:val="-6"/>
          <w:sz w:val="32"/>
          <w:szCs w:val="32"/>
        </w:rPr>
      </w:pPr>
      <w:r>
        <w:rPr>
          <w:rFonts w:hint="eastAsia" w:ascii="宋体" w:hAnsi="宋体"/>
          <w:b/>
          <w:spacing w:val="-6"/>
          <w:sz w:val="32"/>
          <w:szCs w:val="32"/>
        </w:rPr>
        <w:t>第四章  评标办法及评分标准</w:t>
      </w:r>
    </w:p>
    <w:p w14:paraId="2730EB75">
      <w:pPr>
        <w:keepNext w:val="0"/>
        <w:keepLines w:val="0"/>
        <w:pageBreakBefore w:val="0"/>
        <w:widowControl w:val="0"/>
        <w:kinsoku/>
        <w:wordWrap/>
        <w:overflowPunct/>
        <w:topLinePunct w:val="0"/>
        <w:autoSpaceDE/>
        <w:autoSpaceDN/>
        <w:bidi w:val="0"/>
        <w:spacing w:line="360" w:lineRule="auto"/>
        <w:textAlignment w:val="auto"/>
        <w:outlineLvl w:val="1"/>
        <w:rPr>
          <w:rFonts w:hint="eastAsia" w:ascii="宋体" w:hAnsi="宋体"/>
          <w:b/>
          <w:spacing w:val="-6"/>
          <w:sz w:val="24"/>
          <w:szCs w:val="24"/>
        </w:rPr>
      </w:pPr>
      <w:r>
        <w:rPr>
          <w:rFonts w:hint="eastAsia" w:ascii="宋体" w:hAnsi="宋体"/>
          <w:b/>
          <w:spacing w:val="-6"/>
          <w:sz w:val="24"/>
          <w:szCs w:val="24"/>
        </w:rPr>
        <w:t>一、总则</w:t>
      </w:r>
    </w:p>
    <w:p w14:paraId="24F2CEF2">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b/>
          <w:bCs/>
          <w:spacing w:val="-6"/>
          <w:sz w:val="24"/>
          <w:szCs w:val="24"/>
        </w:rPr>
      </w:pPr>
      <w:r>
        <w:rPr>
          <w:rFonts w:hint="eastAsia" w:hAnsi="宋体"/>
          <w:spacing w:val="-6"/>
          <w:sz w:val="24"/>
          <w:szCs w:val="24"/>
        </w:rPr>
        <w:t>□评标办法1</w:t>
      </w:r>
      <w:r>
        <w:rPr>
          <w:rFonts w:hint="eastAsia" w:hAnsi="宋体"/>
          <w:b/>
          <w:bCs/>
          <w:spacing w:val="-6"/>
          <w:sz w:val="24"/>
          <w:szCs w:val="24"/>
        </w:rPr>
        <w:t>【经评审的最低价法】</w:t>
      </w:r>
    </w:p>
    <w:p w14:paraId="3756FA52">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Ansi="宋体"/>
          <w:spacing w:val="-6"/>
          <w:sz w:val="24"/>
          <w:szCs w:val="24"/>
        </w:rPr>
      </w:pPr>
      <w:r>
        <w:rPr>
          <w:rFonts w:hint="eastAsia" w:hAnsi="宋体"/>
          <w:spacing w:val="-6"/>
          <w:sz w:val="24"/>
          <w:szCs w:val="24"/>
        </w:rPr>
        <w:t>采用经评审的最低价法的，评标结果按投标报价由低到高顺序排列，推荐中标候选人。</w:t>
      </w:r>
    </w:p>
    <w:p w14:paraId="092279F7">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b/>
          <w:bCs/>
          <w:spacing w:val="-6"/>
          <w:sz w:val="24"/>
          <w:szCs w:val="24"/>
        </w:rPr>
      </w:pPr>
      <w:r>
        <w:rPr>
          <w:rFonts w:hint="eastAsia" w:hAnsi="宋体"/>
          <w:spacing w:val="-6"/>
          <w:sz w:val="24"/>
          <w:szCs w:val="24"/>
          <w:lang w:eastAsia="zh-CN"/>
        </w:rPr>
        <w:t>☑</w:t>
      </w:r>
      <w:r>
        <w:rPr>
          <w:rFonts w:hint="eastAsia" w:hAnsi="宋体"/>
          <w:spacing w:val="-6"/>
          <w:sz w:val="24"/>
          <w:szCs w:val="24"/>
        </w:rPr>
        <w:t>评标办法2</w:t>
      </w:r>
      <w:r>
        <w:rPr>
          <w:rFonts w:hint="eastAsia" w:hAnsi="宋体"/>
          <w:b/>
          <w:bCs/>
          <w:spacing w:val="-6"/>
          <w:sz w:val="24"/>
          <w:szCs w:val="24"/>
        </w:rPr>
        <w:t>【综合评估法】</w:t>
      </w:r>
    </w:p>
    <w:p w14:paraId="7AE6798B">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Ansi="宋体"/>
          <w:spacing w:val="-6"/>
          <w:sz w:val="24"/>
          <w:szCs w:val="24"/>
        </w:rPr>
      </w:pPr>
      <w:r>
        <w:rPr>
          <w:rFonts w:hint="eastAsia" w:hAnsi="宋体"/>
          <w:spacing w:val="-6"/>
          <w:sz w:val="24"/>
          <w:szCs w:val="24"/>
        </w:rPr>
        <w:t>本次评标采用综合评估法，总分为100分。合格投标人的评标得分为各项目汇总得分，中标候选资格按评标得分由高到低顺序排列，得分相同的，按投标报价由低到高顺序排列。</w:t>
      </w:r>
    </w:p>
    <w:p w14:paraId="17DDA482">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评分过程中采用四舍五入法，并保留小数2位。</w:t>
      </w:r>
    </w:p>
    <w:p w14:paraId="70E86F93">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投标人评标总得分=资信技术分+价格分。</w:t>
      </w:r>
    </w:p>
    <w:p w14:paraId="013F19F8">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Ansi="宋体"/>
          <w:spacing w:val="-6"/>
          <w:sz w:val="24"/>
          <w:szCs w:val="24"/>
        </w:rPr>
      </w:pPr>
      <w:r>
        <w:rPr>
          <w:rFonts w:hint="eastAsia" w:hAnsi="宋体"/>
          <w:spacing w:val="-6"/>
          <w:sz w:val="24"/>
          <w:szCs w:val="24"/>
        </w:rPr>
        <w:t>资信技术分按照评标委员会成员的独立评分结果的算术平均分计算，计算公式为：资信技术分=评标委员会所有成员评分合计数</w:t>
      </w:r>
      <w:r>
        <w:rPr>
          <w:rFonts w:hAnsi="宋体"/>
          <w:spacing w:val="-6"/>
          <w:sz w:val="24"/>
          <w:szCs w:val="24"/>
        </w:rPr>
        <w:t>/</w:t>
      </w:r>
      <w:r>
        <w:rPr>
          <w:rFonts w:hint="eastAsia" w:hAnsi="宋体"/>
          <w:spacing w:val="-6"/>
          <w:sz w:val="24"/>
          <w:szCs w:val="24"/>
        </w:rPr>
        <w:t>评标委员会组成人员数。</w:t>
      </w:r>
    </w:p>
    <w:p w14:paraId="35B699CC">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r>
        <w:rPr>
          <w:rFonts w:hint="eastAsia" w:hAnsi="宋体"/>
          <w:b/>
          <w:spacing w:val="-6"/>
          <w:sz w:val="24"/>
          <w:szCs w:val="24"/>
        </w:rPr>
        <w:t>二、评标程序</w:t>
      </w:r>
    </w:p>
    <w:p w14:paraId="534D17E3">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招标代理机构</w:t>
      </w:r>
      <w:r>
        <w:rPr>
          <w:rFonts w:hAnsi="宋体"/>
          <w:spacing w:val="-6"/>
          <w:sz w:val="24"/>
          <w:szCs w:val="24"/>
        </w:rPr>
        <w:t>按照</w:t>
      </w:r>
      <w:r>
        <w:rPr>
          <w:rFonts w:hint="eastAsia" w:hAnsi="宋体"/>
          <w:spacing w:val="-6"/>
          <w:sz w:val="24"/>
          <w:szCs w:val="24"/>
        </w:rPr>
        <w:t>招标</w:t>
      </w:r>
      <w:r>
        <w:rPr>
          <w:rFonts w:hAnsi="宋体"/>
          <w:spacing w:val="-6"/>
          <w:sz w:val="24"/>
          <w:szCs w:val="24"/>
        </w:rPr>
        <w:t>文件规定的时间、地点及程序组织评审。评审活动一般应按以下程序组织开展：</w:t>
      </w:r>
    </w:p>
    <w:p w14:paraId="23A1C64C">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1.</w:t>
      </w:r>
      <w:r>
        <w:rPr>
          <w:rFonts w:hAnsi="宋体"/>
          <w:spacing w:val="-6"/>
          <w:sz w:val="24"/>
          <w:szCs w:val="24"/>
        </w:rPr>
        <w:t>核验出席评审活动现场的</w:t>
      </w:r>
      <w:r>
        <w:rPr>
          <w:rFonts w:hint="eastAsia" w:hAnsi="宋体"/>
          <w:spacing w:val="-6"/>
          <w:sz w:val="24"/>
          <w:szCs w:val="24"/>
        </w:rPr>
        <w:t>评标委员会</w:t>
      </w:r>
      <w:r>
        <w:rPr>
          <w:rFonts w:hAnsi="宋体"/>
          <w:spacing w:val="-6"/>
          <w:sz w:val="24"/>
          <w:szCs w:val="24"/>
        </w:rPr>
        <w:t>各成员身份，并要求其分别登记、签到，按规定统一收缴、保存其通讯工具，无关人员一律拒绝其进入评审现场。</w:t>
      </w:r>
    </w:p>
    <w:p w14:paraId="08EE2ED9">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2.</w:t>
      </w:r>
      <w:r>
        <w:rPr>
          <w:rFonts w:hAnsi="宋体"/>
          <w:spacing w:val="-6"/>
          <w:sz w:val="24"/>
          <w:szCs w:val="24"/>
        </w:rPr>
        <w:t>介绍评审现场的人员情况，宣布评审工作纪律，告知</w:t>
      </w:r>
      <w:r>
        <w:rPr>
          <w:rFonts w:hint="eastAsia" w:hAnsi="宋体"/>
          <w:spacing w:val="-6"/>
          <w:sz w:val="24"/>
          <w:szCs w:val="24"/>
        </w:rPr>
        <w:t>评标委员会</w:t>
      </w:r>
      <w:r>
        <w:rPr>
          <w:rFonts w:hAnsi="宋体"/>
          <w:spacing w:val="-6"/>
          <w:sz w:val="24"/>
          <w:szCs w:val="24"/>
        </w:rPr>
        <w:t>应当回避情形；组织推选</w:t>
      </w:r>
      <w:r>
        <w:rPr>
          <w:rFonts w:hint="eastAsia" w:hAnsi="宋体"/>
          <w:spacing w:val="-6"/>
          <w:sz w:val="24"/>
          <w:szCs w:val="24"/>
        </w:rPr>
        <w:t>评标委员会</w:t>
      </w:r>
      <w:r>
        <w:rPr>
          <w:rFonts w:hAnsi="宋体"/>
          <w:spacing w:val="-6"/>
          <w:sz w:val="24"/>
          <w:szCs w:val="24"/>
        </w:rPr>
        <w:t>组长。</w:t>
      </w:r>
    </w:p>
    <w:p w14:paraId="03F16482">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3.</w:t>
      </w:r>
      <w:r>
        <w:rPr>
          <w:rFonts w:hAnsi="宋体"/>
          <w:spacing w:val="-6"/>
          <w:sz w:val="24"/>
          <w:szCs w:val="24"/>
        </w:rPr>
        <w:t>通报报名参加本项目招标的</w:t>
      </w:r>
      <w:r>
        <w:rPr>
          <w:rFonts w:hint="eastAsia" w:hAnsi="宋体"/>
          <w:spacing w:val="-6"/>
          <w:sz w:val="24"/>
          <w:szCs w:val="24"/>
        </w:rPr>
        <w:t>投标人</w:t>
      </w:r>
      <w:r>
        <w:rPr>
          <w:rFonts w:hAnsi="宋体"/>
          <w:spacing w:val="-6"/>
          <w:sz w:val="24"/>
          <w:szCs w:val="24"/>
        </w:rPr>
        <w:t>名单及资格预审情况（如有），宣读最终提交</w:t>
      </w:r>
      <w:r>
        <w:rPr>
          <w:rFonts w:hint="eastAsia" w:hAnsi="宋体"/>
          <w:spacing w:val="-6"/>
          <w:sz w:val="24"/>
          <w:szCs w:val="24"/>
        </w:rPr>
        <w:t>投标文件</w:t>
      </w:r>
      <w:r>
        <w:rPr>
          <w:rFonts w:hAnsi="宋体"/>
          <w:spacing w:val="-6"/>
          <w:sz w:val="24"/>
          <w:szCs w:val="24"/>
        </w:rPr>
        <w:t>的</w:t>
      </w:r>
      <w:r>
        <w:rPr>
          <w:rFonts w:hint="eastAsia" w:hAnsi="宋体"/>
          <w:spacing w:val="-6"/>
          <w:sz w:val="24"/>
          <w:szCs w:val="24"/>
        </w:rPr>
        <w:t>投标人</w:t>
      </w:r>
      <w:r>
        <w:rPr>
          <w:rFonts w:hAnsi="宋体"/>
          <w:spacing w:val="-6"/>
          <w:sz w:val="24"/>
          <w:szCs w:val="24"/>
        </w:rPr>
        <w:t>名单，组织</w:t>
      </w:r>
      <w:r>
        <w:rPr>
          <w:rFonts w:hint="eastAsia" w:hAnsi="宋体"/>
          <w:spacing w:val="-6"/>
          <w:sz w:val="24"/>
          <w:szCs w:val="24"/>
        </w:rPr>
        <w:t>评标委员会</w:t>
      </w:r>
      <w:r>
        <w:rPr>
          <w:rFonts w:hAnsi="宋体"/>
          <w:spacing w:val="-6"/>
          <w:sz w:val="24"/>
          <w:szCs w:val="24"/>
        </w:rPr>
        <w:t>各位成员签订《</w:t>
      </w:r>
      <w:r>
        <w:rPr>
          <w:rFonts w:hint="eastAsia" w:hAnsi="宋体"/>
          <w:spacing w:val="-6"/>
          <w:sz w:val="24"/>
          <w:szCs w:val="24"/>
        </w:rPr>
        <w:t>评审人员廉洁自律承诺书</w:t>
      </w:r>
      <w:r>
        <w:rPr>
          <w:rFonts w:hAnsi="宋体"/>
          <w:spacing w:val="-6"/>
          <w:sz w:val="24"/>
          <w:szCs w:val="24"/>
        </w:rPr>
        <w:t>》。</w:t>
      </w:r>
    </w:p>
    <w:p w14:paraId="05949638">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4.</w:t>
      </w:r>
      <w:r>
        <w:rPr>
          <w:rFonts w:hAnsi="宋体"/>
          <w:spacing w:val="-6"/>
          <w:sz w:val="24"/>
          <w:szCs w:val="24"/>
        </w:rPr>
        <w:t>根据需要简要介绍</w:t>
      </w:r>
      <w:r>
        <w:rPr>
          <w:rFonts w:hint="eastAsia" w:hAnsi="宋体"/>
          <w:spacing w:val="-6"/>
          <w:sz w:val="24"/>
          <w:szCs w:val="24"/>
        </w:rPr>
        <w:t>招标</w:t>
      </w:r>
      <w:r>
        <w:rPr>
          <w:rFonts w:hAnsi="宋体"/>
          <w:spacing w:val="-6"/>
          <w:sz w:val="24"/>
          <w:szCs w:val="24"/>
        </w:rPr>
        <w:t>文件（含补充文件）制定及质疑答复情况、按书面陈述项目基本情况及评审工作需注意事项等，让评审专家尽快知悉和了解所评审项目的招标需求、评审依据、评审标准、工作程序等；提醒</w:t>
      </w:r>
      <w:r>
        <w:rPr>
          <w:rFonts w:hint="eastAsia" w:hAnsi="宋体"/>
          <w:spacing w:val="-6"/>
          <w:sz w:val="24"/>
          <w:szCs w:val="24"/>
        </w:rPr>
        <w:t>评标委员会</w:t>
      </w:r>
      <w:r>
        <w:rPr>
          <w:rFonts w:hAnsi="宋体"/>
          <w:spacing w:val="-6"/>
          <w:sz w:val="24"/>
          <w:szCs w:val="24"/>
        </w:rPr>
        <w:t>对客观评审项目应统一评审依据和评审标准，对主观评审项目应确定大致的评审要求和评审尺度；对</w:t>
      </w:r>
      <w:r>
        <w:rPr>
          <w:rFonts w:hint="eastAsia" w:hAnsi="宋体"/>
          <w:spacing w:val="-6"/>
          <w:sz w:val="24"/>
          <w:szCs w:val="24"/>
        </w:rPr>
        <w:t>评标委员会</w:t>
      </w:r>
      <w:r>
        <w:rPr>
          <w:rFonts w:hAnsi="宋体"/>
          <w:spacing w:val="-6"/>
          <w:sz w:val="24"/>
          <w:szCs w:val="24"/>
        </w:rPr>
        <w:t>提出的有关</w:t>
      </w:r>
      <w:r>
        <w:rPr>
          <w:rFonts w:hint="eastAsia" w:hAnsi="宋体"/>
          <w:spacing w:val="-6"/>
          <w:sz w:val="24"/>
          <w:szCs w:val="24"/>
        </w:rPr>
        <w:t>招标</w:t>
      </w:r>
      <w:r>
        <w:rPr>
          <w:rFonts w:hAnsi="宋体"/>
          <w:spacing w:val="-6"/>
          <w:sz w:val="24"/>
          <w:szCs w:val="24"/>
        </w:rPr>
        <w:t>文件、</w:t>
      </w:r>
      <w:r>
        <w:rPr>
          <w:rFonts w:hint="eastAsia" w:hAnsi="宋体"/>
          <w:spacing w:val="-6"/>
          <w:sz w:val="24"/>
          <w:szCs w:val="24"/>
        </w:rPr>
        <w:t>投标</w:t>
      </w:r>
      <w:r>
        <w:rPr>
          <w:rFonts w:hAnsi="宋体"/>
          <w:spacing w:val="-6"/>
          <w:sz w:val="24"/>
          <w:szCs w:val="24"/>
        </w:rPr>
        <w:t>文件的问题进行必要的说明、解释或讨论。</w:t>
      </w:r>
    </w:p>
    <w:p w14:paraId="040080D0">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5.评标委员会</w:t>
      </w:r>
      <w:r>
        <w:rPr>
          <w:rFonts w:hAnsi="宋体"/>
          <w:spacing w:val="-6"/>
          <w:sz w:val="24"/>
          <w:szCs w:val="24"/>
        </w:rPr>
        <w:t>组长组织</w:t>
      </w:r>
      <w:r>
        <w:rPr>
          <w:rFonts w:hint="eastAsia" w:hAnsi="宋体"/>
          <w:spacing w:val="-6"/>
          <w:sz w:val="24"/>
          <w:szCs w:val="24"/>
        </w:rPr>
        <w:t>评标委员会</w:t>
      </w:r>
      <w:r>
        <w:rPr>
          <w:rFonts w:hAnsi="宋体"/>
          <w:spacing w:val="-6"/>
          <w:sz w:val="24"/>
          <w:szCs w:val="24"/>
        </w:rPr>
        <w:t>独立评审。评标委员会对拟认定为投标文件无效</w:t>
      </w:r>
      <w:r>
        <w:rPr>
          <w:rFonts w:hint="eastAsia" w:hAnsi="宋体"/>
          <w:spacing w:val="-6"/>
          <w:sz w:val="24"/>
          <w:szCs w:val="24"/>
        </w:rPr>
        <w:t>的</w:t>
      </w:r>
      <w:r>
        <w:rPr>
          <w:rFonts w:hAnsi="宋体"/>
          <w:spacing w:val="-6"/>
          <w:sz w:val="24"/>
          <w:szCs w:val="24"/>
        </w:rPr>
        <w:t>，应组织相关</w:t>
      </w:r>
      <w:r>
        <w:rPr>
          <w:rFonts w:hint="eastAsia" w:hAnsi="宋体"/>
          <w:spacing w:val="-6"/>
          <w:sz w:val="24"/>
          <w:szCs w:val="24"/>
        </w:rPr>
        <w:t>投标人</w:t>
      </w:r>
      <w:r>
        <w:rPr>
          <w:rFonts w:hAnsi="宋体"/>
          <w:spacing w:val="-6"/>
          <w:sz w:val="24"/>
          <w:szCs w:val="24"/>
        </w:rPr>
        <w:t>代表进行陈述、澄清或申辩；招标代理机构可协助评标委员会组长对打分结果进行校对、核对并汇总统计；</w:t>
      </w:r>
      <w:r>
        <w:rPr>
          <w:rFonts w:hAnsi="宋体"/>
          <w:b/>
          <w:spacing w:val="-6"/>
          <w:sz w:val="24"/>
          <w:szCs w:val="24"/>
        </w:rPr>
        <w:t>对明显畸高、畸低的评分（其总评分偏离平均分30%以上的）</w:t>
      </w:r>
      <w:r>
        <w:rPr>
          <w:rFonts w:hAnsi="宋体"/>
          <w:spacing w:val="-6"/>
          <w:sz w:val="24"/>
          <w:szCs w:val="24"/>
        </w:rPr>
        <w:t>，评标委员会组长应提醒相关评审人员进行复核或书面说明理由，评审人员拒绝说明的，</w:t>
      </w:r>
      <w:r>
        <w:rPr>
          <w:rFonts w:hint="eastAsia" w:hAnsi="宋体"/>
          <w:spacing w:val="-6"/>
          <w:sz w:val="24"/>
          <w:szCs w:val="24"/>
        </w:rPr>
        <w:t>将如实记录在评审报告中</w:t>
      </w:r>
      <w:r>
        <w:rPr>
          <w:rFonts w:hAnsi="宋体"/>
          <w:spacing w:val="-6"/>
          <w:sz w:val="24"/>
          <w:szCs w:val="24"/>
        </w:rPr>
        <w:t>；评审人员的评审记录应保留原件，随项目其他资料一并存档。</w:t>
      </w:r>
    </w:p>
    <w:p w14:paraId="0F659ABE">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6.</w:t>
      </w:r>
      <w:r>
        <w:rPr>
          <w:rFonts w:hAnsi="宋体"/>
          <w:spacing w:val="-6"/>
          <w:sz w:val="24"/>
          <w:szCs w:val="24"/>
        </w:rPr>
        <w:t>做好评审现场相关记录，协助评标委员会组长做好评审报告起草、有关内容电脑文字录入等工作，并要求评标委员会各成员签字确认。</w:t>
      </w:r>
    </w:p>
    <w:p w14:paraId="316C094A">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Ansi="宋体"/>
          <w:spacing w:val="-6"/>
          <w:sz w:val="24"/>
          <w:szCs w:val="24"/>
        </w:rPr>
      </w:pPr>
      <w:r>
        <w:rPr>
          <w:rFonts w:hint="eastAsia" w:hAnsi="宋体"/>
          <w:spacing w:val="-6"/>
          <w:sz w:val="24"/>
          <w:szCs w:val="24"/>
        </w:rPr>
        <w:t>7.</w:t>
      </w:r>
      <w:r>
        <w:rPr>
          <w:rFonts w:hAnsi="宋体"/>
          <w:spacing w:val="-6"/>
          <w:sz w:val="24"/>
          <w:szCs w:val="24"/>
        </w:rPr>
        <w:t>评审结束后，</w:t>
      </w:r>
      <w:r>
        <w:rPr>
          <w:rFonts w:hint="eastAsia" w:hAnsi="宋体"/>
          <w:spacing w:val="-6"/>
          <w:sz w:val="24"/>
          <w:szCs w:val="24"/>
        </w:rPr>
        <w:t>招标代理机构</w:t>
      </w:r>
      <w:r>
        <w:rPr>
          <w:rFonts w:hAnsi="宋体"/>
          <w:spacing w:val="-6"/>
          <w:sz w:val="24"/>
          <w:szCs w:val="24"/>
        </w:rPr>
        <w:t>交还评审人员及其他现场相关人员的通讯工具。</w:t>
      </w:r>
    </w:p>
    <w:p w14:paraId="490986FC">
      <w:pPr>
        <w:pStyle w:val="14"/>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hAnsi="宋体"/>
          <w:spacing w:val="-6"/>
          <w:sz w:val="24"/>
          <w:szCs w:val="24"/>
        </w:rPr>
      </w:pPr>
      <w:r>
        <w:rPr>
          <w:rFonts w:hint="eastAsia" w:hAnsi="宋体"/>
          <w:spacing w:val="-6"/>
          <w:sz w:val="24"/>
          <w:szCs w:val="24"/>
        </w:rPr>
        <w:t>8. 如评审过程中有效投标单位小于3家的，则本项目作废标处理。</w:t>
      </w:r>
    </w:p>
    <w:p w14:paraId="1D019E9F">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r>
        <w:rPr>
          <w:rFonts w:hint="eastAsia" w:hAnsi="宋体"/>
          <w:b/>
          <w:spacing w:val="-6"/>
          <w:sz w:val="24"/>
          <w:szCs w:val="24"/>
        </w:rPr>
        <w:t>三、澄清问题的形式</w:t>
      </w:r>
    </w:p>
    <w:p w14:paraId="3D81DEC3">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hint="eastAsia" w:ascii="宋体" w:hAnsi="宋体"/>
          <w:spacing w:val="-6"/>
          <w:sz w:val="24"/>
          <w:szCs w:val="24"/>
        </w:rPr>
        <w:t>1.投标文件中有含义不明确的内容、明显文字或者计算错误，评标委员会认为需要投标人作出必要澄清、说明的，书面通知投标人。</w:t>
      </w:r>
    </w:p>
    <w:p w14:paraId="12DBE7C5">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ascii="宋体" w:hAnsi="宋体"/>
          <w:spacing w:val="-6"/>
          <w:sz w:val="24"/>
          <w:szCs w:val="24"/>
        </w:rPr>
      </w:pPr>
      <w:r>
        <w:rPr>
          <w:rFonts w:hint="eastAsia" w:ascii="宋体" w:hAnsi="宋体"/>
          <w:spacing w:val="-6"/>
          <w:sz w:val="24"/>
          <w:szCs w:val="24"/>
        </w:rPr>
        <w:t>2.投标人的澄清、说明应当采用书面形式，并不得超出投标文件的范围或者改变投标文件的实质性内容。</w:t>
      </w:r>
    </w:p>
    <w:p w14:paraId="0D261D99">
      <w:pPr>
        <w:pStyle w:val="23"/>
        <w:keepNext w:val="0"/>
        <w:keepLines w:val="0"/>
        <w:pageBreakBefore w:val="0"/>
        <w:widowControl w:val="0"/>
        <w:kinsoku/>
        <w:wordWrap/>
        <w:overflowPunct/>
        <w:topLinePunct w:val="0"/>
        <w:autoSpaceDE/>
        <w:autoSpaceDN/>
        <w:bidi w:val="0"/>
        <w:spacing w:before="0" w:beforeLines="0" w:after="0" w:afterLines="0" w:line="360" w:lineRule="auto"/>
        <w:ind w:firstLine="482" w:firstLineChars="200"/>
        <w:jc w:val="left"/>
        <w:textAlignment w:val="auto"/>
        <w:rPr>
          <w:rFonts w:hint="eastAsia" w:ascii="宋体" w:hAnsi="宋体" w:cs="宋体"/>
          <w:sz w:val="24"/>
          <w:szCs w:val="24"/>
        </w:rPr>
      </w:pPr>
      <w:r>
        <w:rPr>
          <w:rFonts w:hint="eastAsia" w:ascii="宋体" w:hAnsi="宋体" w:cs="宋体"/>
          <w:sz w:val="24"/>
          <w:szCs w:val="24"/>
        </w:rPr>
        <w:t>3.澄清回复时间不得超过发出通知后30分钟，投标人逾期或未按要求澄清回复的，将视为不予回复或确认，评标委员会有权否决其投标。投标人通讯不畅通，导致不能及时联系的，视作为投标人不予回复或确认。评标委员会对投标人提交的澄清、说明或补正有疑问的，可以要求投标人进一步澄清、说明或补正，直至满足评标委员会的要求。投标人拒不按照要求对投标文件进行澄清、说明或者补正的，评标委员会可以否决其投标。</w:t>
      </w:r>
    </w:p>
    <w:p w14:paraId="464544F2">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r>
        <w:rPr>
          <w:rFonts w:hint="eastAsia" w:hAnsi="宋体"/>
          <w:b/>
          <w:spacing w:val="-6"/>
          <w:sz w:val="24"/>
          <w:szCs w:val="24"/>
        </w:rPr>
        <w:t>四、错误修正</w:t>
      </w:r>
    </w:p>
    <w:p w14:paraId="168A2FA8">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ascii="宋体" w:hAnsi="宋体"/>
          <w:spacing w:val="-6"/>
          <w:sz w:val="24"/>
          <w:szCs w:val="24"/>
        </w:rPr>
      </w:pPr>
      <w:r>
        <w:rPr>
          <w:rFonts w:hint="eastAsia" w:ascii="宋体" w:hAnsi="宋体"/>
          <w:spacing w:val="-6"/>
          <w:sz w:val="24"/>
          <w:szCs w:val="24"/>
        </w:rPr>
        <w:t>投标文件报价出现前后不一致的，除招标文件另有规定外，按照下列规定修正：</w:t>
      </w:r>
    </w:p>
    <w:p w14:paraId="53A6305F">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ascii="宋体" w:hAnsi="宋体"/>
          <w:spacing w:val="-6"/>
          <w:sz w:val="24"/>
          <w:szCs w:val="24"/>
        </w:rPr>
      </w:pPr>
      <w:r>
        <w:rPr>
          <w:rFonts w:hint="eastAsia" w:ascii="宋体" w:hAnsi="宋体"/>
          <w:spacing w:val="-6"/>
          <w:sz w:val="24"/>
          <w:szCs w:val="24"/>
        </w:rPr>
        <w:t>1.投标文件中开标一览表内容与投标文件中相应内容不一致的，以开标一览表为准；</w:t>
      </w:r>
    </w:p>
    <w:p w14:paraId="75316817">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ascii="宋体" w:hAnsi="宋体"/>
          <w:spacing w:val="-6"/>
          <w:sz w:val="24"/>
          <w:szCs w:val="24"/>
        </w:rPr>
      </w:pPr>
      <w:r>
        <w:rPr>
          <w:rFonts w:hint="eastAsia" w:ascii="宋体" w:hAnsi="宋体"/>
          <w:spacing w:val="-6"/>
          <w:sz w:val="24"/>
          <w:szCs w:val="24"/>
        </w:rPr>
        <w:t>2.大写金额和小写金额不一致的，以大写金额为准；</w:t>
      </w:r>
    </w:p>
    <w:p w14:paraId="15B2A755">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ascii="宋体" w:hAnsi="宋体"/>
          <w:spacing w:val="-6"/>
          <w:sz w:val="24"/>
          <w:szCs w:val="24"/>
        </w:rPr>
      </w:pPr>
      <w:r>
        <w:rPr>
          <w:rFonts w:hint="eastAsia" w:ascii="宋体" w:hAnsi="宋体"/>
          <w:spacing w:val="-6"/>
          <w:sz w:val="24"/>
          <w:szCs w:val="24"/>
        </w:rPr>
        <w:t>3.单价金额小数点或者百分比有明显错位的，以开标一览表的总价为准，并修改单价；</w:t>
      </w:r>
    </w:p>
    <w:p w14:paraId="68CC2F0A">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color w:val="auto"/>
          <w:spacing w:val="-6"/>
          <w:sz w:val="24"/>
          <w:szCs w:val="24"/>
        </w:rPr>
      </w:pPr>
      <w:r>
        <w:rPr>
          <w:rFonts w:hint="eastAsia" w:ascii="宋体" w:hAnsi="宋体"/>
          <w:color w:val="auto"/>
          <w:spacing w:val="-6"/>
          <w:sz w:val="24"/>
          <w:szCs w:val="24"/>
        </w:rPr>
        <w:t>4.总价金额与按单价汇总金额不一致的，以单价金额计算结果为准；</w:t>
      </w:r>
    </w:p>
    <w:p w14:paraId="7F397A43">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hint="eastAsia" w:ascii="宋体" w:hAnsi="宋体"/>
          <w:spacing w:val="-6"/>
          <w:sz w:val="24"/>
          <w:szCs w:val="24"/>
        </w:rPr>
        <w:t>5.不含税价经计算与含税价不一致的，以不含税价为准修正含税价。如修正后的含税价格低于投标人的含税报价，以修正后的含税价格为准签订合同；如修正后的含税价格高于投标人的含税报价，则以投标人含税报价为准签订合同。</w:t>
      </w:r>
    </w:p>
    <w:p w14:paraId="58FF334E">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hint="eastAsia" w:ascii="宋体" w:hAnsi="宋体"/>
          <w:spacing w:val="-6"/>
          <w:sz w:val="24"/>
          <w:szCs w:val="24"/>
        </w:rPr>
        <w:t>同时出现两种以上不一致的，按照前款规定的顺序修正。修正后的报价按照</w:t>
      </w:r>
      <w:r>
        <w:rPr>
          <w:rFonts w:ascii="宋体" w:hAnsi="宋体"/>
          <w:spacing w:val="-6"/>
          <w:sz w:val="24"/>
          <w:szCs w:val="24"/>
        </w:rPr>
        <w:t>（</w:t>
      </w:r>
      <w:r>
        <w:rPr>
          <w:rFonts w:hint="eastAsia" w:ascii="宋体" w:hAnsi="宋体"/>
          <w:spacing w:val="-6"/>
          <w:sz w:val="24"/>
          <w:szCs w:val="24"/>
        </w:rPr>
        <w:t>三</w:t>
      </w:r>
      <w:r>
        <w:rPr>
          <w:rFonts w:ascii="宋体" w:hAnsi="宋体"/>
          <w:spacing w:val="-6"/>
          <w:sz w:val="24"/>
          <w:szCs w:val="24"/>
        </w:rPr>
        <w:t>）澄清问题的形式</w:t>
      </w:r>
      <w:r>
        <w:rPr>
          <w:rFonts w:hint="eastAsia" w:ascii="宋体" w:hAnsi="宋体"/>
          <w:spacing w:val="-6"/>
          <w:sz w:val="24"/>
          <w:szCs w:val="24"/>
        </w:rPr>
        <w:t>第二款的规定经投标人确认后产生约束力，投标人不确认的，其投标无效。</w:t>
      </w:r>
    </w:p>
    <w:p w14:paraId="543156A8">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bookmarkStart w:id="7" w:name="_Hlk184977373"/>
      <w:r>
        <w:rPr>
          <w:rFonts w:hint="eastAsia" w:hAnsi="宋体"/>
          <w:b/>
          <w:spacing w:val="-6"/>
          <w:sz w:val="24"/>
          <w:szCs w:val="24"/>
        </w:rPr>
        <w:t>五、</w:t>
      </w:r>
      <w:bookmarkEnd w:id="7"/>
      <w:r>
        <w:rPr>
          <w:rFonts w:hint="eastAsia" w:hAnsi="宋体"/>
          <w:b/>
          <w:spacing w:val="-6"/>
          <w:sz w:val="24"/>
          <w:szCs w:val="24"/>
        </w:rPr>
        <w:t>投标无效的情形</w:t>
      </w:r>
    </w:p>
    <w:p w14:paraId="2F838266">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1.在资格审查时，如发现下列情形之一的，投标人将被视为资格审查不通过：</w:t>
      </w:r>
    </w:p>
    <w:p w14:paraId="0FE723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（1）投标人不具备招标文件中规定的资格要求；</w:t>
      </w:r>
    </w:p>
    <w:p w14:paraId="4DFB0A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（2）资格文件未按要求签署、盖章；</w:t>
      </w:r>
    </w:p>
    <w:p w14:paraId="4FAD75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（3）资格证明材料不全的，或者不符合招标文件要求；</w:t>
      </w:r>
    </w:p>
    <w:p w14:paraId="2F0F38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kern w:val="0"/>
          <w:sz w:val="24"/>
          <w:szCs w:val="24"/>
        </w:rPr>
      </w:pPr>
      <w:r>
        <w:rPr>
          <w:rFonts w:hint="eastAsia" w:ascii="宋体" w:hAnsi="宋体" w:cs="宋体"/>
          <w:kern w:val="0"/>
          <w:sz w:val="24"/>
          <w:szCs w:val="24"/>
        </w:rPr>
        <w:t>（4）联合体投标但未提交联合协议；</w:t>
      </w:r>
    </w:p>
    <w:p w14:paraId="61200A94">
      <w:pPr>
        <w:pStyle w:val="8"/>
        <w:keepNext w:val="0"/>
        <w:keepLines w:val="0"/>
        <w:pageBreakBefore w:val="0"/>
        <w:widowControl w:val="0"/>
        <w:kinsoku/>
        <w:wordWrap/>
        <w:overflowPunct/>
        <w:topLinePunct w:val="0"/>
        <w:autoSpaceDE/>
        <w:autoSpaceDN/>
        <w:bidi w:val="0"/>
        <w:spacing w:line="360" w:lineRule="auto"/>
        <w:ind w:firstLineChars="200"/>
        <w:textAlignment w:val="auto"/>
        <w:rPr>
          <w:rFonts w:hint="eastAsia" w:hAnsi="宋体" w:cs="宋体"/>
          <w:sz w:val="24"/>
          <w:szCs w:val="24"/>
        </w:rPr>
      </w:pPr>
      <w:r>
        <w:rPr>
          <w:rFonts w:hint="eastAsia" w:ascii="宋体" w:hAnsi="宋体" w:cs="宋体"/>
          <w:kern w:val="0"/>
          <w:sz w:val="24"/>
          <w:szCs w:val="24"/>
        </w:rPr>
        <w:t>（5）以联合体形式参加招标活动的，联合体成员再单独参加或者与其他投标人另外组成联合体参加同项目的招投标活动；</w:t>
      </w:r>
    </w:p>
    <w:p w14:paraId="04AF99F9">
      <w:pPr>
        <w:pStyle w:val="8"/>
        <w:keepNext w:val="0"/>
        <w:keepLines w:val="0"/>
        <w:pageBreakBefore w:val="0"/>
        <w:widowControl w:val="0"/>
        <w:kinsoku/>
        <w:wordWrap/>
        <w:overflowPunct/>
        <w:topLinePunct w:val="0"/>
        <w:autoSpaceDE/>
        <w:autoSpaceDN/>
        <w:bidi w:val="0"/>
        <w:spacing w:line="360" w:lineRule="auto"/>
        <w:ind w:firstLineChars="200"/>
        <w:textAlignment w:val="auto"/>
        <w:rPr>
          <w:rFonts w:hint="eastAsia" w:hAnsi="宋体" w:cs="宋体"/>
          <w:sz w:val="24"/>
          <w:szCs w:val="24"/>
        </w:rPr>
      </w:pPr>
      <w:r>
        <w:rPr>
          <w:rFonts w:hint="eastAsia" w:ascii="宋体" w:hAnsi="宋体" w:cs="宋体"/>
          <w:sz w:val="24"/>
          <w:szCs w:val="24"/>
        </w:rPr>
        <w:t>（6）接受联合体投标并进行资格预审的，资格预审后联合体增减、更换成员；</w:t>
      </w:r>
    </w:p>
    <w:p w14:paraId="0A7265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ascii="宋体" w:hAnsi="宋体" w:cs="宋体"/>
          <w:sz w:val="24"/>
          <w:szCs w:val="24"/>
        </w:rPr>
        <w:t>（7）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14:paraId="0358CAE3">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2.在符合性审查、商务和技术评审时，如发现下列情形之一的，投标文件将被视为无效：</w:t>
      </w:r>
    </w:p>
    <w:p w14:paraId="7DC87F5F">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（1）投标文件未按要求签署、盖章的；</w:t>
      </w:r>
    </w:p>
    <w:p w14:paraId="29FF5E93">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color w:val="FF0000"/>
          <w:sz w:val="24"/>
          <w:szCs w:val="24"/>
        </w:rPr>
      </w:pPr>
      <w:r>
        <w:rPr>
          <w:rFonts w:hint="eastAsia" w:ascii="宋体" w:hAnsi="宋体"/>
          <w:sz w:val="24"/>
          <w:szCs w:val="24"/>
        </w:rPr>
        <w:t>（2）未提供或未按要求提供投标函、法定代表人资格证明书、法定代表人授权委托书的；</w:t>
      </w:r>
    </w:p>
    <w:p w14:paraId="1AEFF326">
      <w:pPr>
        <w:keepNext w:val="0"/>
        <w:keepLines w:val="0"/>
        <w:pageBreakBefore w:val="0"/>
        <w:widowControl w:val="0"/>
        <w:kinsoku/>
        <w:wordWrap/>
        <w:overflowPunct/>
        <w:topLinePunct w:val="0"/>
        <w:autoSpaceDE/>
        <w:autoSpaceDN/>
        <w:bidi w:val="0"/>
        <w:spacing w:line="360" w:lineRule="auto"/>
        <w:ind w:firstLine="404"/>
        <w:textAlignment w:val="auto"/>
        <w:rPr>
          <w:rFonts w:ascii="宋体" w:hAnsi="宋体" w:cs="宋体"/>
          <w:spacing w:val="-6"/>
          <w:sz w:val="24"/>
          <w:szCs w:val="24"/>
        </w:rPr>
      </w:pPr>
      <w:r>
        <w:rPr>
          <w:rFonts w:hint="eastAsia" w:ascii="宋体" w:hAnsi="宋体"/>
          <w:sz w:val="24"/>
          <w:szCs w:val="24"/>
        </w:rPr>
        <w:t>（3）</w:t>
      </w:r>
      <w:r>
        <w:rPr>
          <w:rFonts w:hint="eastAsia" w:ascii="宋体" w:hAnsi="宋体" w:cs="宋体"/>
          <w:spacing w:val="-6"/>
          <w:sz w:val="24"/>
          <w:szCs w:val="24"/>
        </w:rPr>
        <w:t>投标文件中承诺的投标有效期少于招标文件中载明的投标有效期；</w:t>
      </w:r>
    </w:p>
    <w:p w14:paraId="4F46100D">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cs="宋体"/>
          <w:spacing w:val="-6"/>
          <w:sz w:val="24"/>
          <w:szCs w:val="24"/>
        </w:rPr>
        <w:t>（4）</w:t>
      </w:r>
      <w:r>
        <w:rPr>
          <w:rFonts w:hint="eastAsia" w:ascii="宋体" w:hAnsi="宋体"/>
          <w:sz w:val="24"/>
          <w:szCs w:val="24"/>
        </w:rPr>
        <w:t>未提供或未如实提供招标需求偏离表的；</w:t>
      </w:r>
    </w:p>
    <w:p w14:paraId="5462621A">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（5）明显不符合招标文件要求，或者与招标文件中标“▲”的项目发生实质性偏离的；</w:t>
      </w:r>
    </w:p>
    <w:p w14:paraId="46352224">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（6）未提供或未如实提供服务方案，或者投标文件标明的响应或偏离与事实不符或虚假投标的；</w:t>
      </w:r>
    </w:p>
    <w:p w14:paraId="6D4E39D5">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（7）投标服务方案不明确，存在一个或一个以上备选（替代）投标方案的；</w:t>
      </w:r>
    </w:p>
    <w:p w14:paraId="5DAECC94">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（8）投标文件含有招标人不能接受的附加条件的；</w:t>
      </w:r>
    </w:p>
    <w:p w14:paraId="7CB44237">
      <w:pPr>
        <w:keepNext w:val="0"/>
        <w:keepLines w:val="0"/>
        <w:pageBreakBefore w:val="0"/>
        <w:widowControl w:val="0"/>
        <w:kinsoku/>
        <w:wordWrap/>
        <w:overflowPunct/>
        <w:topLinePunct w:val="0"/>
        <w:autoSpaceDE/>
        <w:autoSpaceDN/>
        <w:bidi w:val="0"/>
        <w:spacing w:line="360" w:lineRule="auto"/>
        <w:ind w:firstLine="404"/>
        <w:textAlignment w:val="auto"/>
        <w:rPr>
          <w:rFonts w:ascii="宋体" w:hAnsi="宋体"/>
          <w:sz w:val="24"/>
          <w:szCs w:val="24"/>
        </w:rPr>
      </w:pPr>
      <w:r>
        <w:rPr>
          <w:rFonts w:hint="eastAsia" w:ascii="宋体" w:hAnsi="宋体"/>
          <w:sz w:val="24"/>
          <w:szCs w:val="24"/>
        </w:rPr>
        <w:t>（9）投标人未按照招标文件的要求提供投标保证金的；</w:t>
      </w:r>
    </w:p>
    <w:p w14:paraId="45C85D96">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（10）投标人提供虚假材料谋取中标；</w:t>
      </w:r>
    </w:p>
    <w:p w14:paraId="18BD2C9D">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（11）法律、法规和招标文件规定的其他无效情形。</w:t>
      </w:r>
    </w:p>
    <w:p w14:paraId="40CC5A49">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3.在报价评审时，如发现下列情形之一的，投标文件将被视为无效：</w:t>
      </w:r>
    </w:p>
    <w:p w14:paraId="4E672477">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（1）报价文件未按要求签署、盖章的；</w:t>
      </w:r>
    </w:p>
    <w:p w14:paraId="2DF6CCBB">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（2）未按照招标文件标明的方式报价的；</w:t>
      </w:r>
    </w:p>
    <w:p w14:paraId="4470A1B7">
      <w:pPr>
        <w:keepNext w:val="0"/>
        <w:keepLines w:val="0"/>
        <w:pageBreakBefore w:val="0"/>
        <w:widowControl w:val="0"/>
        <w:kinsoku/>
        <w:wordWrap/>
        <w:overflowPunct/>
        <w:topLinePunct w:val="0"/>
        <w:autoSpaceDE/>
        <w:autoSpaceDN/>
        <w:bidi w:val="0"/>
        <w:spacing w:line="360" w:lineRule="auto"/>
        <w:ind w:firstLine="404"/>
        <w:textAlignment w:val="auto"/>
        <w:rPr>
          <w:rFonts w:ascii="宋体" w:hAnsi="宋体"/>
          <w:sz w:val="24"/>
          <w:szCs w:val="24"/>
        </w:rPr>
      </w:pPr>
      <w:r>
        <w:rPr>
          <w:rFonts w:hint="eastAsia" w:ascii="宋体" w:hAnsi="宋体"/>
          <w:sz w:val="24"/>
          <w:szCs w:val="24"/>
        </w:rPr>
        <w:t>（3）报价超过招标文件中规定的最高限价；</w:t>
      </w:r>
    </w:p>
    <w:p w14:paraId="54DEFAE1">
      <w:pPr>
        <w:keepNext w:val="0"/>
        <w:keepLines w:val="0"/>
        <w:pageBreakBefore w:val="0"/>
        <w:widowControl w:val="0"/>
        <w:kinsoku/>
        <w:wordWrap/>
        <w:overflowPunct/>
        <w:topLinePunct w:val="0"/>
        <w:autoSpaceDE/>
        <w:autoSpaceDN/>
        <w:bidi w:val="0"/>
        <w:spacing w:line="360" w:lineRule="auto"/>
        <w:ind w:firstLine="404"/>
        <w:textAlignment w:val="auto"/>
        <w:rPr>
          <w:rFonts w:ascii="宋体" w:hAnsi="宋体"/>
          <w:sz w:val="24"/>
          <w:szCs w:val="24"/>
        </w:rPr>
      </w:pPr>
      <w:r>
        <w:rPr>
          <w:rFonts w:hint="eastAsia" w:ascii="宋体" w:hAnsi="宋体"/>
          <w:sz w:val="24"/>
          <w:szCs w:val="24"/>
        </w:rPr>
        <w:t>（4）报价具有选择性，或者开标价格与投标文件承诺的优惠（折扣）价格不一致的；</w:t>
      </w:r>
    </w:p>
    <w:p w14:paraId="71102053">
      <w:pPr>
        <w:keepNext w:val="0"/>
        <w:keepLines w:val="0"/>
        <w:pageBreakBefore w:val="0"/>
        <w:widowControl w:val="0"/>
        <w:kinsoku/>
        <w:wordWrap/>
        <w:overflowPunct/>
        <w:topLinePunct w:val="0"/>
        <w:autoSpaceDE/>
        <w:autoSpaceDN/>
        <w:bidi w:val="0"/>
        <w:spacing w:line="360" w:lineRule="auto"/>
        <w:ind w:firstLine="404"/>
        <w:textAlignment w:val="auto"/>
        <w:rPr>
          <w:rFonts w:ascii="宋体" w:hAns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）未按照招标文件标明的币种报价；</w:t>
      </w:r>
    </w:p>
    <w:p w14:paraId="33CDF742">
      <w:pPr>
        <w:keepNext w:val="0"/>
        <w:keepLines w:val="0"/>
        <w:pageBreakBefore w:val="0"/>
        <w:widowControl w:val="0"/>
        <w:kinsoku/>
        <w:wordWrap/>
        <w:overflowPunct/>
        <w:topLinePunct w:val="0"/>
        <w:autoSpaceDE/>
        <w:autoSpaceDN/>
        <w:bidi w:val="0"/>
        <w:spacing w:line="360" w:lineRule="auto"/>
        <w:ind w:firstLine="404"/>
        <w:textAlignment w:val="auto"/>
        <w:rPr>
          <w:rFonts w:hint="eastAsia" w:ascii="宋体" w:hAns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）投标报价出现前后不一致，投标人不确认报价修正。投标人收到修正确认文件后，未在规定时间内做出回复的，视为不确认。</w:t>
      </w:r>
    </w:p>
    <w:p w14:paraId="516B77AA">
      <w:pPr>
        <w:keepNext w:val="0"/>
        <w:keepLines w:val="0"/>
        <w:pageBreakBefore w:val="0"/>
        <w:widowControl w:val="0"/>
        <w:kinsoku/>
        <w:wordWrap/>
        <w:overflowPunct/>
        <w:topLinePunct w:val="0"/>
        <w:autoSpaceDE/>
        <w:autoSpaceDN/>
        <w:bidi w:val="0"/>
        <w:spacing w:line="360" w:lineRule="auto"/>
        <w:ind w:firstLine="404"/>
        <w:textAlignment w:val="auto"/>
        <w:rPr>
          <w:rFonts w:ascii="宋体" w:hAns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0133023F">
      <w:pPr>
        <w:pStyle w:val="14"/>
        <w:keepNext w:val="0"/>
        <w:keepLines w:val="0"/>
        <w:pageBreakBefore w:val="0"/>
        <w:widowControl w:val="0"/>
        <w:kinsoku/>
        <w:wordWrap/>
        <w:overflowPunct/>
        <w:topLinePunct w:val="0"/>
        <w:autoSpaceDE/>
        <w:autoSpaceDN/>
        <w:bidi w:val="0"/>
        <w:spacing w:line="360" w:lineRule="auto"/>
        <w:ind w:firstLine="0"/>
        <w:textAlignment w:val="auto"/>
        <w:outlineLvl w:val="2"/>
        <w:rPr>
          <w:rFonts w:hint="eastAsia" w:hAnsi="宋体"/>
          <w:b/>
          <w:spacing w:val="-6"/>
          <w:sz w:val="24"/>
          <w:szCs w:val="24"/>
        </w:rPr>
      </w:pPr>
      <w:r>
        <w:rPr>
          <w:rFonts w:hint="eastAsia" w:hAnsi="宋体"/>
          <w:b/>
          <w:sz w:val="24"/>
          <w:szCs w:val="24"/>
        </w:rPr>
        <w:t>六、</w:t>
      </w:r>
      <w:r>
        <w:rPr>
          <w:rFonts w:hint="eastAsia" w:hAnsi="宋体"/>
          <w:b/>
          <w:spacing w:val="-6"/>
          <w:sz w:val="24"/>
          <w:szCs w:val="24"/>
        </w:rPr>
        <w:t>评标原则和评标办法</w:t>
      </w:r>
    </w:p>
    <w:p w14:paraId="28A00913">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w:t>
      </w:r>
      <w:r>
        <w:rPr>
          <w:rFonts w:hint="eastAsia" w:ascii="宋体" w:hAnsi="宋体"/>
          <w:spacing w:val="-6"/>
          <w:sz w:val="24"/>
          <w:szCs w:val="24"/>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14:paraId="5299B701">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hint="eastAsia" w:ascii="宋体" w:hAnsi="宋体"/>
          <w:spacing w:val="-6"/>
          <w:sz w:val="24"/>
          <w:szCs w:val="24"/>
        </w:rPr>
        <w:t>2</w:t>
      </w:r>
      <w:r>
        <w:rPr>
          <w:rFonts w:ascii="宋体" w:hAnsi="宋体"/>
          <w:spacing w:val="-6"/>
          <w:sz w:val="24"/>
          <w:szCs w:val="24"/>
        </w:rPr>
        <w:t>.</w:t>
      </w:r>
      <w:r>
        <w:rPr>
          <w:rFonts w:hint="eastAsia" w:ascii="宋体" w:hAnsi="宋体"/>
          <w:spacing w:val="-6"/>
          <w:sz w:val="24"/>
          <w:szCs w:val="24"/>
        </w:rPr>
        <w:t>评标中因评标委员会成员缺席、回避或者健康等特殊原因导致评标委员会组成不符合规定的，依法补足后继续评标。被更换的评标委员会成员所作出的评标意见无效。</w:t>
      </w:r>
    </w:p>
    <w:p w14:paraId="30FE6808">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spacing w:val="-6"/>
          <w:sz w:val="24"/>
          <w:szCs w:val="24"/>
        </w:rPr>
      </w:pPr>
      <w:r>
        <w:rPr>
          <w:rFonts w:ascii="宋体" w:hAnsi="宋体"/>
          <w:spacing w:val="-6"/>
          <w:sz w:val="24"/>
          <w:szCs w:val="24"/>
        </w:rPr>
        <w:t>3.</w:t>
      </w:r>
      <w:r>
        <w:rPr>
          <w:rFonts w:hint="eastAsia" w:ascii="宋体" w:hAnsi="宋体"/>
          <w:spacing w:val="-6"/>
          <w:sz w:val="24"/>
          <w:szCs w:val="24"/>
        </w:rPr>
        <w:t>评标委员会成员对需要共同认定的事项存在争议的，应当按照少数服从多数的原则作出结论。持不同意见的评标委员会成员应当在评标报告上签署不同意见及理由，否则视为同意评标报告。</w:t>
      </w:r>
    </w:p>
    <w:p w14:paraId="22B96BA5">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ascii="宋体" w:hAnsi="宋体"/>
          <w:spacing w:val="-6"/>
          <w:sz w:val="24"/>
          <w:szCs w:val="24"/>
        </w:rPr>
      </w:pPr>
      <w:r>
        <w:rPr>
          <w:rFonts w:hint="eastAsia" w:ascii="宋体" w:hAnsi="宋体"/>
          <w:spacing w:val="-6"/>
          <w:sz w:val="24"/>
          <w:szCs w:val="24"/>
        </w:rPr>
        <w:t>4.评标办法。见投标人须知前附表5.2。</w:t>
      </w:r>
    </w:p>
    <w:p w14:paraId="4825C61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5．采用经评审的最低价法的，评标结果按投标报价由低到高顺序排列。投标报价相同的并列，由评标委员会决定。投标文件满足招标文件全部实质性要求且投标报价最低的投标人为排名第一的中标候选人。</w:t>
      </w:r>
    </w:p>
    <w:p w14:paraId="03AE97E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采用评审的最低价法的项目，提供相同品牌产品的不同投标人参加同一项目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14:paraId="6DC1F47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ascii="宋体" w:hAnsi="宋体" w:cs="宋体"/>
          <w:color w:val="000000"/>
          <w:sz w:val="24"/>
          <w:szCs w:val="24"/>
        </w:rPr>
      </w:pPr>
      <w:r>
        <w:rPr>
          <w:rFonts w:hint="eastAsia" w:ascii="宋体" w:hAnsi="宋体" w:cs="宋体"/>
          <w:color w:val="000000"/>
          <w:sz w:val="24"/>
          <w:szCs w:val="24"/>
        </w:rPr>
        <w:t>6.采用综合评估法的，评标结果按评审后得分由高到低顺序排列。得分相同的，按投标报价由低到高顺序排列。得分且投标报价相同的，按照评审因素的量化指标评审得分由高到低顺序排列。得分、投标报价且量化指标评审得分均相同的，由评标委员会决定。</w:t>
      </w:r>
    </w:p>
    <w:p w14:paraId="0738C52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使用综合评估法的项目，提供相同品牌产品且通过资格审查、符合性审查的不同投标人参加同一项目投标的，按一家投标人计算，评审后得分最高的同品牌投标人获得中标候选人推荐资格；评审得分相同的，由招标人或者招标人委托评标委员会按照招标文件规定的方式确定一个投标人获得中标候选人推荐资格，招标文件未规定的采取随机抽取方式确定，其他同品牌投标人不作为中标候选人。</w:t>
      </w:r>
    </w:p>
    <w:p w14:paraId="6919DE5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非单一产品招标项目，招标人应当根据招标项目技术构成、产品价格比重等合理确定核心产品，并在招标文件中载明。多家投标人提供的核心产品品牌相同的，按前两款规定处理。</w:t>
      </w:r>
    </w:p>
    <w:p w14:paraId="630C28E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7.</w:t>
      </w:r>
      <w:r>
        <w:rPr>
          <w:rFonts w:hint="eastAsia" w:ascii="宋体" w:hAnsi="宋体" w:cs="宋体"/>
          <w:color w:val="000000"/>
          <w:sz w:val="24"/>
          <w:szCs w:val="24"/>
          <w:u w:val="single"/>
        </w:rPr>
        <w:t>推荐中标候选人数量</w:t>
      </w:r>
      <w:r>
        <w:rPr>
          <w:rFonts w:hint="eastAsia" w:ascii="宋体" w:hAnsi="宋体"/>
          <w:spacing w:val="-6"/>
          <w:sz w:val="24"/>
          <w:szCs w:val="24"/>
        </w:rPr>
        <w:t>见投标人须知前附表5.3。</w:t>
      </w:r>
    </w:p>
    <w:p w14:paraId="0C98ADB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jc w:val="left"/>
        <w:textAlignment w:val="auto"/>
        <w:rPr>
          <w:rFonts w:hint="eastAsia" w:ascii="宋体" w:hAnsi="宋体" w:cs="宋体"/>
          <w:color w:val="000000"/>
          <w:kern w:val="0"/>
          <w:sz w:val="24"/>
          <w:szCs w:val="24"/>
        </w:rPr>
      </w:pPr>
      <w:r>
        <w:rPr>
          <w:rFonts w:hint="eastAsia" w:ascii="宋体" w:hAnsi="宋体" w:cs="宋体"/>
          <w:color w:val="000000"/>
          <w:sz w:val="24"/>
          <w:szCs w:val="24"/>
        </w:rPr>
        <w:t>8.评标委员会根据全体评标成员签字的原始评标记录和评标结果编写评标报告。</w:t>
      </w:r>
    </w:p>
    <w:p w14:paraId="6044516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kern w:val="0"/>
          <w:sz w:val="24"/>
          <w:szCs w:val="24"/>
        </w:rPr>
      </w:pPr>
      <w:r>
        <w:rPr>
          <w:rFonts w:hint="eastAsia" w:ascii="宋体" w:hAnsi="宋体" w:cs="宋体"/>
          <w:sz w:val="24"/>
          <w:szCs w:val="24"/>
        </w:rPr>
        <w:t xml:space="preserve">9. </w:t>
      </w:r>
      <w:r>
        <w:rPr>
          <w:rFonts w:hint="eastAsia" w:ascii="宋体" w:hAnsi="宋体" w:cs="宋体"/>
          <w:kern w:val="0"/>
          <w:sz w:val="24"/>
          <w:szCs w:val="24"/>
        </w:rPr>
        <w:t>评标委员会成员应当在评审报告上签字，对自己的评审意见承担法律责任。</w:t>
      </w:r>
    </w:p>
    <w:p w14:paraId="01A5671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10.评标委员会成员对需要共同认定的事项存在争议的，应当按照少数服从多数的原则作出结论。持不同意见的评标委员会成员应当在评标报告上签署不同意见及理由，否则视为同意评标报告。</w:t>
      </w:r>
    </w:p>
    <w:p w14:paraId="6F8F734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color w:val="000000"/>
          <w:sz w:val="24"/>
          <w:szCs w:val="24"/>
        </w:rPr>
      </w:pPr>
      <w:r>
        <w:rPr>
          <w:rFonts w:hint="eastAsia" w:ascii="宋体" w:hAnsi="宋体" w:cs="宋体"/>
          <w:color w:val="000000"/>
          <w:sz w:val="24"/>
          <w:szCs w:val="24"/>
        </w:rPr>
        <w:t>11.评标结果汇总完成后，除下列情形外，任何人不得修改评标结果：</w:t>
      </w:r>
    </w:p>
    <w:p w14:paraId="1FAC566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sz w:val="24"/>
          <w:szCs w:val="24"/>
        </w:rPr>
      </w:pPr>
      <w:r>
        <w:rPr>
          <w:rFonts w:hint="eastAsia" w:ascii="宋体" w:hAnsi="宋体" w:cs="宋体"/>
          <w:sz w:val="24"/>
          <w:szCs w:val="24"/>
        </w:rPr>
        <w:t>（1）分值汇总计算错误的；</w:t>
      </w:r>
    </w:p>
    <w:p w14:paraId="691711A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sz w:val="24"/>
          <w:szCs w:val="24"/>
        </w:rPr>
      </w:pPr>
      <w:r>
        <w:rPr>
          <w:rFonts w:hint="eastAsia" w:ascii="宋体" w:hAnsi="宋体" w:cs="宋体"/>
          <w:sz w:val="24"/>
          <w:szCs w:val="24"/>
        </w:rPr>
        <w:t>（2）分项评分超出评分标准范围的；</w:t>
      </w:r>
    </w:p>
    <w:p w14:paraId="3901954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sz w:val="24"/>
          <w:szCs w:val="24"/>
        </w:rPr>
      </w:pPr>
      <w:r>
        <w:rPr>
          <w:rFonts w:hint="eastAsia" w:ascii="宋体" w:hAnsi="宋体" w:cs="宋体"/>
          <w:sz w:val="24"/>
          <w:szCs w:val="24"/>
        </w:rPr>
        <w:t>（3）评标委员会成员对客观评审因素评分不一致的；</w:t>
      </w:r>
    </w:p>
    <w:p w14:paraId="55CE956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sz w:val="24"/>
          <w:szCs w:val="24"/>
        </w:rPr>
      </w:pPr>
      <w:r>
        <w:rPr>
          <w:rFonts w:hint="eastAsia" w:ascii="宋体" w:hAnsi="宋体" w:cs="宋体"/>
          <w:sz w:val="24"/>
          <w:szCs w:val="24"/>
        </w:rPr>
        <w:t>（4）经评标委员会认定评分畸高、畸低的。</w:t>
      </w:r>
    </w:p>
    <w:p w14:paraId="265D3C1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ascii="宋体" w:hAnsi="宋体" w:cs="宋体"/>
          <w:color w:val="000000"/>
          <w:sz w:val="24"/>
          <w:szCs w:val="24"/>
        </w:rPr>
      </w:pPr>
      <w:r>
        <w:rPr>
          <w:rFonts w:hint="eastAsia" w:ascii="宋体" w:hAnsi="宋体" w:cs="宋体"/>
          <w:color w:val="000000"/>
          <w:sz w:val="24"/>
          <w:szCs w:val="24"/>
        </w:rPr>
        <w:t>评标报告签署前，经复核发现存在以上情形之一的，评标委员会应当当场修改评标结果，并在评标报告中记载；评标报告签署后，代理机构发现存在以上情形之一的，应当组织原评标委员会进行重新评审。</w:t>
      </w:r>
    </w:p>
    <w:p w14:paraId="3CB0F3CA">
      <w:pPr>
        <w:rPr>
          <w:rFonts w:hint="eastAsia"/>
        </w:rPr>
      </w:pPr>
    </w:p>
    <w:p w14:paraId="2729EB20">
      <w:pPr>
        <w:spacing w:line="288" w:lineRule="auto"/>
        <w:outlineLvl w:val="1"/>
        <w:rPr>
          <w:rFonts w:hint="eastAsia" w:ascii="宋体" w:hAnsi="宋体"/>
          <w:b/>
          <w:spacing w:val="-6"/>
          <w:sz w:val="24"/>
        </w:rPr>
      </w:pPr>
      <w:r>
        <w:rPr>
          <w:rFonts w:hint="eastAsia" w:ascii="宋体" w:hAnsi="宋体"/>
          <w:b/>
          <w:spacing w:val="-6"/>
          <w:sz w:val="24"/>
        </w:rPr>
        <w:t>七、评标内容及标准</w:t>
      </w:r>
    </w:p>
    <w:tbl>
      <w:tblPr>
        <w:tblStyle w:val="33"/>
        <w:tblW w:w="4995" w:type="pct"/>
        <w:tblInd w:w="0" w:type="dxa"/>
        <w:tblLayout w:type="fixed"/>
        <w:tblCellMar>
          <w:top w:w="0" w:type="dxa"/>
          <w:left w:w="108" w:type="dxa"/>
          <w:bottom w:w="0" w:type="dxa"/>
          <w:right w:w="108" w:type="dxa"/>
        </w:tblCellMar>
      </w:tblPr>
      <w:tblGrid>
        <w:gridCol w:w="473"/>
        <w:gridCol w:w="1165"/>
        <w:gridCol w:w="6411"/>
        <w:gridCol w:w="793"/>
        <w:gridCol w:w="1002"/>
      </w:tblGrid>
      <w:tr w14:paraId="290844F9">
        <w:tblPrEx>
          <w:tblCellMar>
            <w:top w:w="0" w:type="dxa"/>
            <w:left w:w="108" w:type="dxa"/>
            <w:bottom w:w="0" w:type="dxa"/>
            <w:right w:w="108" w:type="dxa"/>
          </w:tblCellMar>
        </w:tblPrEx>
        <w:trPr>
          <w:trHeight w:val="600" w:hRule="atLeast"/>
        </w:trPr>
        <w:tc>
          <w:tcPr>
            <w:tcW w:w="240" w:type="pct"/>
            <w:tcBorders>
              <w:top w:val="single" w:color="auto" w:sz="4" w:space="0"/>
              <w:left w:val="single" w:color="auto" w:sz="4" w:space="0"/>
              <w:bottom w:val="single" w:color="auto" w:sz="4" w:space="0"/>
              <w:right w:val="single" w:color="auto" w:sz="4" w:space="0"/>
            </w:tcBorders>
            <w:shd w:val="clear" w:color="auto" w:fill="auto"/>
            <w:vAlign w:val="center"/>
          </w:tcPr>
          <w:p w14:paraId="058403C1">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序号</w:t>
            </w:r>
          </w:p>
        </w:tc>
        <w:tc>
          <w:tcPr>
            <w:tcW w:w="591" w:type="pct"/>
            <w:tcBorders>
              <w:top w:val="single" w:color="auto" w:sz="4" w:space="0"/>
              <w:left w:val="nil"/>
              <w:bottom w:val="single" w:color="auto" w:sz="4" w:space="0"/>
              <w:right w:val="single" w:color="auto" w:sz="4" w:space="0"/>
            </w:tcBorders>
            <w:shd w:val="clear" w:color="auto" w:fill="auto"/>
            <w:vAlign w:val="center"/>
          </w:tcPr>
          <w:p w14:paraId="1BC09157">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评审因素</w:t>
            </w:r>
          </w:p>
        </w:tc>
        <w:tc>
          <w:tcPr>
            <w:tcW w:w="3256" w:type="pct"/>
            <w:tcBorders>
              <w:top w:val="single" w:color="auto" w:sz="4" w:space="0"/>
              <w:left w:val="nil"/>
              <w:bottom w:val="single" w:color="auto" w:sz="4" w:space="0"/>
              <w:right w:val="single" w:color="auto" w:sz="4" w:space="0"/>
            </w:tcBorders>
            <w:shd w:val="clear" w:color="auto" w:fill="auto"/>
            <w:vAlign w:val="center"/>
          </w:tcPr>
          <w:p w14:paraId="7057E0C4">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评分细则</w:t>
            </w:r>
          </w:p>
        </w:tc>
        <w:tc>
          <w:tcPr>
            <w:tcW w:w="402" w:type="pct"/>
            <w:tcBorders>
              <w:top w:val="single" w:color="auto" w:sz="4" w:space="0"/>
              <w:left w:val="nil"/>
              <w:bottom w:val="single" w:color="auto" w:sz="4" w:space="0"/>
              <w:right w:val="single" w:color="auto" w:sz="4" w:space="0"/>
            </w:tcBorders>
            <w:shd w:val="clear" w:color="auto" w:fill="auto"/>
            <w:vAlign w:val="center"/>
          </w:tcPr>
          <w:p w14:paraId="5BFF12A1">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分值</w:t>
            </w:r>
          </w:p>
        </w:tc>
        <w:tc>
          <w:tcPr>
            <w:tcW w:w="508" w:type="pct"/>
            <w:tcBorders>
              <w:top w:val="single" w:color="auto" w:sz="4" w:space="0"/>
              <w:left w:val="nil"/>
              <w:bottom w:val="single" w:color="auto" w:sz="4" w:space="0"/>
              <w:right w:val="single" w:color="auto" w:sz="4" w:space="0"/>
            </w:tcBorders>
            <w:shd w:val="clear" w:color="auto" w:fill="auto"/>
            <w:vAlign w:val="center"/>
          </w:tcPr>
          <w:p w14:paraId="0681A8E0">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主/客观分</w:t>
            </w:r>
          </w:p>
        </w:tc>
      </w:tr>
      <w:tr w14:paraId="158B7457">
        <w:tblPrEx>
          <w:tblCellMar>
            <w:top w:w="0" w:type="dxa"/>
            <w:left w:w="108" w:type="dxa"/>
            <w:bottom w:w="0" w:type="dxa"/>
            <w:right w:w="108" w:type="dxa"/>
          </w:tblCellMar>
        </w:tblPrEx>
        <w:trPr>
          <w:trHeight w:val="600" w:hRule="atLeast"/>
        </w:trPr>
        <w:tc>
          <w:tcPr>
            <w:tcW w:w="4088" w:type="pct"/>
            <w:gridSpan w:val="3"/>
            <w:tcBorders>
              <w:top w:val="single" w:color="auto" w:sz="4" w:space="0"/>
              <w:left w:val="single" w:color="auto" w:sz="4" w:space="0"/>
              <w:bottom w:val="single" w:color="auto" w:sz="4" w:space="0"/>
              <w:right w:val="single" w:color="000000" w:sz="4" w:space="0"/>
            </w:tcBorders>
            <w:shd w:val="clear" w:color="auto" w:fill="auto"/>
            <w:vAlign w:val="center"/>
          </w:tcPr>
          <w:p w14:paraId="4AC1548C">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价格分（A）</w:t>
            </w:r>
          </w:p>
        </w:tc>
        <w:tc>
          <w:tcPr>
            <w:tcW w:w="402" w:type="pct"/>
            <w:tcBorders>
              <w:top w:val="nil"/>
              <w:left w:val="nil"/>
              <w:bottom w:val="single" w:color="auto" w:sz="4" w:space="0"/>
              <w:right w:val="single" w:color="auto" w:sz="4" w:space="0"/>
            </w:tcBorders>
            <w:shd w:val="clear" w:color="auto" w:fill="auto"/>
            <w:vAlign w:val="center"/>
          </w:tcPr>
          <w:p w14:paraId="3342A199">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60</w:t>
            </w:r>
          </w:p>
        </w:tc>
        <w:tc>
          <w:tcPr>
            <w:tcW w:w="508" w:type="pct"/>
            <w:tcBorders>
              <w:top w:val="nil"/>
              <w:left w:val="nil"/>
              <w:bottom w:val="single" w:color="auto" w:sz="4" w:space="0"/>
              <w:right w:val="single" w:color="auto" w:sz="4" w:space="0"/>
            </w:tcBorders>
            <w:shd w:val="clear" w:color="auto" w:fill="auto"/>
            <w:vAlign w:val="center"/>
          </w:tcPr>
          <w:p w14:paraId="0EDCA830">
            <w:pPr>
              <w:widowControl/>
              <w:jc w:val="center"/>
              <w:rPr>
                <w:rFonts w:hint="eastAsia" w:asciiTheme="minorEastAsia" w:hAnsiTheme="minorEastAsia" w:eastAsiaTheme="minorEastAsia" w:cstheme="minorEastAsia"/>
                <w:b/>
                <w:bCs/>
                <w:kern w:val="0"/>
                <w:sz w:val="24"/>
              </w:rPr>
            </w:pPr>
          </w:p>
        </w:tc>
      </w:tr>
      <w:tr w14:paraId="37A0AB4C">
        <w:tblPrEx>
          <w:tblCellMar>
            <w:top w:w="0" w:type="dxa"/>
            <w:left w:w="108" w:type="dxa"/>
            <w:bottom w:w="0" w:type="dxa"/>
            <w:right w:w="108" w:type="dxa"/>
          </w:tblCellMar>
        </w:tblPrEx>
        <w:trPr>
          <w:trHeight w:val="2262"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1198B90D">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1</w:t>
            </w:r>
          </w:p>
        </w:tc>
        <w:tc>
          <w:tcPr>
            <w:tcW w:w="591" w:type="pct"/>
            <w:tcBorders>
              <w:top w:val="nil"/>
              <w:left w:val="nil"/>
              <w:bottom w:val="single" w:color="auto" w:sz="4" w:space="0"/>
              <w:right w:val="single" w:color="auto" w:sz="4" w:space="0"/>
            </w:tcBorders>
            <w:shd w:val="clear" w:color="auto" w:fill="auto"/>
            <w:vAlign w:val="center"/>
          </w:tcPr>
          <w:p w14:paraId="11D27065">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价格</w:t>
            </w:r>
          </w:p>
        </w:tc>
        <w:tc>
          <w:tcPr>
            <w:tcW w:w="3256" w:type="pct"/>
            <w:tcBorders>
              <w:top w:val="nil"/>
              <w:left w:val="nil"/>
              <w:bottom w:val="single" w:color="auto" w:sz="4" w:space="0"/>
              <w:right w:val="single" w:color="auto" w:sz="4" w:space="0"/>
            </w:tcBorders>
            <w:shd w:val="clear" w:color="auto" w:fill="auto"/>
            <w:vAlign w:val="center"/>
          </w:tcPr>
          <w:p w14:paraId="3454A33C">
            <w:pPr>
              <w:widowControl/>
              <w:jc w:val="left"/>
              <w:rPr>
                <w:rFonts w:hint="eastAsia" w:asciiTheme="minorEastAsia" w:hAnsiTheme="minorEastAsia" w:eastAsiaTheme="minorEastAsia" w:cstheme="minorEastAsia"/>
                <w:color w:val="000000"/>
                <w:kern w:val="0"/>
                <w:sz w:val="24"/>
              </w:rPr>
            </w:pPr>
            <w:r>
              <w:rPr>
                <w:rFonts w:hint="eastAsia" w:asciiTheme="minorEastAsia" w:hAnsiTheme="minorEastAsia" w:eastAsiaTheme="minorEastAsia" w:cstheme="minorEastAsia"/>
                <w:color w:val="000000"/>
                <w:kern w:val="0"/>
                <w:sz w:val="24"/>
              </w:rPr>
              <w:t>1.计算方法：</w:t>
            </w:r>
            <w:r>
              <w:rPr>
                <w:rFonts w:hint="eastAsia" w:asciiTheme="minorEastAsia" w:hAnsiTheme="minorEastAsia" w:eastAsiaTheme="minorEastAsia" w:cstheme="minorEastAsia"/>
                <w:color w:val="000000"/>
                <w:kern w:val="0"/>
                <w:sz w:val="24"/>
              </w:rPr>
              <w:br w:type="textWrapping"/>
            </w:r>
            <w:r>
              <w:rPr>
                <w:rFonts w:hint="eastAsia" w:asciiTheme="minorEastAsia" w:hAnsiTheme="minorEastAsia" w:eastAsiaTheme="minorEastAsia" w:cstheme="minorEastAsia"/>
                <w:color w:val="000000"/>
                <w:kern w:val="0"/>
                <w:sz w:val="24"/>
              </w:rPr>
              <w:t xml:space="preserve">1.1各分项报价平均值：有效投标报价的算术平均值（有效投标报价在3个至4个时，不去除最高价和最低价；有效投标报价在5个至7个时，去除一个最高价和一个最低价；有效投标报价在8个（含）以上时，去除一个最高价和一个次高价及一个最低价和一个次低价，最高跟最低价格有多个时，去除两个最高价及两个最低价）。   </w:t>
            </w:r>
            <w:r>
              <w:rPr>
                <w:rFonts w:hint="eastAsia" w:asciiTheme="minorEastAsia" w:hAnsiTheme="minorEastAsia" w:eastAsiaTheme="minorEastAsia" w:cstheme="minorEastAsia"/>
                <w:color w:val="000000"/>
                <w:kern w:val="0"/>
                <w:sz w:val="24"/>
              </w:rPr>
              <w:br w:type="textWrapping"/>
            </w:r>
            <w:r>
              <w:rPr>
                <w:rFonts w:hint="eastAsia" w:asciiTheme="minorEastAsia" w:hAnsiTheme="minorEastAsia" w:eastAsiaTheme="minorEastAsia" w:cstheme="minorEastAsia"/>
                <w:color w:val="000000"/>
                <w:kern w:val="0"/>
                <w:sz w:val="24"/>
              </w:rPr>
              <w:t>1.2各分项基准价：报价平均值和有效投标报价中的次低价再次计算算术平均值作为基准价。</w:t>
            </w:r>
            <w:r>
              <w:rPr>
                <w:rFonts w:hint="eastAsia" w:asciiTheme="minorEastAsia" w:hAnsiTheme="minorEastAsia" w:eastAsiaTheme="minorEastAsia" w:cstheme="minorEastAsia"/>
                <w:color w:val="000000"/>
                <w:kern w:val="0"/>
                <w:sz w:val="24"/>
              </w:rPr>
              <w:br w:type="textWrapping"/>
            </w:r>
            <w:r>
              <w:rPr>
                <w:rFonts w:hint="eastAsia" w:asciiTheme="minorEastAsia" w:hAnsiTheme="minorEastAsia" w:eastAsiaTheme="minorEastAsia" w:cstheme="minorEastAsia"/>
                <w:color w:val="000000"/>
                <w:kern w:val="0"/>
                <w:sz w:val="24"/>
              </w:rPr>
              <w:t>1.3计算公式：有效投标报价每高于评标基准价1个百分点，扣0.5分，扣完为止；以上报价得分不足一个百分点时，使用直线插入法计算，保留小数点后2位；有效投标报价低于或等于基准价得满分。</w:t>
            </w:r>
          </w:p>
        </w:tc>
        <w:tc>
          <w:tcPr>
            <w:tcW w:w="402" w:type="pct"/>
            <w:tcBorders>
              <w:top w:val="nil"/>
              <w:left w:val="nil"/>
              <w:bottom w:val="single" w:color="auto" w:sz="4" w:space="0"/>
              <w:right w:val="single" w:color="auto" w:sz="4" w:space="0"/>
            </w:tcBorders>
            <w:shd w:val="clear" w:color="auto" w:fill="auto"/>
            <w:vAlign w:val="center"/>
          </w:tcPr>
          <w:p w14:paraId="1F1D27F8">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60</w:t>
            </w:r>
          </w:p>
        </w:tc>
        <w:tc>
          <w:tcPr>
            <w:tcW w:w="508" w:type="pct"/>
            <w:tcBorders>
              <w:top w:val="nil"/>
              <w:left w:val="nil"/>
              <w:bottom w:val="single" w:color="auto" w:sz="4" w:space="0"/>
              <w:right w:val="single" w:color="auto" w:sz="4" w:space="0"/>
            </w:tcBorders>
            <w:shd w:val="clear" w:color="auto" w:fill="auto"/>
            <w:vAlign w:val="center"/>
          </w:tcPr>
          <w:p w14:paraId="6822B54C">
            <w:pPr>
              <w:widowControl/>
              <w:jc w:val="center"/>
              <w:rPr>
                <w:rFonts w:hint="default" w:asciiTheme="minorEastAsia" w:hAnsiTheme="minorEastAsia" w:eastAsiaTheme="minorEastAsia" w:cstheme="minorEastAsia"/>
                <w:b/>
                <w:bCs/>
                <w:kern w:val="0"/>
                <w:sz w:val="24"/>
                <w:lang w:val="en-US" w:eastAsia="zh-CN"/>
              </w:rPr>
            </w:pPr>
            <w:r>
              <w:rPr>
                <w:rFonts w:hint="eastAsia" w:asciiTheme="minorEastAsia" w:hAnsiTheme="minorEastAsia" w:eastAsiaTheme="minorEastAsia" w:cstheme="minorEastAsia"/>
                <w:b/>
                <w:bCs/>
                <w:kern w:val="0"/>
                <w:sz w:val="24"/>
                <w:lang w:val="en-US" w:eastAsia="zh-CN"/>
              </w:rPr>
              <w:t>客观分</w:t>
            </w:r>
          </w:p>
        </w:tc>
      </w:tr>
      <w:tr w14:paraId="79989DCF">
        <w:tblPrEx>
          <w:tblCellMar>
            <w:top w:w="0" w:type="dxa"/>
            <w:left w:w="108" w:type="dxa"/>
            <w:bottom w:w="0" w:type="dxa"/>
            <w:right w:w="108" w:type="dxa"/>
          </w:tblCellMar>
        </w:tblPrEx>
        <w:trPr>
          <w:trHeight w:val="600" w:hRule="atLeast"/>
        </w:trPr>
        <w:tc>
          <w:tcPr>
            <w:tcW w:w="4088" w:type="pct"/>
            <w:gridSpan w:val="3"/>
            <w:tcBorders>
              <w:top w:val="single" w:color="auto" w:sz="4" w:space="0"/>
              <w:left w:val="single" w:color="auto" w:sz="4" w:space="0"/>
              <w:bottom w:val="single" w:color="auto" w:sz="4" w:space="0"/>
              <w:right w:val="single" w:color="000000" w:sz="4" w:space="0"/>
            </w:tcBorders>
            <w:shd w:val="clear" w:color="auto" w:fill="auto"/>
            <w:vAlign w:val="center"/>
          </w:tcPr>
          <w:p w14:paraId="24A0132F">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lang w:val="en-US" w:eastAsia="zh-CN"/>
              </w:rPr>
              <w:t>商务</w:t>
            </w:r>
            <w:r>
              <w:rPr>
                <w:rFonts w:hint="eastAsia" w:asciiTheme="minorEastAsia" w:hAnsiTheme="minorEastAsia" w:eastAsiaTheme="minorEastAsia" w:cstheme="minorEastAsia"/>
                <w:b/>
                <w:bCs/>
                <w:kern w:val="0"/>
                <w:sz w:val="24"/>
              </w:rPr>
              <w:t>分（B）</w:t>
            </w:r>
          </w:p>
        </w:tc>
        <w:tc>
          <w:tcPr>
            <w:tcW w:w="402" w:type="pct"/>
            <w:tcBorders>
              <w:top w:val="nil"/>
              <w:left w:val="nil"/>
              <w:bottom w:val="single" w:color="auto" w:sz="4" w:space="0"/>
              <w:right w:val="single" w:color="auto" w:sz="4" w:space="0"/>
            </w:tcBorders>
            <w:shd w:val="clear" w:color="auto" w:fill="auto"/>
            <w:vAlign w:val="center"/>
          </w:tcPr>
          <w:p w14:paraId="59757CFF">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10</w:t>
            </w:r>
          </w:p>
        </w:tc>
        <w:tc>
          <w:tcPr>
            <w:tcW w:w="508" w:type="pct"/>
            <w:tcBorders>
              <w:top w:val="nil"/>
              <w:left w:val="nil"/>
              <w:bottom w:val="single" w:color="auto" w:sz="4" w:space="0"/>
              <w:right w:val="single" w:color="auto" w:sz="4" w:space="0"/>
            </w:tcBorders>
            <w:shd w:val="clear" w:color="auto" w:fill="auto"/>
            <w:vAlign w:val="center"/>
          </w:tcPr>
          <w:p w14:paraId="42D7CEFC">
            <w:pPr>
              <w:widowControl/>
              <w:jc w:val="center"/>
              <w:rPr>
                <w:rFonts w:hint="eastAsia" w:asciiTheme="minorEastAsia" w:hAnsiTheme="minorEastAsia" w:eastAsiaTheme="minorEastAsia" w:cstheme="minorEastAsia"/>
                <w:b/>
                <w:bCs/>
                <w:kern w:val="0"/>
                <w:sz w:val="24"/>
              </w:rPr>
            </w:pPr>
          </w:p>
        </w:tc>
      </w:tr>
      <w:tr w14:paraId="4DE4C851">
        <w:tblPrEx>
          <w:tblCellMar>
            <w:top w:w="0" w:type="dxa"/>
            <w:left w:w="108" w:type="dxa"/>
            <w:bottom w:w="0" w:type="dxa"/>
            <w:right w:w="108" w:type="dxa"/>
          </w:tblCellMar>
        </w:tblPrEx>
        <w:trPr>
          <w:trHeight w:val="1691"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3B300F09">
            <w:pPr>
              <w:widowControl/>
              <w:jc w:val="center"/>
              <w:rPr>
                <w:rFonts w:hint="eastAsia" w:asciiTheme="minorEastAsia" w:hAnsiTheme="minorEastAsia" w:eastAsiaTheme="minorEastAsia" w:cstheme="minorEastAsia"/>
                <w:b/>
                <w:bCs/>
                <w:color w:val="000000"/>
                <w:kern w:val="0"/>
                <w:sz w:val="24"/>
              </w:rPr>
            </w:pPr>
            <w:r>
              <w:rPr>
                <w:rFonts w:hint="eastAsia" w:asciiTheme="minorEastAsia" w:hAnsiTheme="minorEastAsia" w:eastAsiaTheme="minorEastAsia" w:cstheme="minorEastAsia"/>
                <w:b/>
                <w:bCs/>
                <w:color w:val="000000"/>
                <w:kern w:val="0"/>
                <w:sz w:val="24"/>
              </w:rPr>
              <w:t>1</w:t>
            </w:r>
          </w:p>
        </w:tc>
        <w:tc>
          <w:tcPr>
            <w:tcW w:w="591" w:type="pct"/>
            <w:tcBorders>
              <w:top w:val="nil"/>
              <w:left w:val="nil"/>
              <w:bottom w:val="single" w:color="auto" w:sz="4" w:space="0"/>
              <w:right w:val="single" w:color="auto" w:sz="4" w:space="0"/>
            </w:tcBorders>
            <w:shd w:val="clear" w:color="auto" w:fill="auto"/>
            <w:vAlign w:val="center"/>
          </w:tcPr>
          <w:p w14:paraId="5BA12DB1">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浙银善标</w:t>
            </w:r>
          </w:p>
        </w:tc>
        <w:tc>
          <w:tcPr>
            <w:tcW w:w="3256" w:type="pct"/>
            <w:tcBorders>
              <w:top w:val="nil"/>
              <w:left w:val="nil"/>
              <w:bottom w:val="single" w:color="auto" w:sz="4" w:space="0"/>
              <w:right w:val="single" w:color="auto" w:sz="4" w:space="0"/>
            </w:tcBorders>
            <w:shd w:val="clear" w:color="auto" w:fill="auto"/>
            <w:vAlign w:val="center"/>
          </w:tcPr>
          <w:p w14:paraId="42FB895B">
            <w:pPr>
              <w:widowControl/>
              <w:jc w:val="left"/>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“浙银善标”是践行善本金融理念的最重要实践探索，满足以下“大局担当、环境保护、社会责任、公司治理”正向标准内容任意一项的得1分，满分2分：</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1.工业和信息化部认定的“国家技术创新示范企业”或“制造业单项冠军”或政府部门认定的国家级、省级、地市级“专精特新”企业，且在有效期内。</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证明材料：提供认定（或公示）文件复印件及证书复印件。</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2.国家级高新技术企业或省级及以上科技型中小企业。且在有效期内。</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证明材料：提供认定（或公示）文件复印件及证书复印件。</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3.35项“卡脖子”关键技术相关企业或科技部火炬中心“创新积分制”企业。</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证明材料：提供政府部门颁发的认定证书（或公示或文件）复印件。</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4.近三年（202</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年1</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月以来，以证明材料最晚落款时间为准）获得区县级及以上乡村振兴表彰的企业。</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证明材料：提供政府部门颁发的证书（或文件）复印件。</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5.近三年（202</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年1</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月以来，以证明材料最晚落款时间为准）企业入选地市级及以上节能、低碳名单。</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证明材料：提供政府部门颁发的证书（或文件）复印件。</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6.企业上一年度享受节能减排税收优惠。</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证明材料：提供政府部门颁发的证书（或文件）复印件。</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7.近三年（202</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年1</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月以来，以证明材料最晚落款时间为准）获得县区级及以上地方政府颁发相关证书或进行表彰，证明企业生产经营有利于生物多样性保护。</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证明材料：提供政府部门颁发的证书（或文件）复印件。</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8.以企业名义参与起草国家或地方或行业重大标准的。</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证明材料：提供标准文件复印件或相关证书（或文件）复印件。</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9.近三年（202</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年1</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月以来，以证明材料最晚落款时间为准）参与慈善活动，指公众报道或表彰有迹可循，善行善举被各级政府及宣传部门、公安部门、民政部门表彰或通报表扬。</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证明材料：提供报道材料复印件及政府部门颁发的证书（或文件）复印件。</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10.近三年（202</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年1</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月以来，以证明材料最晚落款时间为准）参与公益活动，指公众报道或表彰有迹可循，参与公益活动行为被各级政府及宣传部门、公安部门、民政部门表彰或通报表扬。</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证明材料：提供报道材料复印件及政府部门颁发的证书（或文件）复印件。</w:t>
            </w:r>
          </w:p>
        </w:tc>
        <w:tc>
          <w:tcPr>
            <w:tcW w:w="402" w:type="pct"/>
            <w:tcBorders>
              <w:top w:val="nil"/>
              <w:left w:val="nil"/>
              <w:bottom w:val="single" w:color="auto" w:sz="4" w:space="0"/>
              <w:right w:val="single" w:color="auto" w:sz="4" w:space="0"/>
            </w:tcBorders>
            <w:shd w:val="clear" w:color="auto" w:fill="auto"/>
            <w:vAlign w:val="center"/>
          </w:tcPr>
          <w:p w14:paraId="46DED55E">
            <w:pPr>
              <w:widowControl/>
              <w:jc w:val="center"/>
              <w:rPr>
                <w:rFonts w:hint="eastAsia" w:asciiTheme="minorEastAsia" w:hAnsiTheme="minorEastAsia" w:eastAsiaTheme="minorEastAsia" w:cstheme="minorEastAsia"/>
                <w:b/>
                <w:bCs/>
                <w:color w:val="000000"/>
                <w:kern w:val="0"/>
                <w:sz w:val="24"/>
              </w:rPr>
            </w:pPr>
            <w:r>
              <w:rPr>
                <w:rFonts w:hint="eastAsia" w:asciiTheme="minorEastAsia" w:hAnsiTheme="minorEastAsia" w:eastAsiaTheme="minorEastAsia" w:cstheme="minorEastAsia"/>
                <w:b/>
                <w:bCs/>
                <w:color w:val="000000"/>
                <w:kern w:val="0"/>
                <w:sz w:val="24"/>
              </w:rPr>
              <w:t>2</w:t>
            </w:r>
          </w:p>
        </w:tc>
        <w:tc>
          <w:tcPr>
            <w:tcW w:w="508" w:type="pct"/>
            <w:tcBorders>
              <w:top w:val="nil"/>
              <w:left w:val="nil"/>
              <w:bottom w:val="single" w:color="auto" w:sz="4" w:space="0"/>
              <w:right w:val="single" w:color="auto" w:sz="4" w:space="0"/>
            </w:tcBorders>
            <w:shd w:val="clear" w:color="auto" w:fill="auto"/>
            <w:vAlign w:val="center"/>
          </w:tcPr>
          <w:p w14:paraId="4F352980">
            <w:pPr>
              <w:widowControl/>
              <w:jc w:val="center"/>
              <w:rPr>
                <w:rFonts w:hint="default" w:asciiTheme="minorEastAsia" w:hAnsiTheme="minorEastAsia" w:eastAsiaTheme="minorEastAsia" w:cstheme="minorEastAsia"/>
                <w:b/>
                <w:bCs/>
                <w:color w:val="000000"/>
                <w:kern w:val="0"/>
                <w:sz w:val="24"/>
                <w:lang w:val="en-US" w:eastAsia="zh-CN"/>
              </w:rPr>
            </w:pPr>
            <w:r>
              <w:rPr>
                <w:rFonts w:hint="eastAsia" w:asciiTheme="minorEastAsia" w:hAnsiTheme="minorEastAsia" w:eastAsiaTheme="minorEastAsia" w:cstheme="minorEastAsia"/>
                <w:b/>
                <w:bCs/>
                <w:color w:val="000000"/>
                <w:kern w:val="0"/>
                <w:sz w:val="24"/>
                <w:lang w:val="en-US" w:eastAsia="zh-CN"/>
              </w:rPr>
              <w:t>客观分</w:t>
            </w:r>
          </w:p>
        </w:tc>
      </w:tr>
      <w:tr w14:paraId="3DA5D9AD">
        <w:tblPrEx>
          <w:tblCellMar>
            <w:top w:w="0" w:type="dxa"/>
            <w:left w:w="108" w:type="dxa"/>
            <w:bottom w:w="0" w:type="dxa"/>
            <w:right w:w="108" w:type="dxa"/>
          </w:tblCellMar>
        </w:tblPrEx>
        <w:trPr>
          <w:trHeight w:val="1665" w:hRule="atLeast"/>
        </w:trPr>
        <w:tc>
          <w:tcPr>
            <w:tcW w:w="473" w:type="dxa"/>
            <w:tcBorders>
              <w:top w:val="nil"/>
              <w:left w:val="single" w:color="auto" w:sz="4" w:space="0"/>
              <w:bottom w:val="single" w:color="auto" w:sz="4" w:space="0"/>
              <w:right w:val="single" w:color="auto" w:sz="4" w:space="0"/>
            </w:tcBorders>
            <w:shd w:val="clear" w:color="auto" w:fill="auto"/>
            <w:vAlign w:val="center"/>
          </w:tcPr>
          <w:p w14:paraId="653162AB">
            <w:pPr>
              <w:widowControl/>
              <w:spacing w:line="440" w:lineRule="exact"/>
              <w:contextualSpacing/>
              <w:jc w:val="center"/>
              <w:rPr>
                <w:rFonts w:hint="eastAsia" w:asciiTheme="minorEastAsia" w:hAnsiTheme="minorEastAsia" w:eastAsiaTheme="minorEastAsia" w:cstheme="minorEastAsia"/>
                <w:b/>
                <w:bCs/>
                <w:color w:val="000000"/>
                <w:kern w:val="0"/>
                <w:sz w:val="24"/>
              </w:rPr>
            </w:pPr>
            <w:r>
              <w:rPr>
                <w:rFonts w:ascii="宋体" w:hAnsi="宋体" w:cs="宋体"/>
                <w:b/>
                <w:bCs/>
                <w:color w:val="000000"/>
                <w:kern w:val="0"/>
                <w:sz w:val="24"/>
              </w:rPr>
              <w:t>2</w:t>
            </w:r>
          </w:p>
        </w:tc>
        <w:tc>
          <w:tcPr>
            <w:tcW w:w="1165" w:type="dxa"/>
            <w:tcBorders>
              <w:top w:val="nil"/>
              <w:left w:val="nil"/>
              <w:bottom w:val="single" w:color="auto" w:sz="4" w:space="0"/>
              <w:right w:val="single" w:color="auto" w:sz="4" w:space="0"/>
            </w:tcBorders>
            <w:shd w:val="clear" w:color="auto" w:fill="auto"/>
            <w:vAlign w:val="center"/>
          </w:tcPr>
          <w:p w14:paraId="3D9E8465">
            <w:pPr>
              <w:autoSpaceDE w:val="0"/>
              <w:spacing w:line="400" w:lineRule="exact"/>
              <w:contextualSpacing/>
              <w:jc w:val="center"/>
              <w:rPr>
                <w:rFonts w:hint="eastAsia" w:asciiTheme="minorEastAsia" w:hAnsiTheme="minorEastAsia" w:eastAsiaTheme="minorEastAsia" w:cstheme="minorEastAsia"/>
                <w:b/>
                <w:bCs/>
                <w:kern w:val="0"/>
                <w:sz w:val="24"/>
              </w:rPr>
            </w:pPr>
            <w:r>
              <w:rPr>
                <w:rFonts w:hint="eastAsia" w:ascii="宋体" w:hAnsi="宋体" w:cs="宋体"/>
                <w:b/>
                <w:sz w:val="24"/>
              </w:rPr>
              <w:t>项目保障措施</w:t>
            </w:r>
          </w:p>
        </w:tc>
        <w:tc>
          <w:tcPr>
            <w:tcW w:w="6411" w:type="dxa"/>
            <w:tcBorders>
              <w:top w:val="nil"/>
              <w:left w:val="nil"/>
              <w:bottom w:val="single" w:color="auto" w:sz="4" w:space="0"/>
              <w:right w:val="single" w:color="auto" w:sz="4" w:space="0"/>
            </w:tcBorders>
            <w:shd w:val="clear" w:color="auto" w:fill="auto"/>
            <w:vAlign w:val="center"/>
          </w:tcPr>
          <w:p w14:paraId="39F629B4">
            <w:pPr>
              <w:widowControl/>
              <w:spacing w:line="400" w:lineRule="exact"/>
              <w:contextualSpacing/>
              <w:jc w:val="left"/>
              <w:rPr>
                <w:rFonts w:ascii="宋体" w:hAnsi="宋体" w:cs="宋体"/>
                <w:sz w:val="24"/>
              </w:rPr>
            </w:pPr>
            <w:r>
              <w:rPr>
                <w:rFonts w:ascii="宋体" w:hAnsi="宋体" w:cs="宋体"/>
                <w:sz w:val="24"/>
              </w:rPr>
              <w:t>为保障项目顺利实施，投标人在招标人开立的账户进行本项目的款项结算。按以下情况得分，不提供不得分：</w:t>
            </w:r>
          </w:p>
          <w:p w14:paraId="7C4105D5">
            <w:pPr>
              <w:widowControl/>
              <w:spacing w:line="400" w:lineRule="exact"/>
              <w:contextualSpacing/>
              <w:jc w:val="left"/>
              <w:rPr>
                <w:rFonts w:ascii="宋体" w:hAnsi="宋体" w:cs="宋体"/>
                <w:sz w:val="24"/>
              </w:rPr>
            </w:pPr>
            <w:r>
              <w:rPr>
                <w:rFonts w:ascii="宋体" w:hAnsi="宋体" w:cs="宋体"/>
                <w:sz w:val="24"/>
              </w:rPr>
              <w:t>1.投标人同意在招标人开立的账户进行本项目的款项结算，并在开标日前已开立结算账户的，得</w:t>
            </w:r>
            <w:r>
              <w:rPr>
                <w:rFonts w:hint="eastAsia" w:ascii="宋体" w:hAnsi="宋体" w:cs="宋体"/>
                <w:sz w:val="24"/>
              </w:rPr>
              <w:t>1</w:t>
            </w:r>
            <w:r>
              <w:rPr>
                <w:rFonts w:ascii="宋体" w:hAnsi="宋体" w:cs="宋体"/>
                <w:sz w:val="24"/>
              </w:rPr>
              <w:t>分；</w:t>
            </w:r>
          </w:p>
          <w:p w14:paraId="283823E0">
            <w:pPr>
              <w:widowControl/>
              <w:spacing w:line="400" w:lineRule="exact"/>
              <w:contextualSpacing/>
              <w:jc w:val="left"/>
              <w:rPr>
                <w:rFonts w:ascii="宋体" w:hAnsi="宋体" w:cs="宋体"/>
                <w:sz w:val="24"/>
              </w:rPr>
            </w:pPr>
            <w:r>
              <w:rPr>
                <w:rFonts w:hint="eastAsia" w:ascii="宋体" w:hAnsi="宋体" w:cs="宋体"/>
                <w:sz w:val="24"/>
              </w:rPr>
              <w:t>【证明材料】</w:t>
            </w:r>
            <w:r>
              <w:rPr>
                <w:rFonts w:ascii="宋体" w:hAnsi="宋体" w:cs="宋体"/>
                <w:sz w:val="24"/>
              </w:rPr>
              <w:t>承诺函以及已开立的账户信息。</w:t>
            </w:r>
          </w:p>
          <w:p w14:paraId="73086C1C">
            <w:pPr>
              <w:widowControl/>
              <w:spacing w:line="400" w:lineRule="exact"/>
              <w:contextualSpacing/>
              <w:jc w:val="left"/>
              <w:rPr>
                <w:rFonts w:ascii="宋体" w:hAnsi="宋体" w:cs="宋体"/>
                <w:sz w:val="24"/>
              </w:rPr>
            </w:pPr>
            <w:r>
              <w:rPr>
                <w:rFonts w:ascii="宋体" w:hAnsi="宋体" w:cs="宋体"/>
                <w:sz w:val="24"/>
              </w:rPr>
              <w:t>2.投标人同意在招标人开立的账户进行本项目的款项结算，承诺在中标后开立结算账户的，得</w:t>
            </w:r>
            <w:r>
              <w:rPr>
                <w:rFonts w:hint="eastAsia" w:ascii="宋体" w:hAnsi="宋体" w:cs="宋体"/>
                <w:sz w:val="24"/>
              </w:rPr>
              <w:t>0.5</w:t>
            </w:r>
            <w:r>
              <w:rPr>
                <w:rFonts w:ascii="宋体" w:hAnsi="宋体" w:cs="宋体"/>
                <w:sz w:val="24"/>
              </w:rPr>
              <w:t>分；</w:t>
            </w:r>
          </w:p>
          <w:p w14:paraId="0E1AAE91">
            <w:pPr>
              <w:widowControl/>
              <w:spacing w:line="400" w:lineRule="exact"/>
              <w:contextualSpacing/>
              <w:jc w:val="left"/>
              <w:rPr>
                <w:rFonts w:ascii="宋体" w:hAnsi="宋体" w:cs="宋体"/>
                <w:sz w:val="24"/>
              </w:rPr>
            </w:pPr>
            <w:r>
              <w:rPr>
                <w:rFonts w:hint="eastAsia" w:ascii="宋体" w:hAnsi="宋体" w:cs="宋体"/>
                <w:sz w:val="24"/>
              </w:rPr>
              <w:t>【证明材料】</w:t>
            </w:r>
            <w:r>
              <w:rPr>
                <w:rFonts w:ascii="宋体" w:hAnsi="宋体" w:cs="宋体"/>
                <w:sz w:val="24"/>
              </w:rPr>
              <w:t>承诺函。</w:t>
            </w:r>
          </w:p>
          <w:p w14:paraId="775C3A31">
            <w:pPr>
              <w:widowControl/>
              <w:spacing w:line="400" w:lineRule="exact"/>
              <w:contextualSpacing/>
              <w:jc w:val="left"/>
              <w:rPr>
                <w:rFonts w:ascii="宋体" w:hAnsi="宋体" w:cs="宋体"/>
                <w:sz w:val="24"/>
              </w:rPr>
            </w:pPr>
            <w:r>
              <w:rPr>
                <w:rFonts w:ascii="宋体" w:hAnsi="宋体" w:cs="宋体"/>
                <w:sz w:val="24"/>
              </w:rPr>
              <w:t>3.投标人不同意在招标人开立的账户进行本项目的款项结算，得0分。</w:t>
            </w:r>
          </w:p>
          <w:p w14:paraId="25C7D55E">
            <w:pPr>
              <w:spacing w:line="400" w:lineRule="exact"/>
              <w:contextualSpacing/>
              <w:jc w:val="left"/>
              <w:rPr>
                <w:rFonts w:ascii="宋体" w:hAnsi="宋体" w:cs="宋体"/>
                <w:sz w:val="24"/>
              </w:rPr>
            </w:pPr>
            <w:r>
              <w:rPr>
                <w:rFonts w:hint="eastAsia" w:ascii="宋体" w:hAnsi="宋体" w:cs="宋体"/>
                <w:sz w:val="24"/>
              </w:rPr>
              <w:t>【证明材料】</w:t>
            </w:r>
            <w:r>
              <w:rPr>
                <w:rFonts w:ascii="宋体" w:hAnsi="宋体" w:cs="宋体"/>
                <w:sz w:val="24"/>
              </w:rPr>
              <w:t>承诺函。</w:t>
            </w:r>
          </w:p>
          <w:p w14:paraId="45291FA8">
            <w:pPr>
              <w:spacing w:line="400" w:lineRule="exact"/>
              <w:contextualSpacing/>
              <w:jc w:val="left"/>
              <w:rPr>
                <w:rFonts w:hint="eastAsia" w:asciiTheme="minorEastAsia" w:hAnsiTheme="minorEastAsia" w:eastAsiaTheme="minorEastAsia" w:cstheme="minorEastAsia"/>
                <w:kern w:val="0"/>
                <w:sz w:val="24"/>
              </w:rPr>
            </w:pPr>
            <w:r>
              <w:rPr>
                <w:rFonts w:hint="eastAsia" w:ascii="宋体" w:hAnsi="宋体" w:cs="宋体"/>
                <w:sz w:val="24"/>
              </w:rPr>
              <w:t>注：招标人开立的账户是指在浙商银行股份有限公司以投标人</w:t>
            </w:r>
            <w:r>
              <w:rPr>
                <w:rFonts w:ascii="宋体" w:hAnsi="宋体" w:cs="宋体"/>
                <w:sz w:val="24"/>
              </w:rPr>
              <w:t>的名义开立的账户</w:t>
            </w:r>
            <w:r>
              <w:rPr>
                <w:rFonts w:hint="eastAsia" w:ascii="宋体" w:hAnsi="宋体" w:cs="宋体"/>
                <w:sz w:val="24"/>
              </w:rPr>
              <w:t>，账户名称</w:t>
            </w:r>
            <w:r>
              <w:rPr>
                <w:rFonts w:ascii="宋体" w:hAnsi="宋体" w:cs="宋体"/>
                <w:sz w:val="24"/>
              </w:rPr>
              <w:t>应与投标人名称保持一致。</w:t>
            </w:r>
          </w:p>
        </w:tc>
        <w:tc>
          <w:tcPr>
            <w:tcW w:w="793" w:type="dxa"/>
            <w:tcBorders>
              <w:top w:val="nil"/>
              <w:left w:val="nil"/>
              <w:bottom w:val="single" w:color="auto" w:sz="4" w:space="0"/>
              <w:right w:val="single" w:color="auto" w:sz="4" w:space="0"/>
            </w:tcBorders>
            <w:shd w:val="clear" w:color="auto" w:fill="auto"/>
            <w:vAlign w:val="center"/>
          </w:tcPr>
          <w:p w14:paraId="11E7C166">
            <w:pPr>
              <w:widowControl/>
              <w:spacing w:line="440" w:lineRule="exact"/>
              <w:contextualSpacing/>
              <w:jc w:val="center"/>
              <w:rPr>
                <w:rFonts w:hint="eastAsia" w:asciiTheme="minorEastAsia" w:hAnsiTheme="minorEastAsia" w:eastAsiaTheme="minorEastAsia" w:cstheme="minorEastAsia"/>
                <w:b/>
                <w:bCs/>
                <w:color w:val="000000"/>
                <w:kern w:val="0"/>
                <w:sz w:val="24"/>
              </w:rPr>
            </w:pPr>
            <w:r>
              <w:rPr>
                <w:rFonts w:hint="eastAsia" w:ascii="宋体" w:hAnsi="宋体" w:cs="宋体"/>
                <w:b/>
                <w:bCs/>
                <w:color w:val="000000"/>
                <w:kern w:val="0"/>
                <w:sz w:val="24"/>
              </w:rPr>
              <w:t>1</w:t>
            </w:r>
          </w:p>
        </w:tc>
        <w:tc>
          <w:tcPr>
            <w:tcW w:w="1002" w:type="dxa"/>
            <w:tcBorders>
              <w:top w:val="nil"/>
              <w:left w:val="nil"/>
              <w:bottom w:val="single" w:color="auto" w:sz="4" w:space="0"/>
              <w:right w:val="single" w:color="auto" w:sz="4" w:space="0"/>
            </w:tcBorders>
            <w:shd w:val="clear" w:color="auto" w:fill="auto"/>
            <w:vAlign w:val="center"/>
          </w:tcPr>
          <w:p w14:paraId="7B11A263">
            <w:pPr>
              <w:widowControl/>
              <w:spacing w:line="440" w:lineRule="exact"/>
              <w:contextualSpacing/>
              <w:jc w:val="center"/>
              <w:rPr>
                <w:rFonts w:hint="eastAsia" w:asciiTheme="minorEastAsia" w:hAnsiTheme="minorEastAsia" w:eastAsiaTheme="minorEastAsia" w:cstheme="minorEastAsia"/>
                <w:b/>
                <w:bCs/>
                <w:color w:val="000000"/>
                <w:kern w:val="0"/>
                <w:sz w:val="24"/>
                <w:lang w:val="en-US" w:eastAsia="zh-CN"/>
              </w:rPr>
            </w:pPr>
            <w:r>
              <w:rPr>
                <w:rFonts w:hint="eastAsia" w:ascii="宋体" w:hAnsi="宋体" w:cs="宋体"/>
                <w:kern w:val="0"/>
                <w:sz w:val="24"/>
              </w:rPr>
              <w:t>客观分</w:t>
            </w:r>
          </w:p>
        </w:tc>
      </w:tr>
      <w:tr w14:paraId="22542E8D">
        <w:tblPrEx>
          <w:tblCellMar>
            <w:top w:w="0" w:type="dxa"/>
            <w:left w:w="108" w:type="dxa"/>
            <w:bottom w:w="0" w:type="dxa"/>
            <w:right w:w="108" w:type="dxa"/>
          </w:tblCellMar>
        </w:tblPrEx>
        <w:trPr>
          <w:trHeight w:val="2142"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03DE524A">
            <w:pPr>
              <w:widowControl/>
              <w:jc w:val="center"/>
              <w:rPr>
                <w:rFonts w:hint="eastAsia" w:asciiTheme="minorEastAsia" w:hAnsiTheme="minorEastAsia" w:eastAsiaTheme="minorEastAsia" w:cstheme="minorEastAsia"/>
                <w:b/>
                <w:bCs/>
                <w:color w:val="000000"/>
                <w:kern w:val="0"/>
                <w:sz w:val="24"/>
                <w:lang w:eastAsia="zh-CN"/>
              </w:rPr>
            </w:pPr>
            <w:r>
              <w:rPr>
                <w:rFonts w:hint="eastAsia" w:asciiTheme="minorEastAsia" w:hAnsiTheme="minorEastAsia" w:eastAsiaTheme="minorEastAsia" w:cstheme="minorEastAsia"/>
                <w:b/>
                <w:bCs/>
                <w:color w:val="000000"/>
                <w:kern w:val="0"/>
                <w:sz w:val="24"/>
                <w:lang w:val="en-US" w:eastAsia="zh-CN"/>
              </w:rPr>
              <w:t>3</w:t>
            </w:r>
          </w:p>
        </w:tc>
        <w:tc>
          <w:tcPr>
            <w:tcW w:w="591" w:type="pct"/>
            <w:tcBorders>
              <w:top w:val="nil"/>
              <w:left w:val="nil"/>
              <w:bottom w:val="single" w:color="auto" w:sz="4" w:space="0"/>
              <w:right w:val="single" w:color="auto" w:sz="4" w:space="0"/>
            </w:tcBorders>
            <w:shd w:val="clear" w:color="auto" w:fill="auto"/>
            <w:vAlign w:val="center"/>
          </w:tcPr>
          <w:p w14:paraId="029A3079">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企业业绩</w:t>
            </w:r>
          </w:p>
        </w:tc>
        <w:tc>
          <w:tcPr>
            <w:tcW w:w="3256" w:type="pct"/>
            <w:tcBorders>
              <w:top w:val="nil"/>
              <w:left w:val="nil"/>
              <w:bottom w:val="single" w:color="auto" w:sz="4" w:space="0"/>
              <w:right w:val="single" w:color="auto" w:sz="4" w:space="0"/>
            </w:tcBorders>
            <w:shd w:val="clear" w:color="auto" w:fill="auto"/>
            <w:vAlign w:val="center"/>
          </w:tcPr>
          <w:p w14:paraId="39FE7032">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投标人自202</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年1</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月1日【时间以竣工验收记录（或报告或证书）时间为准】以来完成过下述规模的弱电工程业绩：合同金额≥</w:t>
            </w:r>
            <w:r>
              <w:rPr>
                <w:rFonts w:hint="eastAsia" w:asciiTheme="minorEastAsia" w:hAnsiTheme="minorEastAsia" w:eastAsiaTheme="minorEastAsia" w:cstheme="minorEastAsia"/>
                <w:kern w:val="0"/>
                <w:sz w:val="24"/>
                <w:lang w:val="en-US" w:eastAsia="zh-CN"/>
              </w:rPr>
              <w:t>3</w:t>
            </w:r>
            <w:r>
              <w:rPr>
                <w:rFonts w:hint="eastAsia" w:asciiTheme="minorEastAsia" w:hAnsiTheme="minorEastAsia" w:eastAsiaTheme="minorEastAsia" w:cstheme="minorEastAsia"/>
                <w:kern w:val="0"/>
                <w:sz w:val="24"/>
              </w:rPr>
              <w:t>0万的单个工程业绩，每个得1分，本项最高得3分；【证明材料】：以上业绩证明材料须提供项目合同、竣工验收证明材料复制件加盖公章，须能体现出合同双方、报告时间、项目特征信息，若无法体现的，须同时提供业主单位证明文件</w:t>
            </w:r>
            <w:r>
              <w:rPr>
                <w:rFonts w:hint="eastAsia" w:asciiTheme="minorEastAsia" w:hAnsiTheme="minorEastAsia" w:eastAsiaTheme="minorEastAsia" w:cstheme="minorEastAsia"/>
                <w:kern w:val="0"/>
                <w:sz w:val="24"/>
                <w:lang w:val="en-US" w:eastAsia="zh-CN"/>
              </w:rPr>
              <w:t>扫描件</w:t>
            </w:r>
            <w:r>
              <w:rPr>
                <w:rFonts w:hint="eastAsia" w:asciiTheme="minorEastAsia" w:hAnsiTheme="minorEastAsia" w:eastAsiaTheme="minorEastAsia" w:cstheme="minorEastAsia"/>
                <w:kern w:val="0"/>
                <w:sz w:val="24"/>
              </w:rPr>
              <w:t>，否则不予认可。</w:t>
            </w:r>
          </w:p>
        </w:tc>
        <w:tc>
          <w:tcPr>
            <w:tcW w:w="402" w:type="pct"/>
            <w:tcBorders>
              <w:top w:val="nil"/>
              <w:left w:val="nil"/>
              <w:bottom w:val="single" w:color="auto" w:sz="4" w:space="0"/>
              <w:right w:val="single" w:color="auto" w:sz="4" w:space="0"/>
            </w:tcBorders>
            <w:shd w:val="clear" w:color="auto" w:fill="auto"/>
            <w:vAlign w:val="center"/>
          </w:tcPr>
          <w:p w14:paraId="193D4083">
            <w:pPr>
              <w:widowControl/>
              <w:jc w:val="center"/>
              <w:rPr>
                <w:rFonts w:hint="eastAsia" w:asciiTheme="minorEastAsia" w:hAnsiTheme="minorEastAsia" w:eastAsiaTheme="minorEastAsia" w:cstheme="minorEastAsia"/>
                <w:b/>
                <w:bCs/>
                <w:color w:val="000000"/>
                <w:kern w:val="0"/>
                <w:sz w:val="24"/>
              </w:rPr>
            </w:pPr>
            <w:r>
              <w:rPr>
                <w:rFonts w:hint="eastAsia" w:asciiTheme="minorEastAsia" w:hAnsiTheme="minorEastAsia" w:eastAsiaTheme="minorEastAsia" w:cstheme="minorEastAsia"/>
                <w:b/>
                <w:bCs/>
                <w:color w:val="000000"/>
                <w:kern w:val="0"/>
                <w:sz w:val="24"/>
              </w:rPr>
              <w:t>3</w:t>
            </w:r>
          </w:p>
        </w:tc>
        <w:tc>
          <w:tcPr>
            <w:tcW w:w="508" w:type="pct"/>
            <w:tcBorders>
              <w:top w:val="nil"/>
              <w:left w:val="nil"/>
              <w:bottom w:val="single" w:color="auto" w:sz="4" w:space="0"/>
              <w:right w:val="single" w:color="auto" w:sz="4" w:space="0"/>
            </w:tcBorders>
            <w:shd w:val="clear" w:color="auto" w:fill="auto"/>
            <w:vAlign w:val="center"/>
          </w:tcPr>
          <w:p w14:paraId="37F0F05D">
            <w:pPr>
              <w:widowControl/>
              <w:jc w:val="center"/>
              <w:rPr>
                <w:rFonts w:hint="default" w:asciiTheme="minorEastAsia" w:hAnsiTheme="minorEastAsia" w:eastAsiaTheme="minorEastAsia" w:cstheme="minorEastAsia"/>
                <w:b/>
                <w:bCs/>
                <w:color w:val="000000"/>
                <w:kern w:val="0"/>
                <w:sz w:val="24"/>
                <w:lang w:val="en-US" w:eastAsia="zh-CN"/>
              </w:rPr>
            </w:pPr>
            <w:r>
              <w:rPr>
                <w:rFonts w:hint="eastAsia" w:asciiTheme="minorEastAsia" w:hAnsiTheme="minorEastAsia" w:eastAsiaTheme="minorEastAsia" w:cstheme="minorEastAsia"/>
                <w:b/>
                <w:bCs/>
                <w:color w:val="000000"/>
                <w:kern w:val="0"/>
                <w:sz w:val="24"/>
                <w:lang w:val="en-US" w:eastAsia="zh-CN"/>
              </w:rPr>
              <w:t>客观分</w:t>
            </w:r>
          </w:p>
        </w:tc>
      </w:tr>
      <w:tr w14:paraId="525D33D1">
        <w:tblPrEx>
          <w:tblCellMar>
            <w:top w:w="0" w:type="dxa"/>
            <w:left w:w="108" w:type="dxa"/>
            <w:bottom w:w="0" w:type="dxa"/>
            <w:right w:w="108" w:type="dxa"/>
          </w:tblCellMar>
        </w:tblPrEx>
        <w:trPr>
          <w:trHeight w:val="699"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6D6F864C">
            <w:pPr>
              <w:widowControl/>
              <w:jc w:val="center"/>
              <w:rPr>
                <w:rFonts w:hint="eastAsia" w:asciiTheme="minorEastAsia" w:hAnsiTheme="minorEastAsia" w:eastAsiaTheme="minorEastAsia" w:cstheme="minorEastAsia"/>
                <w:b/>
                <w:bCs/>
                <w:color w:val="000000"/>
                <w:kern w:val="0"/>
                <w:sz w:val="24"/>
                <w:lang w:eastAsia="zh-CN"/>
              </w:rPr>
            </w:pPr>
            <w:r>
              <w:rPr>
                <w:rFonts w:hint="eastAsia" w:asciiTheme="minorEastAsia" w:hAnsiTheme="minorEastAsia" w:eastAsiaTheme="minorEastAsia" w:cstheme="minorEastAsia"/>
                <w:b/>
                <w:bCs/>
                <w:color w:val="000000"/>
                <w:kern w:val="0"/>
                <w:sz w:val="24"/>
                <w:lang w:val="en-US" w:eastAsia="zh-CN"/>
              </w:rPr>
              <w:t>4</w:t>
            </w:r>
          </w:p>
        </w:tc>
        <w:tc>
          <w:tcPr>
            <w:tcW w:w="591" w:type="pct"/>
            <w:tcBorders>
              <w:top w:val="nil"/>
              <w:left w:val="nil"/>
              <w:bottom w:val="single" w:color="auto" w:sz="4" w:space="0"/>
              <w:right w:val="single" w:color="auto" w:sz="4" w:space="0"/>
            </w:tcBorders>
            <w:shd w:val="clear" w:color="auto" w:fill="auto"/>
            <w:vAlign w:val="center"/>
          </w:tcPr>
          <w:p w14:paraId="7D4FDC25">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项目负责人业绩</w:t>
            </w:r>
          </w:p>
        </w:tc>
        <w:tc>
          <w:tcPr>
            <w:tcW w:w="3256" w:type="pct"/>
            <w:tcBorders>
              <w:top w:val="nil"/>
              <w:left w:val="nil"/>
              <w:bottom w:val="single" w:color="auto" w:sz="4" w:space="0"/>
              <w:right w:val="single" w:color="auto" w:sz="4" w:space="0"/>
            </w:tcBorders>
            <w:shd w:val="clear" w:color="auto" w:fill="auto"/>
            <w:vAlign w:val="center"/>
          </w:tcPr>
          <w:p w14:paraId="28C75626">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自202</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年1</w:t>
            </w:r>
            <w:r>
              <w:rPr>
                <w:rFonts w:hint="eastAsia" w:asciiTheme="minorEastAsia" w:hAnsiTheme="minorEastAsia" w:eastAsiaTheme="minorEastAsia" w:cstheme="minorEastAsia"/>
                <w:kern w:val="0"/>
                <w:sz w:val="24"/>
                <w:lang w:val="en-US" w:eastAsia="zh-CN"/>
              </w:rPr>
              <w:t>2</w:t>
            </w:r>
            <w:r>
              <w:rPr>
                <w:rFonts w:hint="eastAsia" w:asciiTheme="minorEastAsia" w:hAnsiTheme="minorEastAsia" w:eastAsiaTheme="minorEastAsia" w:cstheme="minorEastAsia"/>
                <w:kern w:val="0"/>
                <w:sz w:val="24"/>
              </w:rPr>
              <w:t>月1日【时间以竣工验收记录（或报告或证书）时间为准】以来项目负责人完成过下述规模的弱电工程业绩：合同金额≥</w:t>
            </w:r>
            <w:r>
              <w:rPr>
                <w:rFonts w:hint="eastAsia" w:asciiTheme="minorEastAsia" w:hAnsiTheme="minorEastAsia" w:eastAsiaTheme="minorEastAsia" w:cstheme="minorEastAsia"/>
                <w:kern w:val="0"/>
                <w:sz w:val="24"/>
                <w:lang w:val="en-US" w:eastAsia="zh-CN"/>
              </w:rPr>
              <w:t>3</w:t>
            </w:r>
            <w:r>
              <w:rPr>
                <w:rFonts w:hint="eastAsia" w:asciiTheme="minorEastAsia" w:hAnsiTheme="minorEastAsia" w:eastAsiaTheme="minorEastAsia" w:cstheme="minorEastAsia"/>
                <w:kern w:val="0"/>
                <w:sz w:val="24"/>
              </w:rPr>
              <w:t>0万的单个工程业绩，每个得1分，本项最高得</w:t>
            </w:r>
            <w:r>
              <w:rPr>
                <w:rFonts w:hint="eastAsia" w:asciiTheme="minorEastAsia" w:hAnsiTheme="minorEastAsia" w:eastAsiaTheme="minorEastAsia" w:cstheme="minorEastAsia"/>
                <w:kern w:val="0"/>
                <w:sz w:val="24"/>
                <w:lang w:val="en-US" w:eastAsia="zh-CN"/>
              </w:rPr>
              <w:t>1</w:t>
            </w:r>
            <w:r>
              <w:rPr>
                <w:rFonts w:hint="eastAsia" w:asciiTheme="minorEastAsia" w:hAnsiTheme="minorEastAsia" w:eastAsiaTheme="minorEastAsia" w:cstheme="minorEastAsia"/>
                <w:kern w:val="0"/>
                <w:sz w:val="24"/>
              </w:rPr>
              <w:t>分；</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【证明材料】：以上业绩证明材料须提供项目合同、竣工验收证明材料复制件加盖公章，须能体现出合同双方、报告时间、项目特征信息、项目负责人名字，若无法体现的，须同时提供业主单位证明文件</w:t>
            </w:r>
            <w:r>
              <w:rPr>
                <w:rFonts w:hint="eastAsia" w:asciiTheme="minorEastAsia" w:hAnsiTheme="minorEastAsia" w:eastAsiaTheme="minorEastAsia" w:cstheme="minorEastAsia"/>
                <w:kern w:val="0"/>
                <w:sz w:val="24"/>
                <w:lang w:val="en-US" w:eastAsia="zh-CN"/>
              </w:rPr>
              <w:t>扫描件</w:t>
            </w:r>
            <w:r>
              <w:rPr>
                <w:rFonts w:hint="eastAsia" w:asciiTheme="minorEastAsia" w:hAnsiTheme="minorEastAsia" w:eastAsiaTheme="minorEastAsia" w:cstheme="minorEastAsia"/>
                <w:kern w:val="0"/>
                <w:sz w:val="24"/>
              </w:rPr>
              <w:t>，否则不予认可。</w:t>
            </w:r>
          </w:p>
        </w:tc>
        <w:tc>
          <w:tcPr>
            <w:tcW w:w="402" w:type="pct"/>
            <w:tcBorders>
              <w:top w:val="nil"/>
              <w:left w:val="nil"/>
              <w:bottom w:val="single" w:color="auto" w:sz="4" w:space="0"/>
              <w:right w:val="single" w:color="auto" w:sz="4" w:space="0"/>
            </w:tcBorders>
            <w:shd w:val="clear" w:color="auto" w:fill="auto"/>
            <w:vAlign w:val="center"/>
          </w:tcPr>
          <w:p w14:paraId="1617D530">
            <w:pPr>
              <w:widowControl/>
              <w:jc w:val="center"/>
              <w:rPr>
                <w:rFonts w:hint="eastAsia" w:asciiTheme="minorEastAsia" w:hAnsiTheme="minorEastAsia" w:eastAsiaTheme="minorEastAsia" w:cstheme="minorEastAsia"/>
                <w:b/>
                <w:bCs/>
                <w:color w:val="000000"/>
                <w:kern w:val="0"/>
                <w:sz w:val="24"/>
                <w:lang w:eastAsia="zh-CN"/>
              </w:rPr>
            </w:pPr>
            <w:r>
              <w:rPr>
                <w:rFonts w:hint="eastAsia" w:asciiTheme="minorEastAsia" w:hAnsiTheme="minorEastAsia" w:eastAsiaTheme="minorEastAsia" w:cstheme="minorEastAsia"/>
                <w:b/>
                <w:bCs/>
                <w:color w:val="000000"/>
                <w:kern w:val="0"/>
                <w:sz w:val="24"/>
                <w:lang w:val="en-US" w:eastAsia="zh-CN"/>
              </w:rPr>
              <w:t>1</w:t>
            </w:r>
          </w:p>
        </w:tc>
        <w:tc>
          <w:tcPr>
            <w:tcW w:w="508" w:type="pct"/>
            <w:tcBorders>
              <w:top w:val="nil"/>
              <w:left w:val="nil"/>
              <w:bottom w:val="single" w:color="auto" w:sz="4" w:space="0"/>
              <w:right w:val="single" w:color="auto" w:sz="4" w:space="0"/>
            </w:tcBorders>
            <w:shd w:val="clear" w:color="auto" w:fill="auto"/>
            <w:vAlign w:val="center"/>
          </w:tcPr>
          <w:p w14:paraId="1F46C1B3">
            <w:pPr>
              <w:widowControl/>
              <w:jc w:val="center"/>
              <w:rPr>
                <w:rFonts w:hint="eastAsia" w:asciiTheme="minorEastAsia" w:hAnsiTheme="minorEastAsia" w:eastAsiaTheme="minorEastAsia" w:cstheme="minorEastAsia"/>
                <w:b/>
                <w:bCs/>
                <w:color w:val="000000"/>
                <w:kern w:val="0"/>
                <w:sz w:val="24"/>
              </w:rPr>
            </w:pPr>
            <w:r>
              <w:rPr>
                <w:rFonts w:hint="eastAsia" w:asciiTheme="minorEastAsia" w:hAnsiTheme="minorEastAsia" w:eastAsiaTheme="minorEastAsia" w:cstheme="minorEastAsia"/>
                <w:b/>
                <w:bCs/>
                <w:color w:val="000000"/>
                <w:kern w:val="0"/>
                <w:sz w:val="24"/>
                <w:lang w:val="en-US" w:eastAsia="zh-CN"/>
              </w:rPr>
              <w:t>客观分</w:t>
            </w:r>
          </w:p>
        </w:tc>
      </w:tr>
      <w:tr w14:paraId="3CB7863E">
        <w:tblPrEx>
          <w:tblCellMar>
            <w:top w:w="0" w:type="dxa"/>
            <w:left w:w="108" w:type="dxa"/>
            <w:bottom w:w="0" w:type="dxa"/>
            <w:right w:w="108" w:type="dxa"/>
          </w:tblCellMar>
        </w:tblPrEx>
        <w:trPr>
          <w:trHeight w:val="919"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5F022849">
            <w:pPr>
              <w:widowControl/>
              <w:jc w:val="center"/>
              <w:rPr>
                <w:rFonts w:hint="eastAsia" w:asciiTheme="minorEastAsia" w:hAnsiTheme="minorEastAsia" w:eastAsiaTheme="minorEastAsia" w:cstheme="minorEastAsia"/>
                <w:b/>
                <w:bCs/>
                <w:color w:val="000000"/>
                <w:kern w:val="0"/>
                <w:sz w:val="24"/>
                <w:lang w:eastAsia="zh-CN"/>
              </w:rPr>
            </w:pPr>
            <w:r>
              <w:rPr>
                <w:rFonts w:hint="eastAsia" w:asciiTheme="minorEastAsia" w:hAnsiTheme="minorEastAsia" w:eastAsiaTheme="minorEastAsia" w:cstheme="minorEastAsia"/>
                <w:b/>
                <w:bCs/>
                <w:color w:val="000000"/>
                <w:kern w:val="0"/>
                <w:sz w:val="24"/>
                <w:lang w:val="en-US" w:eastAsia="zh-CN"/>
              </w:rPr>
              <w:t>5</w:t>
            </w:r>
          </w:p>
        </w:tc>
        <w:tc>
          <w:tcPr>
            <w:tcW w:w="591" w:type="pct"/>
            <w:tcBorders>
              <w:top w:val="nil"/>
              <w:left w:val="nil"/>
              <w:bottom w:val="single" w:color="auto" w:sz="4" w:space="0"/>
              <w:right w:val="single" w:color="auto" w:sz="4" w:space="0"/>
            </w:tcBorders>
            <w:shd w:val="clear" w:color="auto" w:fill="auto"/>
            <w:vAlign w:val="center"/>
          </w:tcPr>
          <w:p w14:paraId="01FCEC6A">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项目负责人能力</w:t>
            </w:r>
          </w:p>
        </w:tc>
        <w:tc>
          <w:tcPr>
            <w:tcW w:w="3256" w:type="pct"/>
            <w:tcBorders>
              <w:top w:val="nil"/>
              <w:left w:val="nil"/>
              <w:bottom w:val="single" w:color="auto" w:sz="4" w:space="0"/>
              <w:right w:val="single" w:color="auto" w:sz="4" w:space="0"/>
            </w:tcBorders>
            <w:shd w:val="clear" w:color="auto" w:fill="auto"/>
            <w:vAlign w:val="center"/>
          </w:tcPr>
          <w:p w14:paraId="7129F152">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项目负责人具有高级工程师职称（证书、职称）的，得1分</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【证明材料】：提供项目负责人简历、职称证书复制件、注册执业资格证书复制件。</w:t>
            </w:r>
          </w:p>
        </w:tc>
        <w:tc>
          <w:tcPr>
            <w:tcW w:w="402" w:type="pct"/>
            <w:tcBorders>
              <w:top w:val="nil"/>
              <w:left w:val="nil"/>
              <w:bottom w:val="single" w:color="auto" w:sz="4" w:space="0"/>
              <w:right w:val="single" w:color="auto" w:sz="4" w:space="0"/>
            </w:tcBorders>
            <w:shd w:val="clear" w:color="auto" w:fill="auto"/>
            <w:vAlign w:val="center"/>
          </w:tcPr>
          <w:p w14:paraId="26B299F2">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1</w:t>
            </w:r>
          </w:p>
        </w:tc>
        <w:tc>
          <w:tcPr>
            <w:tcW w:w="508" w:type="pct"/>
            <w:tcBorders>
              <w:top w:val="nil"/>
              <w:left w:val="nil"/>
              <w:bottom w:val="single" w:color="auto" w:sz="4" w:space="0"/>
              <w:right w:val="single" w:color="auto" w:sz="4" w:space="0"/>
            </w:tcBorders>
            <w:shd w:val="clear" w:color="auto" w:fill="auto"/>
            <w:vAlign w:val="center"/>
          </w:tcPr>
          <w:p w14:paraId="65483B3C">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color w:val="000000"/>
                <w:kern w:val="0"/>
                <w:sz w:val="24"/>
                <w:lang w:val="en-US" w:eastAsia="zh-CN"/>
              </w:rPr>
              <w:t>客观分</w:t>
            </w:r>
          </w:p>
        </w:tc>
      </w:tr>
      <w:tr w14:paraId="67BAC9ED">
        <w:tblPrEx>
          <w:tblCellMar>
            <w:top w:w="0" w:type="dxa"/>
            <w:left w:w="108" w:type="dxa"/>
            <w:bottom w:w="0" w:type="dxa"/>
            <w:right w:w="108" w:type="dxa"/>
          </w:tblCellMar>
        </w:tblPrEx>
        <w:trPr>
          <w:trHeight w:val="1500"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00E3A40B">
            <w:pPr>
              <w:widowControl/>
              <w:jc w:val="center"/>
              <w:rPr>
                <w:rFonts w:hint="eastAsia" w:asciiTheme="minorEastAsia" w:hAnsiTheme="minorEastAsia" w:eastAsiaTheme="minorEastAsia" w:cstheme="minorEastAsia"/>
                <w:b/>
                <w:bCs/>
                <w:color w:val="000000"/>
                <w:kern w:val="0"/>
                <w:sz w:val="24"/>
                <w:lang w:eastAsia="zh-CN"/>
              </w:rPr>
            </w:pPr>
            <w:r>
              <w:rPr>
                <w:rFonts w:hint="eastAsia" w:asciiTheme="minorEastAsia" w:hAnsiTheme="minorEastAsia" w:eastAsiaTheme="minorEastAsia" w:cstheme="minorEastAsia"/>
                <w:b/>
                <w:bCs/>
                <w:color w:val="000000"/>
                <w:kern w:val="0"/>
                <w:sz w:val="24"/>
                <w:lang w:val="en-US" w:eastAsia="zh-CN"/>
              </w:rPr>
              <w:t>6</w:t>
            </w:r>
          </w:p>
        </w:tc>
        <w:tc>
          <w:tcPr>
            <w:tcW w:w="591" w:type="pct"/>
            <w:tcBorders>
              <w:top w:val="nil"/>
              <w:left w:val="nil"/>
              <w:bottom w:val="single" w:color="auto" w:sz="4" w:space="0"/>
              <w:right w:val="single" w:color="auto" w:sz="4" w:space="0"/>
            </w:tcBorders>
            <w:shd w:val="clear" w:color="auto" w:fill="auto"/>
            <w:vAlign w:val="center"/>
          </w:tcPr>
          <w:p w14:paraId="5AB201D4">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服务团队人员能力</w:t>
            </w:r>
          </w:p>
        </w:tc>
        <w:tc>
          <w:tcPr>
            <w:tcW w:w="3256" w:type="pct"/>
            <w:tcBorders>
              <w:top w:val="nil"/>
              <w:left w:val="nil"/>
              <w:bottom w:val="single" w:color="auto" w:sz="4" w:space="0"/>
              <w:right w:val="single" w:color="auto" w:sz="4" w:space="0"/>
            </w:tcBorders>
            <w:shd w:val="clear" w:color="auto" w:fill="auto"/>
            <w:vAlign w:val="center"/>
          </w:tcPr>
          <w:p w14:paraId="6BD41CB9">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1.投标人拟派项目管理班子满足招标文件要求的团队的，达到5人及以上的，得1分</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2.技术负责人具有高级工程师职称（证书、职称）的，得0.5分</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3.服务团队人员中除项目负责人和项目技术负责人外，具有中级及以上职称的，每个得0.5分，最高0.5分。</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【证明材料】：提供服务团队人员简历、职称证书复制件、注册执业资格证书复制件。</w:t>
            </w:r>
          </w:p>
        </w:tc>
        <w:tc>
          <w:tcPr>
            <w:tcW w:w="402" w:type="pct"/>
            <w:tcBorders>
              <w:top w:val="nil"/>
              <w:left w:val="nil"/>
              <w:bottom w:val="single" w:color="auto" w:sz="4" w:space="0"/>
              <w:right w:val="single" w:color="auto" w:sz="4" w:space="0"/>
            </w:tcBorders>
            <w:shd w:val="clear" w:color="auto" w:fill="auto"/>
            <w:vAlign w:val="center"/>
          </w:tcPr>
          <w:p w14:paraId="49BCDC5F">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2</w:t>
            </w:r>
          </w:p>
        </w:tc>
        <w:tc>
          <w:tcPr>
            <w:tcW w:w="508" w:type="pct"/>
            <w:tcBorders>
              <w:top w:val="nil"/>
              <w:left w:val="nil"/>
              <w:bottom w:val="single" w:color="auto" w:sz="4" w:space="0"/>
              <w:right w:val="single" w:color="auto" w:sz="4" w:space="0"/>
            </w:tcBorders>
            <w:shd w:val="clear" w:color="auto" w:fill="auto"/>
            <w:vAlign w:val="center"/>
          </w:tcPr>
          <w:p w14:paraId="49F7057E">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color w:val="000000"/>
                <w:kern w:val="0"/>
                <w:sz w:val="24"/>
                <w:lang w:val="en-US" w:eastAsia="zh-CN"/>
              </w:rPr>
              <w:t>客观分</w:t>
            </w:r>
          </w:p>
        </w:tc>
      </w:tr>
      <w:tr w14:paraId="2C398237">
        <w:tblPrEx>
          <w:tblCellMar>
            <w:top w:w="0" w:type="dxa"/>
            <w:left w:w="108" w:type="dxa"/>
            <w:bottom w:w="0" w:type="dxa"/>
            <w:right w:w="108" w:type="dxa"/>
          </w:tblCellMar>
        </w:tblPrEx>
        <w:trPr>
          <w:trHeight w:val="600" w:hRule="atLeast"/>
        </w:trPr>
        <w:tc>
          <w:tcPr>
            <w:tcW w:w="4088" w:type="pct"/>
            <w:gridSpan w:val="3"/>
            <w:tcBorders>
              <w:top w:val="single" w:color="auto" w:sz="4" w:space="0"/>
              <w:left w:val="single" w:color="auto" w:sz="4" w:space="0"/>
              <w:bottom w:val="nil"/>
              <w:right w:val="single" w:color="000000" w:sz="4" w:space="0"/>
            </w:tcBorders>
            <w:shd w:val="clear" w:color="auto" w:fill="auto"/>
            <w:vAlign w:val="center"/>
          </w:tcPr>
          <w:p w14:paraId="51F709D2">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技术分（C）</w:t>
            </w:r>
          </w:p>
        </w:tc>
        <w:tc>
          <w:tcPr>
            <w:tcW w:w="402" w:type="pct"/>
            <w:tcBorders>
              <w:top w:val="nil"/>
              <w:left w:val="nil"/>
              <w:bottom w:val="single" w:color="auto" w:sz="4" w:space="0"/>
              <w:right w:val="single" w:color="auto" w:sz="4" w:space="0"/>
            </w:tcBorders>
            <w:shd w:val="clear" w:color="auto" w:fill="auto"/>
            <w:vAlign w:val="center"/>
          </w:tcPr>
          <w:p w14:paraId="41811434">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30</w:t>
            </w:r>
          </w:p>
        </w:tc>
        <w:tc>
          <w:tcPr>
            <w:tcW w:w="508" w:type="pct"/>
            <w:tcBorders>
              <w:top w:val="nil"/>
              <w:left w:val="nil"/>
              <w:bottom w:val="single" w:color="auto" w:sz="4" w:space="0"/>
              <w:right w:val="single" w:color="auto" w:sz="4" w:space="0"/>
            </w:tcBorders>
            <w:shd w:val="clear" w:color="auto" w:fill="auto"/>
            <w:vAlign w:val="center"/>
          </w:tcPr>
          <w:p w14:paraId="1C65166E">
            <w:pPr>
              <w:widowControl/>
              <w:jc w:val="center"/>
              <w:rPr>
                <w:rFonts w:hint="eastAsia" w:asciiTheme="minorEastAsia" w:hAnsiTheme="minorEastAsia" w:eastAsiaTheme="minorEastAsia" w:cstheme="minorEastAsia"/>
                <w:b/>
                <w:bCs/>
                <w:kern w:val="0"/>
                <w:sz w:val="24"/>
              </w:rPr>
            </w:pPr>
          </w:p>
        </w:tc>
      </w:tr>
      <w:tr w14:paraId="3E739DB5">
        <w:tblPrEx>
          <w:tblCellMar>
            <w:top w:w="0" w:type="dxa"/>
            <w:left w:w="108" w:type="dxa"/>
            <w:bottom w:w="0" w:type="dxa"/>
            <w:right w:w="108" w:type="dxa"/>
          </w:tblCellMar>
        </w:tblPrEx>
        <w:trPr>
          <w:trHeight w:val="1279" w:hRule="atLeast"/>
        </w:trPr>
        <w:tc>
          <w:tcPr>
            <w:tcW w:w="240" w:type="pct"/>
            <w:tcBorders>
              <w:top w:val="single" w:color="auto" w:sz="4" w:space="0"/>
              <w:left w:val="single" w:color="auto" w:sz="4" w:space="0"/>
              <w:bottom w:val="single" w:color="auto" w:sz="4" w:space="0"/>
              <w:right w:val="single" w:color="auto" w:sz="4" w:space="0"/>
            </w:tcBorders>
            <w:shd w:val="clear" w:color="auto" w:fill="auto"/>
            <w:vAlign w:val="center"/>
          </w:tcPr>
          <w:p w14:paraId="45368B99">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1</w:t>
            </w:r>
          </w:p>
        </w:tc>
        <w:tc>
          <w:tcPr>
            <w:tcW w:w="591" w:type="pct"/>
            <w:tcBorders>
              <w:top w:val="single" w:color="000000" w:sz="4" w:space="0"/>
              <w:left w:val="nil"/>
              <w:bottom w:val="single" w:color="000000" w:sz="4" w:space="0"/>
              <w:right w:val="single" w:color="000000" w:sz="4" w:space="0"/>
            </w:tcBorders>
            <w:shd w:val="clear" w:color="auto" w:fill="auto"/>
            <w:noWrap/>
            <w:vAlign w:val="center"/>
          </w:tcPr>
          <w:p w14:paraId="0A4470AC">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总体施工部署</w:t>
            </w:r>
          </w:p>
        </w:tc>
        <w:tc>
          <w:tcPr>
            <w:tcW w:w="3256" w:type="pct"/>
            <w:tcBorders>
              <w:top w:val="single" w:color="auto" w:sz="4" w:space="0"/>
              <w:left w:val="single" w:color="auto" w:sz="4" w:space="0"/>
              <w:bottom w:val="single" w:color="auto" w:sz="4" w:space="0"/>
              <w:right w:val="single" w:color="auto" w:sz="4" w:space="0"/>
            </w:tcBorders>
            <w:shd w:val="clear" w:color="auto" w:fill="auto"/>
            <w:vAlign w:val="center"/>
          </w:tcPr>
          <w:p w14:paraId="7721647C">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总体施工部署、场地平面布置及说明。本项最高得6分。</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一般：1-2分，良好：2-3分，优秀：3-6分。不提供不得分。</w:t>
            </w:r>
          </w:p>
        </w:tc>
        <w:tc>
          <w:tcPr>
            <w:tcW w:w="402" w:type="pct"/>
            <w:tcBorders>
              <w:top w:val="nil"/>
              <w:left w:val="nil"/>
              <w:bottom w:val="single" w:color="auto" w:sz="4" w:space="0"/>
              <w:right w:val="single" w:color="auto" w:sz="4" w:space="0"/>
            </w:tcBorders>
            <w:shd w:val="clear" w:color="auto" w:fill="auto"/>
            <w:vAlign w:val="center"/>
          </w:tcPr>
          <w:p w14:paraId="7AFDAD2E">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6</w:t>
            </w:r>
          </w:p>
        </w:tc>
        <w:tc>
          <w:tcPr>
            <w:tcW w:w="508" w:type="pct"/>
            <w:tcBorders>
              <w:top w:val="nil"/>
              <w:left w:val="nil"/>
              <w:bottom w:val="single" w:color="auto" w:sz="4" w:space="0"/>
              <w:right w:val="single" w:color="auto" w:sz="4" w:space="0"/>
            </w:tcBorders>
            <w:shd w:val="clear" w:color="auto" w:fill="auto"/>
            <w:vAlign w:val="center"/>
          </w:tcPr>
          <w:p w14:paraId="0D581D06">
            <w:pPr>
              <w:widowControl/>
              <w:jc w:val="center"/>
              <w:rPr>
                <w:rFonts w:hint="default" w:asciiTheme="minorEastAsia" w:hAnsiTheme="minorEastAsia" w:eastAsiaTheme="minorEastAsia" w:cstheme="minorEastAsia"/>
                <w:b/>
                <w:bCs/>
                <w:kern w:val="0"/>
                <w:sz w:val="24"/>
                <w:lang w:val="en-US" w:eastAsia="zh-CN"/>
              </w:rPr>
            </w:pPr>
            <w:r>
              <w:rPr>
                <w:rFonts w:hint="eastAsia" w:asciiTheme="minorEastAsia" w:hAnsiTheme="minorEastAsia" w:eastAsiaTheme="minorEastAsia" w:cstheme="minorEastAsia"/>
                <w:b/>
                <w:bCs/>
                <w:kern w:val="0"/>
                <w:sz w:val="24"/>
                <w:lang w:val="en-US" w:eastAsia="zh-CN"/>
              </w:rPr>
              <w:t>主观分</w:t>
            </w:r>
          </w:p>
        </w:tc>
      </w:tr>
      <w:tr w14:paraId="5615244D">
        <w:tblPrEx>
          <w:tblCellMar>
            <w:top w:w="0" w:type="dxa"/>
            <w:left w:w="108" w:type="dxa"/>
            <w:bottom w:w="0" w:type="dxa"/>
            <w:right w:w="108" w:type="dxa"/>
          </w:tblCellMar>
        </w:tblPrEx>
        <w:trPr>
          <w:trHeight w:val="1260"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3041D595">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2</w:t>
            </w:r>
          </w:p>
        </w:tc>
        <w:tc>
          <w:tcPr>
            <w:tcW w:w="591" w:type="pct"/>
            <w:tcBorders>
              <w:top w:val="nil"/>
              <w:left w:val="nil"/>
              <w:bottom w:val="single" w:color="000000" w:sz="4" w:space="0"/>
              <w:right w:val="single" w:color="000000" w:sz="4" w:space="0"/>
            </w:tcBorders>
            <w:shd w:val="clear" w:color="auto" w:fill="auto"/>
            <w:noWrap/>
            <w:vAlign w:val="center"/>
          </w:tcPr>
          <w:p w14:paraId="4AA6EE73">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施工方案</w:t>
            </w:r>
          </w:p>
        </w:tc>
        <w:tc>
          <w:tcPr>
            <w:tcW w:w="3256" w:type="pct"/>
            <w:tcBorders>
              <w:top w:val="nil"/>
              <w:left w:val="single" w:color="auto" w:sz="4" w:space="0"/>
              <w:bottom w:val="single" w:color="auto" w:sz="4" w:space="0"/>
              <w:right w:val="single" w:color="auto" w:sz="4" w:space="0"/>
            </w:tcBorders>
            <w:shd w:val="clear" w:color="auto" w:fill="auto"/>
            <w:vAlign w:val="center"/>
          </w:tcPr>
          <w:p w14:paraId="52D42E0A">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主要施工方案：施工方案内容全面、合理、条理清晰，具备可行性。本项最高得8分。一般：1-3分，良好：3-6分，优秀：6-8分。不提供不得分。</w:t>
            </w:r>
          </w:p>
        </w:tc>
        <w:tc>
          <w:tcPr>
            <w:tcW w:w="402" w:type="pct"/>
            <w:tcBorders>
              <w:top w:val="nil"/>
              <w:left w:val="nil"/>
              <w:bottom w:val="single" w:color="auto" w:sz="4" w:space="0"/>
              <w:right w:val="single" w:color="auto" w:sz="4" w:space="0"/>
            </w:tcBorders>
            <w:shd w:val="clear" w:color="auto" w:fill="auto"/>
            <w:vAlign w:val="center"/>
          </w:tcPr>
          <w:p w14:paraId="05816187">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8</w:t>
            </w:r>
          </w:p>
        </w:tc>
        <w:tc>
          <w:tcPr>
            <w:tcW w:w="508" w:type="pct"/>
            <w:tcBorders>
              <w:top w:val="nil"/>
              <w:left w:val="nil"/>
              <w:bottom w:val="single" w:color="auto" w:sz="4" w:space="0"/>
              <w:right w:val="single" w:color="auto" w:sz="4" w:space="0"/>
            </w:tcBorders>
            <w:shd w:val="clear" w:color="auto" w:fill="auto"/>
            <w:vAlign w:val="center"/>
          </w:tcPr>
          <w:p w14:paraId="1FD1A997">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lang w:val="en-US" w:eastAsia="zh-CN"/>
              </w:rPr>
              <w:t>主观分</w:t>
            </w:r>
          </w:p>
        </w:tc>
      </w:tr>
      <w:tr w14:paraId="616F2CC1">
        <w:tblPrEx>
          <w:tblCellMar>
            <w:top w:w="0" w:type="dxa"/>
            <w:left w:w="108" w:type="dxa"/>
            <w:bottom w:w="0" w:type="dxa"/>
            <w:right w:w="108" w:type="dxa"/>
          </w:tblCellMar>
        </w:tblPrEx>
        <w:trPr>
          <w:trHeight w:val="1399"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4F8092A9">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3</w:t>
            </w:r>
          </w:p>
        </w:tc>
        <w:tc>
          <w:tcPr>
            <w:tcW w:w="591" w:type="pct"/>
            <w:tcBorders>
              <w:top w:val="nil"/>
              <w:left w:val="nil"/>
              <w:bottom w:val="single" w:color="000000" w:sz="4" w:space="0"/>
              <w:right w:val="single" w:color="000000" w:sz="4" w:space="0"/>
            </w:tcBorders>
            <w:shd w:val="clear" w:color="auto" w:fill="auto"/>
            <w:vAlign w:val="center"/>
          </w:tcPr>
          <w:p w14:paraId="54F54251">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质量保证措施方案</w:t>
            </w:r>
          </w:p>
        </w:tc>
        <w:tc>
          <w:tcPr>
            <w:tcW w:w="3256" w:type="pct"/>
            <w:tcBorders>
              <w:top w:val="nil"/>
              <w:left w:val="single" w:color="auto" w:sz="4" w:space="0"/>
              <w:bottom w:val="single" w:color="auto" w:sz="4" w:space="0"/>
              <w:right w:val="single" w:color="auto" w:sz="4" w:space="0"/>
            </w:tcBorders>
            <w:shd w:val="clear" w:color="auto" w:fill="auto"/>
            <w:vAlign w:val="center"/>
          </w:tcPr>
          <w:p w14:paraId="6CB01D0A">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根据本项目实际情况编写详细专业的质量保证措施，方案详细、合理、条理清晰，具备可行性。本项最高得5分。一般：1-2分，良好：2-4分，优秀：4-5分。不提供不得分。</w:t>
            </w:r>
          </w:p>
        </w:tc>
        <w:tc>
          <w:tcPr>
            <w:tcW w:w="402" w:type="pct"/>
            <w:tcBorders>
              <w:top w:val="nil"/>
              <w:left w:val="nil"/>
              <w:bottom w:val="single" w:color="auto" w:sz="4" w:space="0"/>
              <w:right w:val="single" w:color="auto" w:sz="4" w:space="0"/>
            </w:tcBorders>
            <w:shd w:val="clear" w:color="auto" w:fill="auto"/>
            <w:vAlign w:val="center"/>
          </w:tcPr>
          <w:p w14:paraId="2D0BF300">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5</w:t>
            </w:r>
          </w:p>
        </w:tc>
        <w:tc>
          <w:tcPr>
            <w:tcW w:w="508" w:type="pct"/>
            <w:tcBorders>
              <w:top w:val="nil"/>
              <w:left w:val="nil"/>
              <w:bottom w:val="single" w:color="auto" w:sz="4" w:space="0"/>
              <w:right w:val="single" w:color="auto" w:sz="4" w:space="0"/>
            </w:tcBorders>
            <w:shd w:val="clear" w:color="auto" w:fill="auto"/>
            <w:vAlign w:val="center"/>
          </w:tcPr>
          <w:p w14:paraId="76410EAF">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lang w:val="en-US" w:eastAsia="zh-CN"/>
              </w:rPr>
              <w:t>主观分</w:t>
            </w:r>
          </w:p>
        </w:tc>
      </w:tr>
      <w:tr w14:paraId="13686D62">
        <w:tblPrEx>
          <w:tblCellMar>
            <w:top w:w="0" w:type="dxa"/>
            <w:left w:w="108" w:type="dxa"/>
            <w:bottom w:w="0" w:type="dxa"/>
            <w:right w:w="108" w:type="dxa"/>
          </w:tblCellMar>
        </w:tblPrEx>
        <w:trPr>
          <w:trHeight w:val="1399"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70D4E40E">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4</w:t>
            </w:r>
          </w:p>
        </w:tc>
        <w:tc>
          <w:tcPr>
            <w:tcW w:w="591" w:type="pct"/>
            <w:tcBorders>
              <w:top w:val="nil"/>
              <w:left w:val="nil"/>
              <w:bottom w:val="single" w:color="000000" w:sz="4" w:space="0"/>
              <w:right w:val="single" w:color="000000" w:sz="4" w:space="0"/>
            </w:tcBorders>
            <w:shd w:val="clear" w:color="auto" w:fill="auto"/>
            <w:vAlign w:val="center"/>
          </w:tcPr>
          <w:p w14:paraId="6DE7454E">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施工进度计划和保障措施</w:t>
            </w:r>
          </w:p>
        </w:tc>
        <w:tc>
          <w:tcPr>
            <w:tcW w:w="3256" w:type="pct"/>
            <w:tcBorders>
              <w:top w:val="nil"/>
              <w:left w:val="single" w:color="auto" w:sz="4" w:space="0"/>
              <w:bottom w:val="single" w:color="auto" w:sz="4" w:space="0"/>
              <w:right w:val="single" w:color="auto" w:sz="4" w:space="0"/>
            </w:tcBorders>
            <w:shd w:val="clear" w:color="auto" w:fill="auto"/>
            <w:vAlign w:val="center"/>
          </w:tcPr>
          <w:p w14:paraId="589DF5B0">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根据本项目实际情况编写详细专业的施工进度计划方案和保障措施，内容详细、合理、条理清晰，具备可行性。本项最高得5分。一般：1-2分，良好：2-4分，优秀：4-5分。不提供不得分。</w:t>
            </w:r>
          </w:p>
        </w:tc>
        <w:tc>
          <w:tcPr>
            <w:tcW w:w="402" w:type="pct"/>
            <w:tcBorders>
              <w:top w:val="nil"/>
              <w:left w:val="nil"/>
              <w:bottom w:val="single" w:color="auto" w:sz="4" w:space="0"/>
              <w:right w:val="single" w:color="auto" w:sz="4" w:space="0"/>
            </w:tcBorders>
            <w:shd w:val="clear" w:color="auto" w:fill="auto"/>
            <w:vAlign w:val="center"/>
          </w:tcPr>
          <w:p w14:paraId="0405F0C2">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5</w:t>
            </w:r>
          </w:p>
        </w:tc>
        <w:tc>
          <w:tcPr>
            <w:tcW w:w="508" w:type="pct"/>
            <w:tcBorders>
              <w:top w:val="nil"/>
              <w:left w:val="nil"/>
              <w:bottom w:val="single" w:color="auto" w:sz="4" w:space="0"/>
              <w:right w:val="single" w:color="auto" w:sz="4" w:space="0"/>
            </w:tcBorders>
            <w:shd w:val="clear" w:color="auto" w:fill="auto"/>
            <w:vAlign w:val="center"/>
          </w:tcPr>
          <w:p w14:paraId="058758C4">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lang w:val="en-US" w:eastAsia="zh-CN"/>
              </w:rPr>
              <w:t>主观分</w:t>
            </w:r>
          </w:p>
        </w:tc>
      </w:tr>
      <w:tr w14:paraId="69FCEE07">
        <w:tblPrEx>
          <w:tblCellMar>
            <w:top w:w="0" w:type="dxa"/>
            <w:left w:w="108" w:type="dxa"/>
            <w:bottom w:w="0" w:type="dxa"/>
            <w:right w:w="108" w:type="dxa"/>
          </w:tblCellMar>
        </w:tblPrEx>
        <w:trPr>
          <w:trHeight w:val="1219"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7AB9A6D3">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5</w:t>
            </w:r>
          </w:p>
        </w:tc>
        <w:tc>
          <w:tcPr>
            <w:tcW w:w="591" w:type="pct"/>
            <w:tcBorders>
              <w:top w:val="nil"/>
              <w:left w:val="nil"/>
              <w:bottom w:val="single" w:color="000000" w:sz="4" w:space="0"/>
              <w:right w:val="single" w:color="000000" w:sz="4" w:space="0"/>
            </w:tcBorders>
            <w:shd w:val="clear" w:color="auto" w:fill="auto"/>
            <w:vAlign w:val="center"/>
          </w:tcPr>
          <w:p w14:paraId="260F0E5B">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施工设备配备情况</w:t>
            </w:r>
          </w:p>
        </w:tc>
        <w:tc>
          <w:tcPr>
            <w:tcW w:w="3256" w:type="pct"/>
            <w:tcBorders>
              <w:top w:val="nil"/>
              <w:left w:val="single" w:color="auto" w:sz="4" w:space="0"/>
              <w:bottom w:val="single" w:color="auto" w:sz="4" w:space="0"/>
              <w:right w:val="single" w:color="auto" w:sz="4" w:space="0"/>
            </w:tcBorders>
            <w:shd w:val="clear" w:color="auto" w:fill="auto"/>
            <w:vAlign w:val="center"/>
          </w:tcPr>
          <w:p w14:paraId="54D700FE">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主要施工设备配置情况，主要施工设备充足，保证措施全面，能够满足工程质量和进度要求。本项最高得3分。一般：0.5-1分，良好：1-2分，优秀：2-3分。不提供不得分。</w:t>
            </w:r>
          </w:p>
        </w:tc>
        <w:tc>
          <w:tcPr>
            <w:tcW w:w="402" w:type="pct"/>
            <w:tcBorders>
              <w:top w:val="nil"/>
              <w:left w:val="nil"/>
              <w:bottom w:val="single" w:color="auto" w:sz="4" w:space="0"/>
              <w:right w:val="single" w:color="auto" w:sz="4" w:space="0"/>
            </w:tcBorders>
            <w:shd w:val="clear" w:color="auto" w:fill="auto"/>
            <w:vAlign w:val="center"/>
          </w:tcPr>
          <w:p w14:paraId="3024E84A">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3</w:t>
            </w:r>
          </w:p>
        </w:tc>
        <w:tc>
          <w:tcPr>
            <w:tcW w:w="508" w:type="pct"/>
            <w:tcBorders>
              <w:top w:val="nil"/>
              <w:left w:val="nil"/>
              <w:bottom w:val="single" w:color="auto" w:sz="4" w:space="0"/>
              <w:right w:val="single" w:color="auto" w:sz="4" w:space="0"/>
            </w:tcBorders>
            <w:shd w:val="clear" w:color="auto" w:fill="auto"/>
            <w:vAlign w:val="center"/>
          </w:tcPr>
          <w:p w14:paraId="0C204E61">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lang w:val="en-US" w:eastAsia="zh-CN"/>
              </w:rPr>
              <w:t>主观分</w:t>
            </w:r>
          </w:p>
        </w:tc>
      </w:tr>
      <w:tr w14:paraId="3B627A79">
        <w:tblPrEx>
          <w:tblCellMar>
            <w:top w:w="0" w:type="dxa"/>
            <w:left w:w="108" w:type="dxa"/>
            <w:bottom w:w="0" w:type="dxa"/>
            <w:right w:w="108" w:type="dxa"/>
          </w:tblCellMar>
        </w:tblPrEx>
        <w:trPr>
          <w:trHeight w:val="416" w:hRule="atLeast"/>
        </w:trPr>
        <w:tc>
          <w:tcPr>
            <w:tcW w:w="240" w:type="pct"/>
            <w:tcBorders>
              <w:top w:val="nil"/>
              <w:left w:val="single" w:color="auto" w:sz="4" w:space="0"/>
              <w:bottom w:val="single" w:color="auto" w:sz="4" w:space="0"/>
              <w:right w:val="single" w:color="auto" w:sz="4" w:space="0"/>
            </w:tcBorders>
            <w:shd w:val="clear" w:color="auto" w:fill="auto"/>
            <w:vAlign w:val="center"/>
          </w:tcPr>
          <w:p w14:paraId="03DE82E1">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6</w:t>
            </w:r>
          </w:p>
        </w:tc>
        <w:tc>
          <w:tcPr>
            <w:tcW w:w="591" w:type="pct"/>
            <w:tcBorders>
              <w:top w:val="nil"/>
              <w:left w:val="nil"/>
              <w:bottom w:val="single" w:color="000000" w:sz="4" w:space="0"/>
              <w:right w:val="single" w:color="000000" w:sz="4" w:space="0"/>
            </w:tcBorders>
            <w:shd w:val="clear" w:color="auto" w:fill="auto"/>
            <w:vAlign w:val="center"/>
          </w:tcPr>
          <w:p w14:paraId="6926FA11">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安全生产、文明施工、环境保护措施</w:t>
            </w:r>
          </w:p>
        </w:tc>
        <w:tc>
          <w:tcPr>
            <w:tcW w:w="3256" w:type="pct"/>
            <w:tcBorders>
              <w:top w:val="nil"/>
              <w:left w:val="single" w:color="auto" w:sz="4" w:space="0"/>
              <w:bottom w:val="single" w:color="auto" w:sz="4" w:space="0"/>
              <w:right w:val="single" w:color="auto" w:sz="4" w:space="0"/>
            </w:tcBorders>
            <w:shd w:val="clear" w:color="auto" w:fill="auto"/>
            <w:vAlign w:val="center"/>
          </w:tcPr>
          <w:p w14:paraId="4ED60135">
            <w:pPr>
              <w:widowControl/>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施工项目应有专门的安全管理人员和制度，且人员配备合理，制度健全，各道工序安全技术措施符合实际且满足安全技术标准要求，有安全保证承诺。应有现场文明施工计划，环境保护措施，各项措施周全、具体、有效。本项最高得3分。</w:t>
            </w:r>
            <w:r>
              <w:rPr>
                <w:rFonts w:hint="eastAsia" w:asciiTheme="minorEastAsia" w:hAnsiTheme="minorEastAsia" w:eastAsiaTheme="minorEastAsia" w:cstheme="minorEastAsia"/>
                <w:kern w:val="0"/>
                <w:sz w:val="24"/>
              </w:rPr>
              <w:br w:type="textWrapping"/>
            </w:r>
            <w:r>
              <w:rPr>
                <w:rFonts w:hint="eastAsia" w:asciiTheme="minorEastAsia" w:hAnsiTheme="minorEastAsia" w:eastAsiaTheme="minorEastAsia" w:cstheme="minorEastAsia"/>
                <w:kern w:val="0"/>
                <w:sz w:val="24"/>
              </w:rPr>
              <w:t>一般：0.5-1分，良好：1-2分，优秀：2-3分。不提供不得分。</w:t>
            </w:r>
          </w:p>
        </w:tc>
        <w:tc>
          <w:tcPr>
            <w:tcW w:w="402" w:type="pct"/>
            <w:tcBorders>
              <w:top w:val="nil"/>
              <w:left w:val="nil"/>
              <w:bottom w:val="single" w:color="auto" w:sz="4" w:space="0"/>
              <w:right w:val="single" w:color="auto" w:sz="4" w:space="0"/>
            </w:tcBorders>
            <w:shd w:val="clear" w:color="auto" w:fill="auto"/>
            <w:vAlign w:val="center"/>
          </w:tcPr>
          <w:p w14:paraId="1962CE57">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3</w:t>
            </w:r>
          </w:p>
        </w:tc>
        <w:tc>
          <w:tcPr>
            <w:tcW w:w="508" w:type="pct"/>
            <w:tcBorders>
              <w:top w:val="nil"/>
              <w:left w:val="nil"/>
              <w:bottom w:val="single" w:color="auto" w:sz="4" w:space="0"/>
              <w:right w:val="single" w:color="auto" w:sz="4" w:space="0"/>
            </w:tcBorders>
            <w:shd w:val="clear" w:color="auto" w:fill="auto"/>
            <w:vAlign w:val="center"/>
          </w:tcPr>
          <w:p w14:paraId="7912D747">
            <w:pPr>
              <w:widowControl/>
              <w:jc w:val="center"/>
              <w:rPr>
                <w:rFonts w:hint="eastAsia"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lang w:val="en-US" w:eastAsia="zh-CN"/>
              </w:rPr>
              <w:t>主观分</w:t>
            </w:r>
          </w:p>
        </w:tc>
      </w:tr>
    </w:tbl>
    <w:p w14:paraId="0343FB33">
      <w:pPr>
        <w:spacing w:line="288" w:lineRule="auto"/>
        <w:outlineLvl w:val="9"/>
        <w:rPr>
          <w:rFonts w:hint="eastAsia" w:ascii="宋体" w:hAnsi="宋体"/>
          <w:b/>
          <w:spacing w:val="-6"/>
          <w:sz w:val="24"/>
        </w:rPr>
      </w:pPr>
    </w:p>
    <w:p w14:paraId="7733680F">
      <w:pPr>
        <w:spacing w:line="288" w:lineRule="auto"/>
        <w:jc w:val="center"/>
        <w:outlineLvl w:val="0"/>
        <w:rPr>
          <w:rFonts w:hint="eastAsia" w:ascii="宋体" w:hAnsi="宋体" w:cs="宋体"/>
          <w:bCs/>
          <w:sz w:val="21"/>
          <w:szCs w:val="21"/>
        </w:rPr>
      </w:pPr>
      <w:r>
        <w:rPr>
          <w:rFonts w:ascii="宋体" w:hAnsi="宋体"/>
          <w:b/>
          <w:bCs/>
          <w:spacing w:val="-6"/>
          <w:sz w:val="32"/>
          <w:szCs w:val="32"/>
        </w:rPr>
        <w:br w:type="page"/>
      </w:r>
      <w:r>
        <w:rPr>
          <w:rFonts w:hint="eastAsia" w:ascii="宋体" w:hAnsi="宋体" w:cs="宋体"/>
          <w:b/>
          <w:bCs/>
          <w:spacing w:val="-6"/>
          <w:sz w:val="32"/>
          <w:szCs w:val="32"/>
        </w:rPr>
        <w:t>第五章  拟签订合同的主要条款</w:t>
      </w:r>
    </w:p>
    <w:p w14:paraId="591E4700">
      <w:pPr>
        <w:spacing w:after="120" w:afterLines="50" w:line="360" w:lineRule="exact"/>
        <w:contextualSpacing/>
        <w:rPr>
          <w:rFonts w:hint="eastAsia" w:ascii="仿宋_GB2312" w:hAnsi="仿宋" w:cs="宋体"/>
          <w:b/>
          <w:sz w:val="24"/>
        </w:rPr>
      </w:pPr>
    </w:p>
    <w:p w14:paraId="399189D1">
      <w:pPr>
        <w:spacing w:line="500" w:lineRule="exact"/>
        <w:ind w:firstLine="480" w:firstLineChars="200"/>
        <w:contextualSpacing/>
        <w:rPr>
          <w:rFonts w:ascii="宋体" w:hAnsi="宋体" w:cs="仿宋"/>
          <w:sz w:val="24"/>
        </w:rPr>
      </w:pPr>
      <w:r>
        <w:rPr>
          <w:rFonts w:hint="eastAsia" w:ascii="宋体" w:hAnsi="宋体" w:cs="仿宋"/>
          <w:sz w:val="24"/>
        </w:rPr>
        <w:t>使用住房城乡建设部、国家工商行政管理总局制定的《建设工程施工合同（示范文本）》（GF-2017-0201）。</w:t>
      </w:r>
    </w:p>
    <w:p w14:paraId="5E4D8595">
      <w:pPr>
        <w:keepNext/>
        <w:keepLines/>
        <w:spacing w:before="340" w:after="330" w:line="578" w:lineRule="auto"/>
        <w:jc w:val="center"/>
        <w:outlineLvl w:val="0"/>
        <w:rPr>
          <w:rFonts w:ascii="方正小标宋简体" w:hAnsi="仿宋" w:eastAsia="方正小标宋简体" w:cs="仿宋"/>
          <w:bCs/>
          <w:kern w:val="44"/>
          <w:sz w:val="44"/>
          <w:szCs w:val="44"/>
        </w:rPr>
      </w:pPr>
      <w:bookmarkStart w:id="8" w:name="_Toc176786388"/>
      <w:bookmarkStart w:id="9" w:name="_Toc217983395"/>
      <w:bookmarkStart w:id="10" w:name="_Toc59006209"/>
      <w:bookmarkStart w:id="11" w:name="_Toc178155238"/>
      <w:r>
        <w:rPr>
          <w:rFonts w:hint="eastAsia" w:ascii="方正小标宋简体" w:hAnsi="仿宋" w:eastAsia="方正小标宋简体" w:cs="仿宋"/>
          <w:bCs/>
          <w:kern w:val="44"/>
          <w:sz w:val="44"/>
          <w:szCs w:val="44"/>
        </w:rPr>
        <w:t>第一部分合同协议书</w:t>
      </w:r>
      <w:bookmarkEnd w:id="8"/>
      <w:bookmarkEnd w:id="9"/>
      <w:bookmarkEnd w:id="10"/>
      <w:bookmarkEnd w:id="11"/>
    </w:p>
    <w:p w14:paraId="10356360">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发包人（全称）：</w:t>
      </w:r>
      <w:r>
        <w:rPr>
          <w:rFonts w:hint="eastAsia" w:ascii="宋体" w:hAnsi="宋体" w:cs="仿宋"/>
          <w:bCs/>
          <w:sz w:val="24"/>
          <w:u w:val="single"/>
        </w:rPr>
        <w:t>浙商银行股份有限公司济南分行</w:t>
      </w:r>
    </w:p>
    <w:p w14:paraId="2A6DBA83">
      <w:pPr>
        <w:adjustRightInd w:val="0"/>
        <w:spacing w:line="500" w:lineRule="exact"/>
        <w:ind w:firstLine="480" w:firstLineChars="200"/>
        <w:contextualSpacing/>
        <w:rPr>
          <w:rFonts w:ascii="宋体" w:hAnsi="宋体" w:cs="仿宋"/>
          <w:bCs/>
          <w:sz w:val="24"/>
          <w:u w:val="single"/>
        </w:rPr>
      </w:pPr>
      <w:r>
        <w:rPr>
          <w:rFonts w:hint="eastAsia" w:ascii="宋体" w:hAnsi="宋体" w:cs="仿宋"/>
          <w:bCs/>
          <w:sz w:val="24"/>
        </w:rPr>
        <w:t>承包人（全称）：</w:t>
      </w:r>
    </w:p>
    <w:p w14:paraId="10FE9EC4">
      <w:pPr>
        <w:adjustRightInd w:val="0"/>
        <w:spacing w:line="500" w:lineRule="exact"/>
        <w:ind w:firstLine="480" w:firstLineChars="200"/>
        <w:contextualSpacing/>
        <w:rPr>
          <w:rFonts w:ascii="宋体" w:hAnsi="宋体" w:cs="仿宋"/>
          <w:sz w:val="24"/>
        </w:rPr>
      </w:pPr>
      <w:r>
        <w:rPr>
          <w:rFonts w:hint="eastAsia" w:ascii="宋体" w:hAnsi="宋体" w:cs="仿宋"/>
          <w:sz w:val="24"/>
        </w:rPr>
        <w:t>根据《中华人民共和国建筑法》等相关法律法规的规定，遵循平等、自愿、公平和诚实信用的原则，双方就</w:t>
      </w:r>
      <w:r>
        <w:rPr>
          <w:rFonts w:hint="eastAsia" w:ascii="宋体" w:hAnsi="宋体" w:cs="仿宋"/>
          <w:sz w:val="24"/>
          <w:u w:val="single"/>
        </w:rPr>
        <w:t>浙商银行股份有限公司潍坊分行同城支行</w:t>
      </w:r>
      <w:r>
        <w:rPr>
          <w:rFonts w:hint="eastAsia" w:ascii="宋体" w:hAnsi="宋体" w:cs="仿宋"/>
          <w:sz w:val="24"/>
          <w:u w:val="single"/>
          <w:lang w:val="en-US" w:eastAsia="zh-CN"/>
        </w:rPr>
        <w:t>弱电</w:t>
      </w:r>
      <w:r>
        <w:rPr>
          <w:rFonts w:hint="eastAsia" w:ascii="宋体" w:hAnsi="宋体" w:cs="仿宋"/>
          <w:sz w:val="24"/>
          <w:u w:val="single"/>
        </w:rPr>
        <w:t>工程采购项目</w:t>
      </w:r>
      <w:r>
        <w:rPr>
          <w:rFonts w:hint="eastAsia" w:ascii="宋体" w:hAnsi="宋体" w:cs="仿宋"/>
          <w:sz w:val="24"/>
        </w:rPr>
        <w:t>施工及有关事项协商一致，共同达成如下协议：</w:t>
      </w:r>
    </w:p>
    <w:p w14:paraId="046E3F69">
      <w:pPr>
        <w:adjustRightInd w:val="0"/>
        <w:spacing w:line="500" w:lineRule="exact"/>
        <w:ind w:firstLine="480" w:firstLineChars="200"/>
        <w:contextualSpacing/>
        <w:rPr>
          <w:rFonts w:ascii="宋体" w:hAnsi="宋体" w:cs="仿宋"/>
          <w:sz w:val="24"/>
        </w:rPr>
      </w:pPr>
      <w:r>
        <w:rPr>
          <w:rFonts w:hint="eastAsia" w:ascii="宋体" w:hAnsi="宋体" w:cs="仿宋"/>
          <w:sz w:val="24"/>
        </w:rPr>
        <w:t>一、工程概况</w:t>
      </w:r>
    </w:p>
    <w:p w14:paraId="2236766B">
      <w:pPr>
        <w:adjustRightInd w:val="0"/>
        <w:spacing w:line="500" w:lineRule="exact"/>
        <w:ind w:firstLine="480" w:firstLineChars="200"/>
        <w:contextualSpacing/>
        <w:rPr>
          <w:rFonts w:ascii="宋体" w:hAnsi="宋体" w:cs="仿宋"/>
          <w:sz w:val="24"/>
          <w:u w:val="single"/>
        </w:rPr>
      </w:pPr>
      <w:r>
        <w:rPr>
          <w:rFonts w:hint="eastAsia" w:ascii="宋体" w:hAnsi="宋体" w:cs="仿宋"/>
          <w:bCs/>
          <w:sz w:val="24"/>
        </w:rPr>
        <w:t>（一）工程名称</w:t>
      </w:r>
      <w:r>
        <w:rPr>
          <w:rFonts w:hint="eastAsia" w:ascii="宋体" w:hAnsi="宋体" w:cs="仿宋"/>
          <w:sz w:val="24"/>
        </w:rPr>
        <w:t>：</w:t>
      </w:r>
      <w:r>
        <w:rPr>
          <w:rFonts w:hint="eastAsia" w:ascii="宋体" w:hAnsi="宋体" w:cs="仿宋"/>
          <w:sz w:val="24"/>
          <w:u w:val="single"/>
        </w:rPr>
        <w:t>浙商银行股份有限公司潍坊分行同城支行</w:t>
      </w:r>
      <w:r>
        <w:rPr>
          <w:rFonts w:hint="eastAsia" w:ascii="宋体" w:hAnsi="宋体" w:cs="仿宋"/>
          <w:sz w:val="24"/>
          <w:u w:val="single"/>
          <w:lang w:val="en-US" w:eastAsia="zh-CN"/>
        </w:rPr>
        <w:t>弱电</w:t>
      </w:r>
      <w:r>
        <w:rPr>
          <w:rFonts w:hint="eastAsia" w:ascii="宋体" w:hAnsi="宋体" w:cs="仿宋"/>
          <w:sz w:val="24"/>
          <w:u w:val="single"/>
        </w:rPr>
        <w:t>工程采购项目</w:t>
      </w:r>
      <w:r>
        <w:rPr>
          <w:rFonts w:hint="eastAsia" w:ascii="宋体" w:hAnsi="宋体" w:cs="仿宋"/>
          <w:sz w:val="24"/>
        </w:rPr>
        <w:t>。</w:t>
      </w:r>
    </w:p>
    <w:p w14:paraId="482DD2E1">
      <w:pPr>
        <w:adjustRightInd w:val="0"/>
        <w:spacing w:line="500" w:lineRule="exact"/>
        <w:ind w:firstLine="480" w:firstLineChars="200"/>
        <w:contextualSpacing/>
        <w:rPr>
          <w:rFonts w:ascii="宋体" w:hAnsi="宋体" w:cs="仿宋"/>
          <w:sz w:val="24"/>
          <w:u w:val="single"/>
        </w:rPr>
      </w:pPr>
      <w:r>
        <w:rPr>
          <w:rFonts w:hint="eastAsia" w:ascii="宋体" w:hAnsi="宋体" w:cs="仿宋"/>
          <w:bCs/>
          <w:sz w:val="24"/>
        </w:rPr>
        <w:t>（二）工程地点：。</w:t>
      </w:r>
    </w:p>
    <w:p w14:paraId="0310040F">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（三）工程立项批准文号：</w:t>
      </w:r>
      <w:r>
        <w:rPr>
          <w:rFonts w:hint="eastAsia" w:ascii="宋体" w:hAnsi="宋体" w:cs="仿宋"/>
          <w:sz w:val="24"/>
          <w:u w:val="single"/>
        </w:rPr>
        <w:t xml:space="preserve">   /    </w:t>
      </w:r>
      <w:r>
        <w:rPr>
          <w:rFonts w:hint="eastAsia" w:ascii="宋体" w:hAnsi="宋体" w:cs="仿宋"/>
          <w:bCs/>
          <w:sz w:val="24"/>
        </w:rPr>
        <w:t>。</w:t>
      </w:r>
    </w:p>
    <w:p w14:paraId="3AD62F8B">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（四）资金来源：</w:t>
      </w:r>
      <w:r>
        <w:rPr>
          <w:rFonts w:hint="eastAsia" w:ascii="宋体" w:hAnsi="宋体" w:cs="仿宋"/>
          <w:sz w:val="24"/>
          <w:u w:val="single"/>
        </w:rPr>
        <w:t>自筹</w:t>
      </w:r>
      <w:r>
        <w:rPr>
          <w:rFonts w:hint="eastAsia" w:ascii="宋体" w:hAnsi="宋体" w:cs="仿宋"/>
          <w:bCs/>
          <w:sz w:val="24"/>
        </w:rPr>
        <w:t>。</w:t>
      </w:r>
    </w:p>
    <w:p w14:paraId="6F8EAE5D">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（五）工程内容：</w:t>
      </w:r>
      <w:r>
        <w:rPr>
          <w:rFonts w:hint="eastAsia" w:ascii="宋体" w:hAnsi="宋体" w:cs="仿宋"/>
          <w:sz w:val="24"/>
          <w:u w:val="single"/>
        </w:rPr>
        <w:t>施工图纸（含设计变更）、工程量清单、招标文件及招标答疑明确的工程内容等</w:t>
      </w:r>
      <w:r>
        <w:rPr>
          <w:rFonts w:hint="eastAsia" w:ascii="宋体" w:hAnsi="宋体" w:cs="仿宋"/>
          <w:bCs/>
          <w:sz w:val="24"/>
        </w:rPr>
        <w:t>。</w:t>
      </w:r>
    </w:p>
    <w:p w14:paraId="6EC65D4F">
      <w:pPr>
        <w:adjustRightInd w:val="0"/>
        <w:spacing w:line="500" w:lineRule="exact"/>
        <w:ind w:firstLine="480" w:firstLineChars="200"/>
        <w:contextualSpacing/>
        <w:rPr>
          <w:rFonts w:ascii="宋体" w:hAnsi="宋体" w:cs="仿宋"/>
          <w:bCs/>
          <w:sz w:val="24"/>
        </w:rPr>
      </w:pPr>
      <w:r>
        <w:rPr>
          <w:rFonts w:hint="eastAsia" w:ascii="宋体" w:hAnsi="宋体" w:cs="仿宋"/>
          <w:sz w:val="24"/>
        </w:rPr>
        <w:t>群体工程应附《承包人承揽工程项目一览表》（附件1）。</w:t>
      </w:r>
    </w:p>
    <w:p w14:paraId="526D663B">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（六）工程承包范围：</w:t>
      </w:r>
    </w:p>
    <w:p w14:paraId="0FCE7AAD">
      <w:pPr>
        <w:adjustRightInd w:val="0"/>
        <w:spacing w:line="500" w:lineRule="exact"/>
        <w:ind w:firstLine="480" w:firstLineChars="200"/>
        <w:contextualSpacing/>
        <w:rPr>
          <w:rFonts w:ascii="宋体" w:hAnsi="宋体" w:cs="仿宋"/>
          <w:bCs/>
          <w:sz w:val="24"/>
          <w:u w:val="single"/>
        </w:rPr>
      </w:pPr>
      <w:r>
        <w:rPr>
          <w:rFonts w:hint="eastAsia" w:ascii="宋体" w:hAnsi="宋体" w:cs="仿宋"/>
          <w:bCs/>
          <w:sz w:val="24"/>
          <w:u w:val="single"/>
        </w:rPr>
        <w:t>设计图纸范围内的所有弱电工程，具体设备的名称、型号、数量、品牌以招标人提供的图纸、工程量清单为准。</w:t>
      </w:r>
    </w:p>
    <w:p w14:paraId="1CBC5983">
      <w:pPr>
        <w:adjustRightInd w:val="0"/>
        <w:spacing w:line="500" w:lineRule="exact"/>
        <w:ind w:firstLine="480" w:firstLineChars="200"/>
        <w:contextualSpacing/>
        <w:rPr>
          <w:rFonts w:ascii="宋体" w:hAnsi="宋体" w:cs="仿宋"/>
          <w:sz w:val="24"/>
        </w:rPr>
      </w:pPr>
      <w:r>
        <w:rPr>
          <w:rFonts w:hint="eastAsia" w:ascii="宋体" w:hAnsi="宋体" w:cs="仿宋"/>
          <w:sz w:val="24"/>
        </w:rPr>
        <w:t>二、合同工期</w:t>
      </w:r>
    </w:p>
    <w:p w14:paraId="4E046C87">
      <w:pPr>
        <w:adjustRightInd w:val="0"/>
        <w:spacing w:line="500" w:lineRule="exact"/>
        <w:ind w:firstLine="480" w:firstLineChars="200"/>
        <w:contextualSpacing/>
        <w:rPr>
          <w:rFonts w:ascii="宋体" w:hAnsi="宋体" w:cs="仿宋"/>
          <w:sz w:val="24"/>
        </w:rPr>
      </w:pPr>
      <w:r>
        <w:rPr>
          <w:rFonts w:hint="eastAsia" w:ascii="宋体" w:hAnsi="宋体" w:cs="仿宋"/>
          <w:sz w:val="24"/>
        </w:rPr>
        <w:t>计划开工日期：年月日</w:t>
      </w:r>
      <w:r>
        <w:rPr>
          <w:rFonts w:hint="eastAsia" w:ascii="宋体" w:hAnsi="宋体" w:cs="仿宋"/>
          <w:sz w:val="24"/>
          <w:u w:val="single"/>
        </w:rPr>
        <w:t>（以开工报告日期为准）</w:t>
      </w:r>
      <w:r>
        <w:rPr>
          <w:rFonts w:hint="eastAsia" w:ascii="宋体" w:hAnsi="宋体" w:cs="仿宋"/>
          <w:sz w:val="24"/>
        </w:rPr>
        <w:t>。</w:t>
      </w:r>
    </w:p>
    <w:p w14:paraId="27DE6051">
      <w:pPr>
        <w:adjustRightInd w:val="0"/>
        <w:spacing w:line="500" w:lineRule="exact"/>
        <w:ind w:firstLine="480" w:firstLineChars="200"/>
        <w:contextualSpacing/>
        <w:rPr>
          <w:rFonts w:ascii="宋体" w:hAnsi="宋体" w:cs="仿宋"/>
          <w:sz w:val="24"/>
        </w:rPr>
      </w:pPr>
      <w:r>
        <w:rPr>
          <w:rFonts w:hint="eastAsia" w:ascii="宋体" w:hAnsi="宋体" w:cs="仿宋"/>
          <w:sz w:val="24"/>
        </w:rPr>
        <w:t>计划竣工日期：年月日。</w:t>
      </w:r>
    </w:p>
    <w:p w14:paraId="2FB37632">
      <w:pPr>
        <w:adjustRightInd w:val="0"/>
        <w:spacing w:line="500" w:lineRule="exact"/>
        <w:ind w:firstLine="480" w:firstLineChars="200"/>
        <w:contextualSpacing/>
        <w:rPr>
          <w:rFonts w:ascii="宋体" w:hAnsi="宋体" w:cs="仿宋"/>
          <w:sz w:val="24"/>
        </w:rPr>
      </w:pPr>
      <w:r>
        <w:rPr>
          <w:rFonts w:hint="eastAsia" w:ascii="宋体" w:hAnsi="宋体" w:cs="仿宋"/>
          <w:sz w:val="24"/>
        </w:rPr>
        <w:t>工期总日历天数：天。工期总日历天数与根据前述计划开竣工日期计算的工期天数不一致的，以工期总日历天数为准。</w:t>
      </w:r>
    </w:p>
    <w:p w14:paraId="3D4F4AAA">
      <w:pPr>
        <w:adjustRightInd w:val="0"/>
        <w:spacing w:line="500" w:lineRule="exact"/>
        <w:ind w:firstLine="480" w:firstLineChars="200"/>
        <w:contextualSpacing/>
        <w:rPr>
          <w:rFonts w:ascii="宋体" w:hAnsi="宋体" w:cs="仿宋"/>
          <w:sz w:val="24"/>
        </w:rPr>
      </w:pPr>
      <w:r>
        <w:rPr>
          <w:rFonts w:hint="eastAsia" w:ascii="宋体" w:hAnsi="宋体" w:cs="仿宋"/>
          <w:sz w:val="24"/>
        </w:rPr>
        <w:t>三、质量标准</w:t>
      </w:r>
    </w:p>
    <w:p w14:paraId="4B4CD5E7">
      <w:pPr>
        <w:adjustRightInd w:val="0"/>
        <w:spacing w:line="500" w:lineRule="exact"/>
        <w:ind w:firstLine="480" w:firstLineChars="200"/>
        <w:contextualSpacing/>
        <w:rPr>
          <w:rFonts w:ascii="宋体" w:hAnsi="宋体" w:cs="仿宋"/>
          <w:spacing w:val="-6"/>
          <w:sz w:val="24"/>
        </w:rPr>
      </w:pPr>
      <w:r>
        <w:rPr>
          <w:rFonts w:hint="eastAsia" w:ascii="宋体" w:hAnsi="宋体" w:cs="仿宋"/>
          <w:sz w:val="24"/>
        </w:rPr>
        <w:t>工程质量</w:t>
      </w:r>
      <w:r>
        <w:rPr>
          <w:rFonts w:hint="eastAsia" w:ascii="宋体" w:hAnsi="宋体" w:cs="仿宋"/>
          <w:spacing w:val="-6"/>
          <w:sz w:val="24"/>
          <w:u w:val="single"/>
        </w:rPr>
        <w:t>符合《建筑工程施工质量验收统一标准》 GB50300-2018</w:t>
      </w:r>
      <w:r>
        <w:rPr>
          <w:rFonts w:hint="eastAsia" w:ascii="宋体" w:hAnsi="宋体" w:cs="仿宋"/>
          <w:spacing w:val="-6"/>
          <w:sz w:val="24"/>
        </w:rPr>
        <w:t>“合格”标准。</w:t>
      </w:r>
    </w:p>
    <w:p w14:paraId="7B22D24D">
      <w:pPr>
        <w:adjustRightInd w:val="0"/>
        <w:spacing w:line="500" w:lineRule="exact"/>
        <w:ind w:firstLine="480" w:firstLineChars="200"/>
        <w:contextualSpacing/>
        <w:rPr>
          <w:rFonts w:ascii="宋体" w:hAnsi="宋体" w:cs="仿宋"/>
          <w:sz w:val="24"/>
        </w:rPr>
      </w:pPr>
      <w:r>
        <w:rPr>
          <w:rFonts w:hint="eastAsia" w:ascii="宋体" w:hAnsi="宋体" w:cs="仿宋"/>
          <w:sz w:val="24"/>
        </w:rPr>
        <w:t>四、签约合同价与合同价格形式</w:t>
      </w:r>
      <w:r>
        <w:rPr>
          <w:rFonts w:hint="eastAsia" w:ascii="宋体" w:hAnsi="宋体" w:cs="仿宋"/>
          <w:sz w:val="24"/>
        </w:rPr>
        <w:tab/>
      </w:r>
    </w:p>
    <w:p w14:paraId="3AC4ACC2">
      <w:pPr>
        <w:adjustRightInd w:val="0"/>
        <w:spacing w:line="500" w:lineRule="exact"/>
        <w:ind w:firstLine="480" w:firstLineChars="200"/>
        <w:contextualSpacing/>
        <w:rPr>
          <w:rFonts w:ascii="宋体" w:hAnsi="宋体"/>
          <w:sz w:val="24"/>
        </w:rPr>
      </w:pPr>
      <w:r>
        <w:rPr>
          <w:rFonts w:ascii="宋体" w:hAnsi="宋体"/>
          <w:sz w:val="24"/>
        </w:rPr>
        <w:t>合同价款（或报价单金额）为：含税价人民币</w:t>
      </w:r>
      <w:r>
        <w:rPr>
          <w:rFonts w:hint="eastAsia" w:ascii="宋体" w:hAnsi="宋体"/>
          <w:sz w:val="24"/>
        </w:rPr>
        <w:t>（大写）</w:t>
      </w:r>
      <w:r>
        <w:rPr>
          <w:rFonts w:hint="eastAsia" w:ascii="宋体" w:hAnsi="宋体" w:cs="仿宋"/>
          <w:sz w:val="24"/>
        </w:rPr>
        <w:t>(</w:t>
      </w:r>
      <w:r>
        <w:rPr>
          <w:rFonts w:hint="eastAsia" w:ascii="宋体" w:hAnsi="宋体" w:cs="宋体"/>
          <w:sz w:val="24"/>
        </w:rPr>
        <w:t>¥</w:t>
      </w:r>
      <w:r>
        <w:rPr>
          <w:rFonts w:hint="eastAsia" w:ascii="宋体" w:hAnsi="宋体" w:cs="仿宋"/>
          <w:sz w:val="24"/>
        </w:rPr>
        <w:t>元)</w:t>
      </w:r>
      <w:r>
        <w:rPr>
          <w:rFonts w:ascii="宋体" w:hAnsi="宋体"/>
          <w:sz w:val="24"/>
        </w:rPr>
        <w:t>，包括不含税价款人民币</w:t>
      </w:r>
      <w:r>
        <w:rPr>
          <w:rFonts w:hint="eastAsia" w:ascii="宋体" w:hAnsi="宋体"/>
          <w:sz w:val="24"/>
        </w:rPr>
        <w:t>（大写）</w:t>
      </w:r>
      <w:r>
        <w:rPr>
          <w:rFonts w:hint="eastAsia" w:ascii="宋体" w:hAnsi="宋体" w:cs="仿宋"/>
          <w:sz w:val="24"/>
        </w:rPr>
        <w:t>(</w:t>
      </w:r>
      <w:r>
        <w:rPr>
          <w:rFonts w:hint="eastAsia" w:ascii="宋体" w:hAnsi="宋体" w:cs="宋体"/>
          <w:sz w:val="24"/>
        </w:rPr>
        <w:t>¥</w:t>
      </w:r>
      <w:r>
        <w:rPr>
          <w:rFonts w:hint="eastAsia" w:ascii="宋体" w:hAnsi="宋体" w:cs="仿宋"/>
          <w:sz w:val="24"/>
        </w:rPr>
        <w:t>元)</w:t>
      </w:r>
      <w:r>
        <w:rPr>
          <w:rFonts w:ascii="宋体" w:hAnsi="宋体"/>
          <w:sz w:val="24"/>
        </w:rPr>
        <w:t>，以及增值税款人民币</w:t>
      </w:r>
      <w:r>
        <w:rPr>
          <w:rFonts w:hint="eastAsia" w:ascii="宋体" w:hAnsi="宋体"/>
          <w:sz w:val="24"/>
        </w:rPr>
        <w:t>（大写）</w:t>
      </w:r>
      <w:r>
        <w:rPr>
          <w:rFonts w:hint="eastAsia" w:ascii="宋体" w:hAnsi="宋体" w:cs="仿宋"/>
          <w:sz w:val="24"/>
        </w:rPr>
        <w:t>(</w:t>
      </w:r>
      <w:r>
        <w:rPr>
          <w:rFonts w:hint="eastAsia" w:ascii="宋体" w:hAnsi="宋体" w:cs="宋体"/>
          <w:sz w:val="24"/>
        </w:rPr>
        <w:t>¥</w:t>
      </w:r>
      <w:r>
        <w:rPr>
          <w:rFonts w:hint="eastAsia" w:ascii="宋体" w:hAnsi="宋体" w:cs="仿宋"/>
          <w:sz w:val="24"/>
        </w:rPr>
        <w:t>元)</w:t>
      </w:r>
      <w:r>
        <w:rPr>
          <w:rFonts w:ascii="宋体" w:hAnsi="宋体"/>
          <w:sz w:val="24"/>
        </w:rPr>
        <w:t>。</w:t>
      </w:r>
    </w:p>
    <w:p w14:paraId="6D893018">
      <w:pPr>
        <w:spacing w:line="500" w:lineRule="exact"/>
        <w:ind w:firstLine="480" w:firstLineChars="200"/>
        <w:contextualSpacing/>
        <w:rPr>
          <w:rFonts w:ascii="宋体" w:hAnsi="宋体"/>
          <w:bCs/>
          <w:sz w:val="24"/>
        </w:rPr>
      </w:pPr>
      <w:r>
        <w:rPr>
          <w:rFonts w:hint="eastAsia" w:ascii="宋体" w:hAnsi="宋体"/>
          <w:sz w:val="24"/>
        </w:rPr>
        <w:t>付款时承包人需提供对等金额发票，应为增值税专用发票，若因国家税法规定导致的税率调整，则按本合同签约金额约定的不含税价款以及国家规定的增值税适用税率计算含税价。</w:t>
      </w:r>
    </w:p>
    <w:p w14:paraId="7ABCD318">
      <w:pPr>
        <w:adjustRightInd w:val="0"/>
        <w:spacing w:line="500" w:lineRule="exact"/>
        <w:ind w:firstLine="480" w:firstLineChars="200"/>
        <w:contextualSpacing/>
        <w:rPr>
          <w:rFonts w:ascii="宋体" w:hAnsi="宋体" w:cs="仿宋"/>
          <w:sz w:val="24"/>
        </w:rPr>
      </w:pPr>
      <w:r>
        <w:rPr>
          <w:rFonts w:hint="eastAsia" w:ascii="宋体" w:hAnsi="宋体" w:cs="仿宋"/>
          <w:sz w:val="24"/>
        </w:rPr>
        <w:t>其中：</w:t>
      </w:r>
    </w:p>
    <w:p w14:paraId="6DA197E4">
      <w:pPr>
        <w:adjustRightInd w:val="0"/>
        <w:spacing w:line="500" w:lineRule="exact"/>
        <w:ind w:firstLine="480" w:firstLineChars="200"/>
        <w:contextualSpacing/>
        <w:rPr>
          <w:rFonts w:ascii="宋体" w:hAnsi="宋体" w:cs="仿宋"/>
          <w:sz w:val="24"/>
        </w:rPr>
      </w:pPr>
      <w:r>
        <w:rPr>
          <w:rFonts w:hint="eastAsia" w:ascii="宋体" w:hAnsi="宋体" w:cs="仿宋"/>
          <w:sz w:val="24"/>
        </w:rPr>
        <w:t>（1）安全文明施工费：</w:t>
      </w:r>
    </w:p>
    <w:p w14:paraId="1625BF0F">
      <w:pPr>
        <w:adjustRightInd w:val="0"/>
        <w:spacing w:line="500" w:lineRule="exact"/>
        <w:ind w:firstLine="480" w:firstLineChars="200"/>
        <w:contextualSpacing/>
        <w:rPr>
          <w:rFonts w:ascii="宋体" w:hAnsi="宋体" w:cs="仿宋"/>
          <w:sz w:val="24"/>
        </w:rPr>
      </w:pPr>
      <w:r>
        <w:rPr>
          <w:rFonts w:hint="eastAsia" w:ascii="宋体" w:hAnsi="宋体" w:cs="仿宋"/>
          <w:sz w:val="24"/>
        </w:rPr>
        <w:t>人民币（大写）(</w:t>
      </w:r>
      <w:r>
        <w:rPr>
          <w:rFonts w:hint="eastAsia" w:ascii="宋体" w:hAnsi="宋体" w:cs="宋体"/>
          <w:sz w:val="24"/>
        </w:rPr>
        <w:t>¥</w:t>
      </w:r>
      <w:r>
        <w:rPr>
          <w:rFonts w:hint="eastAsia" w:ascii="宋体" w:hAnsi="宋体" w:cs="仿宋"/>
          <w:sz w:val="24"/>
        </w:rPr>
        <w:t>元)。</w:t>
      </w:r>
    </w:p>
    <w:p w14:paraId="21947C61">
      <w:pPr>
        <w:adjustRightInd w:val="0"/>
        <w:spacing w:line="500" w:lineRule="exact"/>
        <w:ind w:firstLine="480" w:firstLineChars="200"/>
        <w:contextualSpacing/>
        <w:rPr>
          <w:rFonts w:ascii="宋体" w:hAnsi="宋体" w:cs="仿宋"/>
          <w:sz w:val="24"/>
        </w:rPr>
      </w:pPr>
      <w:r>
        <w:rPr>
          <w:rFonts w:hint="eastAsia" w:ascii="宋体" w:hAnsi="宋体" w:cs="仿宋"/>
          <w:sz w:val="24"/>
        </w:rPr>
        <w:t>（</w:t>
      </w:r>
      <w:r>
        <w:rPr>
          <w:rFonts w:ascii="宋体" w:hAnsi="宋体" w:cs="仿宋"/>
          <w:sz w:val="24"/>
        </w:rPr>
        <w:t>2）材料和工程设备暂估价金额：</w:t>
      </w:r>
    </w:p>
    <w:p w14:paraId="636415DD">
      <w:pPr>
        <w:adjustRightInd w:val="0"/>
        <w:spacing w:line="500" w:lineRule="exact"/>
        <w:ind w:firstLine="480" w:firstLineChars="200"/>
        <w:contextualSpacing/>
        <w:rPr>
          <w:rFonts w:ascii="宋体" w:hAnsi="宋体" w:cs="仿宋"/>
          <w:sz w:val="24"/>
        </w:rPr>
      </w:pPr>
      <w:r>
        <w:rPr>
          <w:rFonts w:hint="eastAsia" w:ascii="宋体" w:hAnsi="宋体" w:cs="仿宋"/>
          <w:sz w:val="24"/>
        </w:rPr>
        <w:t>人民币（大写）(</w:t>
      </w:r>
      <w:r>
        <w:rPr>
          <w:rFonts w:hint="eastAsia" w:ascii="宋体" w:hAnsi="宋体" w:cs="宋体"/>
          <w:sz w:val="24"/>
        </w:rPr>
        <w:t>¥</w:t>
      </w:r>
      <w:r>
        <w:rPr>
          <w:rFonts w:hint="eastAsia" w:ascii="宋体" w:hAnsi="宋体" w:cs="仿宋"/>
          <w:sz w:val="24"/>
        </w:rPr>
        <w:t>元)。</w:t>
      </w:r>
    </w:p>
    <w:p w14:paraId="1A2C353C">
      <w:pPr>
        <w:adjustRightInd w:val="0"/>
        <w:spacing w:line="500" w:lineRule="exact"/>
        <w:ind w:firstLine="480" w:firstLineChars="200"/>
        <w:contextualSpacing/>
        <w:rPr>
          <w:rFonts w:ascii="宋体" w:hAnsi="宋体" w:cs="仿宋"/>
          <w:sz w:val="24"/>
        </w:rPr>
      </w:pPr>
      <w:r>
        <w:rPr>
          <w:rFonts w:hint="eastAsia" w:ascii="宋体" w:hAnsi="宋体" w:cs="仿宋"/>
          <w:sz w:val="24"/>
        </w:rPr>
        <w:t>（</w:t>
      </w:r>
      <w:r>
        <w:rPr>
          <w:rFonts w:ascii="宋体" w:hAnsi="宋体" w:cs="仿宋"/>
          <w:sz w:val="24"/>
        </w:rPr>
        <w:t>3）专业工程暂估价金额：</w:t>
      </w:r>
    </w:p>
    <w:p w14:paraId="1712279E">
      <w:pPr>
        <w:adjustRightInd w:val="0"/>
        <w:spacing w:line="500" w:lineRule="exact"/>
        <w:ind w:firstLine="480" w:firstLineChars="200"/>
        <w:contextualSpacing/>
        <w:rPr>
          <w:rFonts w:ascii="宋体" w:hAnsi="宋体" w:cs="仿宋"/>
          <w:sz w:val="24"/>
        </w:rPr>
      </w:pPr>
      <w:r>
        <w:rPr>
          <w:rFonts w:hint="eastAsia" w:ascii="宋体" w:hAnsi="宋体" w:cs="仿宋"/>
          <w:sz w:val="24"/>
        </w:rPr>
        <w:t>人民币（大写）(</w:t>
      </w:r>
      <w:r>
        <w:rPr>
          <w:rFonts w:hint="eastAsia" w:ascii="宋体" w:hAnsi="宋体" w:cs="宋体"/>
          <w:sz w:val="24"/>
        </w:rPr>
        <w:t>¥</w:t>
      </w:r>
      <w:r>
        <w:rPr>
          <w:rFonts w:hint="eastAsia" w:ascii="宋体" w:hAnsi="宋体" w:cs="仿宋"/>
          <w:sz w:val="24"/>
        </w:rPr>
        <w:t>元)。</w:t>
      </w:r>
    </w:p>
    <w:p w14:paraId="10441DC7">
      <w:pPr>
        <w:adjustRightInd w:val="0"/>
        <w:spacing w:line="500" w:lineRule="exact"/>
        <w:ind w:firstLine="480" w:firstLineChars="200"/>
        <w:contextualSpacing/>
        <w:rPr>
          <w:rFonts w:ascii="宋体" w:hAnsi="宋体" w:cs="仿宋"/>
          <w:sz w:val="24"/>
        </w:rPr>
      </w:pPr>
      <w:r>
        <w:rPr>
          <w:rFonts w:hint="eastAsia" w:ascii="宋体" w:hAnsi="宋体" w:cs="仿宋"/>
          <w:sz w:val="24"/>
        </w:rPr>
        <w:t>（4）暂列金额：</w:t>
      </w:r>
    </w:p>
    <w:p w14:paraId="688BB2F8">
      <w:pPr>
        <w:adjustRightInd w:val="0"/>
        <w:spacing w:line="500" w:lineRule="exact"/>
        <w:ind w:firstLine="480" w:firstLineChars="200"/>
        <w:contextualSpacing/>
        <w:rPr>
          <w:rFonts w:ascii="宋体" w:hAnsi="宋体" w:cs="仿宋"/>
          <w:sz w:val="24"/>
        </w:rPr>
      </w:pPr>
      <w:r>
        <w:rPr>
          <w:rFonts w:hint="eastAsia" w:ascii="宋体" w:hAnsi="宋体" w:cs="仿宋"/>
          <w:sz w:val="24"/>
        </w:rPr>
        <w:t>人民币（大写）(</w:t>
      </w:r>
      <w:r>
        <w:rPr>
          <w:rFonts w:hint="eastAsia" w:ascii="宋体" w:hAnsi="宋体" w:cs="宋体"/>
          <w:sz w:val="24"/>
        </w:rPr>
        <w:t>¥</w:t>
      </w:r>
      <w:r>
        <w:rPr>
          <w:rFonts w:hint="eastAsia" w:ascii="宋体" w:hAnsi="宋体" w:cs="仿宋"/>
          <w:sz w:val="24"/>
        </w:rPr>
        <w:t>元)。</w:t>
      </w:r>
    </w:p>
    <w:p w14:paraId="2B35E887">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合同价格形式：</w:t>
      </w:r>
      <w:r>
        <w:rPr>
          <w:rFonts w:hint="eastAsia" w:ascii="宋体" w:hAnsi="宋体" w:cs="仿宋"/>
          <w:sz w:val="24"/>
          <w:u w:val="single"/>
        </w:rPr>
        <w:t>固定单价</w:t>
      </w:r>
      <w:r>
        <w:rPr>
          <w:rFonts w:hint="eastAsia" w:ascii="宋体" w:hAnsi="宋体" w:cs="仿宋"/>
          <w:sz w:val="24"/>
        </w:rPr>
        <w:t>。</w:t>
      </w:r>
    </w:p>
    <w:p w14:paraId="6EE1C40B">
      <w:pPr>
        <w:adjustRightInd w:val="0"/>
        <w:spacing w:line="500" w:lineRule="exact"/>
        <w:ind w:firstLine="480" w:firstLineChars="200"/>
        <w:contextualSpacing/>
        <w:rPr>
          <w:rFonts w:hint="eastAsia" w:ascii="宋体" w:hAnsi="宋体" w:cs="仿宋"/>
          <w:sz w:val="24"/>
        </w:rPr>
      </w:pPr>
      <w:r>
        <w:rPr>
          <w:rFonts w:hint="eastAsia" w:ascii="宋体" w:hAnsi="宋体" w:cs="仿宋"/>
          <w:sz w:val="24"/>
        </w:rPr>
        <w:t>合同价款支付：</w:t>
      </w:r>
    </w:p>
    <w:p w14:paraId="1C7CCD2E">
      <w:pPr>
        <w:adjustRightInd w:val="0"/>
        <w:spacing w:line="500" w:lineRule="exact"/>
        <w:ind w:firstLine="480" w:firstLineChars="200"/>
        <w:contextualSpacing/>
        <w:rPr>
          <w:rFonts w:hint="eastAsia" w:ascii="宋体" w:hAnsi="宋体" w:eastAsia="宋体" w:cs="仿宋"/>
          <w:sz w:val="24"/>
          <w:u w:val="single"/>
          <w:lang w:eastAsia="zh-CN"/>
        </w:rPr>
      </w:pPr>
      <w:r>
        <w:rPr>
          <w:rFonts w:hint="eastAsia" w:ascii="宋体" w:hAnsi="宋体" w:cs="仿宋"/>
          <w:sz w:val="24"/>
          <w:u w:val="single"/>
        </w:rPr>
        <w:t>开户行</w:t>
      </w:r>
    </w:p>
    <w:p w14:paraId="3314320D">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账号</w:t>
      </w:r>
    </w:p>
    <w:p w14:paraId="54E786E1">
      <w:pPr>
        <w:adjustRightInd w:val="0"/>
        <w:spacing w:line="500" w:lineRule="exact"/>
        <w:ind w:firstLine="480" w:firstLineChars="200"/>
        <w:contextualSpacing/>
        <w:rPr>
          <w:rFonts w:ascii="宋体" w:hAnsi="宋体" w:cs="仿宋"/>
          <w:sz w:val="24"/>
        </w:rPr>
      </w:pPr>
      <w:r>
        <w:rPr>
          <w:rFonts w:hint="eastAsia" w:ascii="宋体" w:hAnsi="宋体" w:cs="仿宋"/>
          <w:sz w:val="24"/>
        </w:rPr>
        <w:t>五、项目经理</w:t>
      </w:r>
    </w:p>
    <w:p w14:paraId="7AFC986F">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承包人项目经理：</w:t>
      </w:r>
      <w:r>
        <w:rPr>
          <w:rFonts w:hint="eastAsia" w:ascii="宋体" w:hAnsi="宋体" w:cs="仿宋"/>
          <w:sz w:val="24"/>
          <w:u w:val="single"/>
        </w:rPr>
        <w:t></w:t>
      </w:r>
      <w:r>
        <w:rPr>
          <w:rFonts w:hint="eastAsia" w:ascii="宋体" w:hAnsi="宋体" w:cs="仿宋"/>
          <w:sz w:val="24"/>
        </w:rPr>
        <w:t>。</w:t>
      </w:r>
    </w:p>
    <w:p w14:paraId="16B2387D">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承包人项目执行经理：</w:t>
      </w:r>
      <w:r>
        <w:rPr>
          <w:rFonts w:hint="eastAsia" w:ascii="宋体" w:hAnsi="宋体" w:cs="仿宋"/>
          <w:sz w:val="24"/>
          <w:u w:val="single"/>
        </w:rPr>
        <w:t></w:t>
      </w:r>
      <w:r>
        <w:rPr>
          <w:rFonts w:hint="eastAsia" w:ascii="宋体" w:hAnsi="宋体" w:cs="仿宋"/>
          <w:sz w:val="24"/>
        </w:rPr>
        <w:t>。</w:t>
      </w:r>
    </w:p>
    <w:p w14:paraId="5F815632">
      <w:pPr>
        <w:adjustRightInd w:val="0"/>
        <w:spacing w:line="500" w:lineRule="exact"/>
        <w:ind w:firstLine="480" w:firstLineChars="200"/>
        <w:contextualSpacing/>
        <w:rPr>
          <w:rFonts w:ascii="宋体" w:hAnsi="宋体" w:cs="仿宋"/>
          <w:sz w:val="24"/>
        </w:rPr>
      </w:pPr>
      <w:r>
        <w:rPr>
          <w:rFonts w:hint="eastAsia" w:ascii="宋体" w:hAnsi="宋体" w:cs="仿宋"/>
          <w:sz w:val="24"/>
        </w:rPr>
        <w:t>六、合同文件构成</w:t>
      </w:r>
    </w:p>
    <w:p w14:paraId="37957F9E">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本协议书与下列文件一起构成合同文件：</w:t>
      </w:r>
    </w:p>
    <w:p w14:paraId="507AF3A1">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（1）中标通知书（如果有）。</w:t>
      </w:r>
    </w:p>
    <w:p w14:paraId="1F42FAC3">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（2）投标函及其附录（如果有）。</w:t>
      </w:r>
    </w:p>
    <w:p w14:paraId="15CFA2AC">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（3）专用合同条款及其附件。</w:t>
      </w:r>
    </w:p>
    <w:p w14:paraId="424B233D">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（4）通用合同条款。</w:t>
      </w:r>
    </w:p>
    <w:p w14:paraId="7BBB70E1">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（5）技术标准和要求。</w:t>
      </w:r>
    </w:p>
    <w:p w14:paraId="60AD1A33">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（6）图纸。</w:t>
      </w:r>
    </w:p>
    <w:p w14:paraId="791AD9C5">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（7）已标价工程量清单或预算书。</w:t>
      </w:r>
    </w:p>
    <w:p w14:paraId="33A0CFAE">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（8）其他合同文件。</w:t>
      </w:r>
    </w:p>
    <w:p w14:paraId="1603C9FD">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p>
    <w:p w14:paraId="5F2467C8">
      <w:pPr>
        <w:adjustRightInd w:val="0"/>
        <w:spacing w:line="500" w:lineRule="exact"/>
        <w:ind w:firstLine="480" w:firstLineChars="200"/>
        <w:contextualSpacing/>
        <w:rPr>
          <w:rFonts w:ascii="宋体" w:hAnsi="宋体" w:cs="仿宋"/>
          <w:sz w:val="24"/>
        </w:rPr>
      </w:pPr>
      <w:r>
        <w:rPr>
          <w:rFonts w:hint="eastAsia" w:ascii="宋体" w:hAnsi="宋体" w:cs="仿宋"/>
          <w:sz w:val="24"/>
        </w:rPr>
        <w:t>七、承诺</w:t>
      </w:r>
    </w:p>
    <w:p w14:paraId="662B4197">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1.发包人承诺按照法律规定履行项目审批手续、筹集工程建设资金并按照合同约定的期限和方式支付合同价款。</w:t>
      </w:r>
    </w:p>
    <w:p w14:paraId="347B5087">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2.承包人承诺按照法律规定及合同约定组织完成工程施工，确保工程质量和安全，不进行转包及违法分包，并在缺陷责任期及保修期内承担相应的工程维修责任。</w:t>
      </w:r>
    </w:p>
    <w:p w14:paraId="30F36D6F">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3.发包人和承包人通过招投标形式签订合同的，双方理解并承诺不再就同一工程另行签订与合同实质性内容相背离的协议。</w:t>
      </w:r>
    </w:p>
    <w:p w14:paraId="2A33A7F6">
      <w:pPr>
        <w:adjustRightInd w:val="0"/>
        <w:spacing w:line="500" w:lineRule="exact"/>
        <w:ind w:firstLine="480" w:firstLineChars="200"/>
        <w:contextualSpacing/>
        <w:rPr>
          <w:rFonts w:ascii="宋体" w:hAnsi="宋体" w:cs="仿宋"/>
          <w:bCs/>
          <w:sz w:val="24"/>
        </w:rPr>
      </w:pPr>
      <w:r>
        <w:rPr>
          <w:rFonts w:hint="eastAsia" w:ascii="宋体" w:hAnsi="宋体" w:cs="仿宋"/>
          <w:sz w:val="24"/>
        </w:rPr>
        <w:t>八、词语含义</w:t>
      </w:r>
    </w:p>
    <w:p w14:paraId="202C396B">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本协议书中词语含义与第二部分通用合同条款中赋予的含义相同。</w:t>
      </w:r>
    </w:p>
    <w:p w14:paraId="47155DB2">
      <w:pPr>
        <w:adjustRightInd w:val="0"/>
        <w:spacing w:line="500" w:lineRule="exact"/>
        <w:ind w:firstLine="480" w:firstLineChars="200"/>
        <w:contextualSpacing/>
        <w:rPr>
          <w:rFonts w:ascii="宋体" w:hAnsi="宋体" w:cs="仿宋"/>
          <w:sz w:val="24"/>
        </w:rPr>
      </w:pPr>
      <w:r>
        <w:rPr>
          <w:rFonts w:hint="eastAsia" w:ascii="宋体" w:hAnsi="宋体" w:cs="仿宋"/>
          <w:sz w:val="24"/>
        </w:rPr>
        <w:t>九、签订时间</w:t>
      </w:r>
    </w:p>
    <w:p w14:paraId="7F10EDA9">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本合同于年月日签订。</w:t>
      </w:r>
    </w:p>
    <w:p w14:paraId="62E3E0E3">
      <w:pPr>
        <w:adjustRightInd w:val="0"/>
        <w:spacing w:line="500" w:lineRule="exact"/>
        <w:ind w:firstLine="480" w:firstLineChars="200"/>
        <w:contextualSpacing/>
        <w:rPr>
          <w:rFonts w:ascii="宋体" w:hAnsi="宋体" w:cs="仿宋"/>
          <w:sz w:val="24"/>
        </w:rPr>
      </w:pPr>
      <w:r>
        <w:rPr>
          <w:rFonts w:hint="eastAsia" w:ascii="宋体" w:hAnsi="宋体" w:cs="仿宋"/>
          <w:sz w:val="24"/>
        </w:rPr>
        <w:t>十、签订地点</w:t>
      </w:r>
    </w:p>
    <w:p w14:paraId="66FE6A1C">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本合同在签订。</w:t>
      </w:r>
    </w:p>
    <w:p w14:paraId="71178D53">
      <w:pPr>
        <w:adjustRightInd w:val="0"/>
        <w:spacing w:line="500" w:lineRule="exact"/>
        <w:ind w:firstLine="480" w:firstLineChars="200"/>
        <w:contextualSpacing/>
        <w:rPr>
          <w:rFonts w:ascii="宋体" w:hAnsi="宋体" w:cs="仿宋"/>
          <w:sz w:val="24"/>
        </w:rPr>
      </w:pPr>
      <w:r>
        <w:rPr>
          <w:rFonts w:hint="eastAsia" w:ascii="宋体" w:hAnsi="宋体" w:cs="仿宋"/>
          <w:sz w:val="24"/>
        </w:rPr>
        <w:t>十一、补充协议</w:t>
      </w:r>
    </w:p>
    <w:p w14:paraId="60BDF479">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合同未尽事宜，合同当事人另行签订补充协议，补充协议是合同的组成部分。</w:t>
      </w:r>
    </w:p>
    <w:p w14:paraId="6030C55A">
      <w:pPr>
        <w:adjustRightInd w:val="0"/>
        <w:spacing w:line="500" w:lineRule="exact"/>
        <w:ind w:firstLine="480" w:firstLineChars="200"/>
        <w:contextualSpacing/>
        <w:rPr>
          <w:rFonts w:ascii="宋体" w:hAnsi="宋体" w:cs="仿宋"/>
          <w:sz w:val="24"/>
        </w:rPr>
      </w:pPr>
      <w:r>
        <w:rPr>
          <w:rFonts w:hint="eastAsia" w:ascii="宋体" w:hAnsi="宋体" w:cs="仿宋"/>
          <w:sz w:val="24"/>
        </w:rPr>
        <w:t>十二、合同生效</w:t>
      </w:r>
    </w:p>
    <w:p w14:paraId="4FF4EFF9">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本合同自</w:t>
      </w:r>
      <w:r>
        <w:rPr>
          <w:rFonts w:hint="eastAsia" w:ascii="宋体" w:hAnsi="宋体" w:cs="仿宋"/>
          <w:bCs/>
          <w:sz w:val="24"/>
          <w:u w:val="single"/>
        </w:rPr>
        <w:t>双方法定代表人或授权代理人签字并加盖公章或合同专用章后</w:t>
      </w:r>
      <w:r>
        <w:rPr>
          <w:rFonts w:hint="eastAsia" w:ascii="宋体" w:hAnsi="宋体" w:cs="仿宋"/>
          <w:bCs/>
          <w:sz w:val="24"/>
        </w:rPr>
        <w:t>生效。</w:t>
      </w:r>
    </w:p>
    <w:p w14:paraId="0BF1C418">
      <w:pPr>
        <w:adjustRightInd w:val="0"/>
        <w:spacing w:line="500" w:lineRule="exact"/>
        <w:ind w:firstLine="480" w:firstLineChars="200"/>
        <w:contextualSpacing/>
        <w:rPr>
          <w:rFonts w:ascii="宋体" w:hAnsi="宋体" w:cs="仿宋"/>
          <w:sz w:val="24"/>
        </w:rPr>
      </w:pPr>
      <w:r>
        <w:rPr>
          <w:rFonts w:hint="eastAsia" w:ascii="宋体" w:hAnsi="宋体" w:cs="仿宋"/>
          <w:sz w:val="24"/>
        </w:rPr>
        <w:t>十三、合同份数</w:t>
      </w:r>
    </w:p>
    <w:p w14:paraId="5F9E5CEB">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本合同一式</w:t>
      </w:r>
      <w:r>
        <w:rPr>
          <w:rFonts w:hint="eastAsia" w:ascii="宋体" w:hAnsi="宋体" w:cs="仿宋"/>
          <w:bCs/>
          <w:sz w:val="24"/>
          <w:u w:val="single"/>
        </w:rPr>
        <w:t>捌</w:t>
      </w:r>
      <w:r>
        <w:rPr>
          <w:rFonts w:hint="eastAsia" w:ascii="宋体" w:hAnsi="宋体" w:cs="仿宋"/>
          <w:bCs/>
          <w:sz w:val="24"/>
        </w:rPr>
        <w:t>份，正本</w:t>
      </w:r>
      <w:r>
        <w:rPr>
          <w:rFonts w:hint="eastAsia" w:ascii="宋体" w:hAnsi="宋体" w:cs="仿宋"/>
          <w:bCs/>
          <w:sz w:val="24"/>
          <w:u w:val="single"/>
        </w:rPr>
        <w:t>贰</w:t>
      </w:r>
      <w:r>
        <w:rPr>
          <w:rFonts w:hint="eastAsia" w:ascii="宋体" w:hAnsi="宋体" w:cs="仿宋"/>
          <w:bCs/>
          <w:sz w:val="24"/>
        </w:rPr>
        <w:t>份，副本</w:t>
      </w:r>
      <w:r>
        <w:rPr>
          <w:rFonts w:hint="eastAsia" w:ascii="宋体" w:hAnsi="宋体" w:cs="仿宋"/>
          <w:bCs/>
          <w:sz w:val="24"/>
          <w:u w:val="single"/>
        </w:rPr>
        <w:t>陆</w:t>
      </w:r>
      <w:r>
        <w:rPr>
          <w:rFonts w:hint="eastAsia" w:ascii="宋体" w:hAnsi="宋体" w:cs="仿宋"/>
          <w:bCs/>
          <w:sz w:val="24"/>
        </w:rPr>
        <w:t>份，均具有同等法律效力，发包人执</w:t>
      </w:r>
      <w:r>
        <w:rPr>
          <w:rFonts w:hint="eastAsia" w:ascii="宋体" w:hAnsi="宋体" w:cs="仿宋"/>
          <w:bCs/>
          <w:sz w:val="24"/>
          <w:u w:val="single"/>
        </w:rPr>
        <w:t>肆</w:t>
      </w:r>
      <w:r>
        <w:rPr>
          <w:rFonts w:hint="eastAsia" w:ascii="宋体" w:hAnsi="宋体" w:cs="仿宋"/>
          <w:bCs/>
          <w:sz w:val="24"/>
        </w:rPr>
        <w:t>份，承包人执</w:t>
      </w:r>
      <w:r>
        <w:rPr>
          <w:rFonts w:hint="eastAsia" w:ascii="宋体" w:hAnsi="宋体" w:cs="仿宋"/>
          <w:bCs/>
          <w:sz w:val="24"/>
          <w:u w:val="single"/>
        </w:rPr>
        <w:t>肆</w:t>
      </w:r>
      <w:r>
        <w:rPr>
          <w:rFonts w:hint="eastAsia" w:ascii="宋体" w:hAnsi="宋体" w:cs="仿宋"/>
          <w:bCs/>
          <w:sz w:val="24"/>
        </w:rPr>
        <w:t>份。</w:t>
      </w:r>
    </w:p>
    <w:p w14:paraId="6D87CDD5">
      <w:pPr>
        <w:adjustRightInd w:val="0"/>
        <w:spacing w:line="500" w:lineRule="exact"/>
        <w:ind w:firstLine="480" w:firstLineChars="200"/>
        <w:contextualSpacing/>
        <w:rPr>
          <w:rFonts w:ascii="宋体" w:hAnsi="宋体" w:cs="仿宋"/>
          <w:sz w:val="24"/>
        </w:rPr>
      </w:pPr>
      <w:r>
        <w:rPr>
          <w:rFonts w:hint="eastAsia" w:ascii="宋体" w:hAnsi="宋体" w:cs="仿宋"/>
          <w:sz w:val="24"/>
        </w:rPr>
        <w:br w:type="column"/>
      </w:r>
      <w:r>
        <w:rPr>
          <w:rFonts w:hint="eastAsia" w:ascii="宋体" w:hAnsi="宋体" w:cs="仿宋"/>
          <w:sz w:val="24"/>
        </w:rPr>
        <w:t>发包人：        (公章)                承包人：        (公章)</w:t>
      </w:r>
    </w:p>
    <w:p w14:paraId="56D25AA4">
      <w:pPr>
        <w:adjustRightInd w:val="0"/>
        <w:spacing w:line="500" w:lineRule="exact"/>
        <w:ind w:firstLine="480" w:firstLineChars="200"/>
        <w:contextualSpacing/>
        <w:rPr>
          <w:rFonts w:ascii="宋体" w:hAnsi="宋体" w:cs="仿宋"/>
          <w:sz w:val="24"/>
        </w:rPr>
      </w:pPr>
      <w:r>
        <w:rPr>
          <w:rFonts w:hint="eastAsia" w:ascii="宋体" w:hAnsi="宋体" w:cs="仿宋"/>
          <w:sz w:val="24"/>
        </w:rPr>
        <w:t>浙商银行股份有限公司分行</w:t>
      </w:r>
    </w:p>
    <w:p w14:paraId="243D41EC">
      <w:pPr>
        <w:adjustRightInd w:val="0"/>
        <w:spacing w:line="500" w:lineRule="exact"/>
        <w:ind w:firstLine="480" w:firstLineChars="200"/>
        <w:contextualSpacing/>
        <w:rPr>
          <w:rFonts w:ascii="宋体" w:hAnsi="宋体" w:cs="仿宋"/>
          <w:sz w:val="24"/>
        </w:rPr>
      </w:pPr>
      <w:r>
        <w:rPr>
          <w:rFonts w:hint="eastAsia" w:ascii="宋体" w:hAnsi="宋体" w:cs="仿宋"/>
          <w:sz w:val="24"/>
        </w:rPr>
        <w:t>法定代表人（负责人）                    法定代表人（负责人）</w:t>
      </w:r>
    </w:p>
    <w:p w14:paraId="09949155">
      <w:pPr>
        <w:adjustRightInd w:val="0"/>
        <w:spacing w:line="500" w:lineRule="exact"/>
        <w:ind w:firstLine="480" w:firstLineChars="200"/>
        <w:contextualSpacing/>
        <w:rPr>
          <w:rFonts w:ascii="宋体" w:hAnsi="宋体" w:cs="仿宋"/>
          <w:sz w:val="24"/>
        </w:rPr>
      </w:pPr>
      <w:r>
        <w:rPr>
          <w:rFonts w:hint="eastAsia" w:ascii="宋体" w:hAnsi="宋体" w:cs="仿宋"/>
          <w:sz w:val="24"/>
        </w:rPr>
        <w:t>或其授权代理人：                        或其授权代理人：</w:t>
      </w:r>
    </w:p>
    <w:p w14:paraId="59452DBC">
      <w:pPr>
        <w:adjustRightInd w:val="0"/>
        <w:spacing w:line="500" w:lineRule="exact"/>
        <w:ind w:firstLine="480" w:firstLineChars="200"/>
        <w:contextualSpacing/>
        <w:rPr>
          <w:rFonts w:ascii="宋体" w:hAnsi="宋体" w:cs="仿宋"/>
          <w:sz w:val="24"/>
        </w:rPr>
      </w:pPr>
      <w:r>
        <w:rPr>
          <w:rFonts w:hint="eastAsia" w:ascii="宋体" w:hAnsi="宋体" w:cs="仿宋"/>
          <w:sz w:val="24"/>
        </w:rPr>
        <w:t>（签字）                           （签字）</w:t>
      </w:r>
    </w:p>
    <w:p w14:paraId="739F727A">
      <w:pPr>
        <w:adjustRightInd w:val="0"/>
        <w:spacing w:line="500" w:lineRule="exact"/>
        <w:ind w:firstLine="480" w:firstLineChars="200"/>
        <w:contextualSpacing/>
        <w:rPr>
          <w:rFonts w:ascii="宋体" w:hAnsi="宋体" w:cs="仿宋"/>
          <w:sz w:val="24"/>
          <w:u w:val="single"/>
        </w:rPr>
      </w:pPr>
    </w:p>
    <w:p w14:paraId="733A4657">
      <w:pPr>
        <w:tabs>
          <w:tab w:val="left" w:pos="4410"/>
        </w:tabs>
        <w:adjustRightInd w:val="0"/>
        <w:spacing w:line="500" w:lineRule="exact"/>
        <w:ind w:firstLine="480" w:firstLineChars="200"/>
        <w:contextualSpacing/>
        <w:rPr>
          <w:rFonts w:ascii="宋体" w:hAnsi="宋体" w:cs="仿宋"/>
          <w:sz w:val="24"/>
        </w:rPr>
      </w:pPr>
      <w:r>
        <w:rPr>
          <w:rFonts w:hint="eastAsia" w:ascii="宋体" w:hAnsi="宋体" w:cs="仿宋"/>
          <w:sz w:val="24"/>
        </w:rPr>
        <w:t>组织机构代码：                         组织机构代码：</w:t>
      </w:r>
    </w:p>
    <w:p w14:paraId="4B901892">
      <w:pPr>
        <w:adjustRightInd w:val="0"/>
        <w:spacing w:line="500" w:lineRule="exact"/>
        <w:ind w:firstLine="480" w:firstLineChars="200"/>
        <w:contextualSpacing/>
        <w:rPr>
          <w:rFonts w:ascii="宋体" w:hAnsi="宋体" w:cs="仿宋"/>
          <w:sz w:val="24"/>
        </w:rPr>
      </w:pPr>
      <w:r>
        <w:rPr>
          <w:rFonts w:hint="eastAsia" w:ascii="宋体" w:hAnsi="宋体" w:cs="仿宋"/>
          <w:sz w:val="24"/>
        </w:rPr>
        <w:t>地址：                                 地址：</w:t>
      </w:r>
    </w:p>
    <w:p w14:paraId="21A12CCE">
      <w:pPr>
        <w:adjustRightInd w:val="0"/>
        <w:spacing w:line="500" w:lineRule="exact"/>
        <w:ind w:firstLine="480" w:firstLineChars="200"/>
        <w:contextualSpacing/>
        <w:rPr>
          <w:rFonts w:ascii="宋体" w:hAnsi="宋体" w:cs="仿宋"/>
          <w:sz w:val="24"/>
        </w:rPr>
      </w:pPr>
      <w:r>
        <w:rPr>
          <w:rFonts w:hint="eastAsia" w:ascii="宋体" w:hAnsi="宋体" w:cs="仿宋"/>
          <w:sz w:val="24"/>
        </w:rPr>
        <w:t>邮政编码：                        邮政编码：</w:t>
      </w:r>
    </w:p>
    <w:p w14:paraId="122A5D89">
      <w:pPr>
        <w:adjustRightInd w:val="0"/>
        <w:spacing w:line="500" w:lineRule="exact"/>
        <w:ind w:firstLine="480" w:firstLineChars="200"/>
        <w:contextualSpacing/>
        <w:rPr>
          <w:rFonts w:ascii="宋体" w:hAnsi="宋体" w:cs="仿宋"/>
          <w:sz w:val="24"/>
        </w:rPr>
      </w:pPr>
      <w:r>
        <w:rPr>
          <w:rFonts w:hint="eastAsia" w:ascii="宋体" w:hAnsi="宋体" w:cs="仿宋"/>
          <w:sz w:val="24"/>
        </w:rPr>
        <w:t>电话：                            电话：</w:t>
      </w:r>
    </w:p>
    <w:p w14:paraId="57073B6B">
      <w:pPr>
        <w:adjustRightInd w:val="0"/>
        <w:spacing w:line="500" w:lineRule="exact"/>
        <w:ind w:firstLine="480" w:firstLineChars="200"/>
        <w:contextualSpacing/>
        <w:rPr>
          <w:rFonts w:ascii="宋体" w:hAnsi="宋体" w:cs="仿宋"/>
          <w:sz w:val="24"/>
        </w:rPr>
      </w:pPr>
      <w:r>
        <w:rPr>
          <w:rFonts w:hint="eastAsia" w:ascii="宋体" w:hAnsi="宋体" w:cs="仿宋"/>
          <w:sz w:val="24"/>
        </w:rPr>
        <w:t>传真：                              传真：</w:t>
      </w:r>
    </w:p>
    <w:p w14:paraId="111F71C6">
      <w:pPr>
        <w:adjustRightInd w:val="0"/>
        <w:spacing w:line="500" w:lineRule="exact"/>
        <w:ind w:firstLine="480" w:firstLineChars="200"/>
        <w:contextualSpacing/>
        <w:rPr>
          <w:rFonts w:ascii="宋体" w:hAnsi="宋体" w:cs="仿宋"/>
          <w:sz w:val="24"/>
        </w:rPr>
      </w:pPr>
      <w:r>
        <w:rPr>
          <w:rFonts w:hint="eastAsia" w:ascii="宋体" w:hAnsi="宋体" w:cs="仿宋"/>
          <w:sz w:val="24"/>
        </w:rPr>
        <w:t xml:space="preserve">电子信箱：                            </w:t>
      </w:r>
      <w:r>
        <w:rPr>
          <w:rFonts w:ascii="宋体" w:hAnsi="宋体"/>
          <w:sz w:val="24"/>
        </w:rPr>
        <w:fldChar w:fldCharType="begin"/>
      </w:r>
      <w:r>
        <w:rPr>
          <w:rFonts w:ascii="宋体" w:hAnsi="宋体"/>
          <w:sz w:val="24"/>
        </w:rPr>
        <w:instrText xml:space="preserve"> HYPERLINK "mailto:meipeijian@czbank.com" </w:instrText>
      </w:r>
      <w:r>
        <w:rPr>
          <w:rFonts w:ascii="宋体" w:hAnsi="宋体"/>
          <w:sz w:val="24"/>
        </w:rPr>
        <w:fldChar w:fldCharType="separate"/>
      </w:r>
      <w:r>
        <w:rPr>
          <w:rFonts w:ascii="宋体" w:hAnsi="宋体"/>
          <w:sz w:val="24"/>
        </w:rPr>
        <w:fldChar w:fldCharType="end"/>
      </w:r>
      <w:r>
        <w:rPr>
          <w:rFonts w:hint="eastAsia" w:ascii="宋体" w:hAnsi="宋体" w:cs="仿宋"/>
          <w:sz w:val="24"/>
        </w:rPr>
        <w:t>电子信箱：</w:t>
      </w:r>
    </w:p>
    <w:p w14:paraId="14F4918C">
      <w:pPr>
        <w:adjustRightInd w:val="0"/>
        <w:spacing w:line="500" w:lineRule="exact"/>
        <w:ind w:firstLine="480" w:firstLineChars="200"/>
        <w:contextualSpacing/>
        <w:rPr>
          <w:rFonts w:ascii="宋体" w:hAnsi="宋体" w:cs="仿宋"/>
          <w:sz w:val="24"/>
        </w:rPr>
      </w:pPr>
      <w:r>
        <w:rPr>
          <w:rFonts w:hint="eastAsia" w:ascii="宋体" w:hAnsi="宋体" w:cs="仿宋"/>
          <w:sz w:val="24"/>
        </w:rPr>
        <w:t>开户银行：                          开户银行：</w:t>
      </w:r>
    </w:p>
    <w:p w14:paraId="68B04B93">
      <w:pPr>
        <w:adjustRightInd w:val="0"/>
        <w:spacing w:line="500" w:lineRule="exact"/>
        <w:ind w:firstLine="480" w:firstLineChars="200"/>
        <w:contextualSpacing/>
        <w:rPr>
          <w:rFonts w:ascii="宋体" w:hAnsi="宋体" w:cs="仿宋"/>
          <w:sz w:val="24"/>
        </w:rPr>
      </w:pPr>
      <w:r>
        <w:rPr>
          <w:rFonts w:hint="eastAsia" w:ascii="宋体" w:hAnsi="宋体" w:cs="仿宋"/>
          <w:sz w:val="24"/>
        </w:rPr>
        <w:t>账号：                               账号：</w:t>
      </w:r>
    </w:p>
    <w:p w14:paraId="64C6EB9C">
      <w:pPr>
        <w:widowControl/>
        <w:jc w:val="center"/>
        <w:outlineLvl w:val="0"/>
        <w:rPr>
          <w:rFonts w:ascii="方正小标宋简体" w:hAnsi="仿宋" w:eastAsia="方正小标宋简体" w:cs="仿宋"/>
          <w:bCs/>
          <w:kern w:val="44"/>
          <w:sz w:val="44"/>
          <w:szCs w:val="44"/>
        </w:rPr>
      </w:pPr>
      <w:r>
        <w:rPr>
          <w:rFonts w:ascii="仿宋" w:hAnsi="仿宋" w:eastAsia="仿宋_GB2312" w:cs="仿宋"/>
          <w:sz w:val="24"/>
        </w:rPr>
        <w:br w:type="page"/>
      </w:r>
      <w:bookmarkStart w:id="12" w:name="_Toc59006210"/>
      <w:bookmarkStart w:id="13" w:name="_Toc176786389"/>
      <w:bookmarkStart w:id="14" w:name="_Toc217983396"/>
      <w:bookmarkStart w:id="15" w:name="_Toc178155239"/>
      <w:r>
        <w:rPr>
          <w:rFonts w:hint="eastAsia" w:ascii="方正小标宋简体" w:hAnsi="仿宋" w:eastAsia="方正小标宋简体" w:cs="仿宋"/>
          <w:bCs/>
          <w:kern w:val="44"/>
          <w:sz w:val="44"/>
          <w:szCs w:val="44"/>
        </w:rPr>
        <w:t>第二部分 通用合同条款</w:t>
      </w:r>
      <w:bookmarkEnd w:id="12"/>
      <w:bookmarkEnd w:id="13"/>
      <w:bookmarkEnd w:id="14"/>
      <w:bookmarkEnd w:id="15"/>
    </w:p>
    <w:p w14:paraId="2DA827AD">
      <w:pPr>
        <w:adjustRightInd w:val="0"/>
        <w:spacing w:line="500" w:lineRule="exact"/>
        <w:ind w:firstLine="480" w:firstLineChars="200"/>
        <w:contextualSpacing/>
        <w:rPr>
          <w:rFonts w:ascii="宋体" w:hAnsi="宋体" w:cs="仿宋"/>
          <w:sz w:val="24"/>
        </w:rPr>
      </w:pPr>
      <w:r>
        <w:rPr>
          <w:rFonts w:hint="eastAsia" w:ascii="宋体" w:hAnsi="宋体" w:cs="仿宋"/>
          <w:sz w:val="24"/>
        </w:rPr>
        <w:t>详见《建设工程施工合同（示范文本）》（GF-2017-0201）通用合同条款。</w:t>
      </w:r>
    </w:p>
    <w:p w14:paraId="6EC996AF">
      <w:pPr>
        <w:keepNext/>
        <w:keepLines/>
        <w:spacing w:before="340" w:after="330" w:line="578" w:lineRule="auto"/>
        <w:jc w:val="center"/>
        <w:outlineLvl w:val="0"/>
        <w:rPr>
          <w:rFonts w:ascii="方正小标宋简体" w:hAnsi="仿宋" w:eastAsia="方正小标宋简体" w:cs="仿宋"/>
          <w:bCs/>
          <w:kern w:val="44"/>
          <w:sz w:val="44"/>
          <w:szCs w:val="44"/>
        </w:rPr>
      </w:pPr>
      <w:bookmarkStart w:id="16" w:name="_Toc178155240"/>
      <w:bookmarkStart w:id="17" w:name="_Toc217983397"/>
      <w:bookmarkStart w:id="18" w:name="_Toc176786390"/>
      <w:bookmarkStart w:id="19" w:name="_Toc59006211"/>
      <w:r>
        <w:rPr>
          <w:rFonts w:hint="eastAsia" w:ascii="方正小标宋简体" w:hAnsi="仿宋" w:eastAsia="方正小标宋简体" w:cs="仿宋"/>
          <w:bCs/>
          <w:kern w:val="44"/>
          <w:sz w:val="44"/>
          <w:szCs w:val="44"/>
        </w:rPr>
        <w:t>第三部分专用合同条款</w:t>
      </w:r>
      <w:bookmarkEnd w:id="16"/>
      <w:bookmarkEnd w:id="17"/>
      <w:bookmarkEnd w:id="18"/>
      <w:bookmarkEnd w:id="19"/>
    </w:p>
    <w:p w14:paraId="1C92FB58">
      <w:pPr>
        <w:adjustRightInd w:val="0"/>
        <w:spacing w:line="500" w:lineRule="exact"/>
        <w:ind w:firstLine="480" w:firstLineChars="200"/>
        <w:contextualSpacing/>
        <w:rPr>
          <w:rFonts w:ascii="宋体" w:hAnsi="宋体" w:cs="仿宋"/>
          <w:sz w:val="24"/>
        </w:rPr>
      </w:pPr>
      <w:r>
        <w:rPr>
          <w:rFonts w:hint="eastAsia" w:ascii="宋体" w:hAnsi="宋体" w:cs="仿宋"/>
          <w:sz w:val="24"/>
        </w:rPr>
        <w:t>1. 一般约定</w:t>
      </w:r>
    </w:p>
    <w:p w14:paraId="326948CE">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1.1 词语定义</w:t>
      </w:r>
    </w:p>
    <w:p w14:paraId="0D4A3D0C">
      <w:pPr>
        <w:adjustRightInd w:val="0"/>
        <w:spacing w:line="500" w:lineRule="exact"/>
        <w:ind w:firstLine="480" w:firstLineChars="200"/>
        <w:contextualSpacing/>
        <w:rPr>
          <w:rFonts w:ascii="宋体" w:hAnsi="宋体" w:cs="仿宋"/>
          <w:sz w:val="24"/>
        </w:rPr>
      </w:pPr>
      <w:r>
        <w:rPr>
          <w:rFonts w:hint="eastAsia" w:ascii="宋体" w:hAnsi="宋体" w:cs="仿宋"/>
          <w:sz w:val="24"/>
        </w:rPr>
        <w:t>1.1.1合同</w:t>
      </w:r>
    </w:p>
    <w:p w14:paraId="689B28B7">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其他合同文件包括：</w:t>
      </w:r>
      <w:r>
        <w:rPr>
          <w:rFonts w:hint="eastAsia" w:ascii="宋体" w:hAnsi="宋体" w:cs="仿宋"/>
          <w:sz w:val="24"/>
          <w:u w:val="single"/>
        </w:rPr>
        <w:t>履行合同过程中双方项目工程师和项目经理等管理者（双方工地代表人）书面确认的对合同内容有实质性影响的会议纪要、签证、设计变更等资料,具体样式、格式等另行协商。</w:t>
      </w:r>
    </w:p>
    <w:p w14:paraId="4983A9F7">
      <w:pPr>
        <w:adjustRightInd w:val="0"/>
        <w:spacing w:line="500" w:lineRule="exact"/>
        <w:ind w:firstLine="480" w:firstLineChars="200"/>
        <w:contextualSpacing/>
        <w:rPr>
          <w:rFonts w:ascii="宋体" w:hAnsi="宋体" w:cs="仿宋"/>
          <w:sz w:val="24"/>
        </w:rPr>
      </w:pPr>
      <w:r>
        <w:rPr>
          <w:rFonts w:hint="eastAsia" w:ascii="宋体" w:hAnsi="宋体" w:cs="仿宋"/>
          <w:sz w:val="24"/>
          <w:u w:val="single"/>
        </w:rPr>
        <w:t>施工组织设计：施工组织设计是用来指导施工项目全过程各项活动的技术、经济和组织的综合性文件</w:t>
      </w:r>
      <w:r>
        <w:rPr>
          <w:rFonts w:hint="eastAsia" w:ascii="宋体" w:hAnsi="宋体" w:cs="仿宋"/>
          <w:sz w:val="24"/>
        </w:rPr>
        <w:t>。</w:t>
      </w:r>
    </w:p>
    <w:p w14:paraId="416E1108">
      <w:pPr>
        <w:adjustRightInd w:val="0"/>
        <w:spacing w:line="500" w:lineRule="exact"/>
        <w:ind w:firstLine="480" w:firstLineChars="200"/>
        <w:contextualSpacing/>
        <w:rPr>
          <w:rFonts w:ascii="宋体" w:hAnsi="宋体" w:cs="仿宋"/>
          <w:sz w:val="24"/>
        </w:rPr>
      </w:pPr>
      <w:r>
        <w:rPr>
          <w:rFonts w:hint="eastAsia" w:ascii="宋体" w:hAnsi="宋体" w:cs="仿宋"/>
          <w:sz w:val="24"/>
        </w:rPr>
        <w:t>1.1.2 合同当事人及其他相关方</w:t>
      </w:r>
    </w:p>
    <w:p w14:paraId="55632E02">
      <w:pPr>
        <w:adjustRightInd w:val="0"/>
        <w:spacing w:line="500" w:lineRule="exact"/>
        <w:ind w:firstLine="480" w:firstLineChars="200"/>
        <w:contextualSpacing/>
        <w:rPr>
          <w:rFonts w:ascii="宋体" w:hAnsi="宋体" w:cs="仿宋"/>
          <w:sz w:val="24"/>
        </w:rPr>
      </w:pPr>
      <w:r>
        <w:rPr>
          <w:rFonts w:hint="eastAsia" w:ascii="宋体" w:hAnsi="宋体" w:cs="仿宋"/>
          <w:sz w:val="24"/>
        </w:rPr>
        <w:t>1.1.2.1监理人：</w:t>
      </w:r>
    </w:p>
    <w:p w14:paraId="6CBBDE20">
      <w:pPr>
        <w:adjustRightInd w:val="0"/>
        <w:spacing w:line="500" w:lineRule="exact"/>
        <w:ind w:firstLine="480" w:firstLineChars="200"/>
        <w:contextualSpacing/>
        <w:rPr>
          <w:rFonts w:ascii="宋体" w:hAnsi="宋体" w:cs="仿宋"/>
          <w:sz w:val="24"/>
        </w:rPr>
      </w:pPr>
      <w:r>
        <w:rPr>
          <w:rFonts w:hint="eastAsia" w:ascii="宋体" w:hAnsi="宋体" w:cs="仿宋"/>
          <w:sz w:val="24"/>
        </w:rPr>
        <w:t>名称：</w:t>
      </w:r>
    </w:p>
    <w:p w14:paraId="71115755">
      <w:pPr>
        <w:adjustRightInd w:val="0"/>
        <w:spacing w:line="500" w:lineRule="exact"/>
        <w:ind w:firstLine="480" w:firstLineChars="200"/>
        <w:contextualSpacing/>
        <w:rPr>
          <w:rFonts w:ascii="宋体" w:hAnsi="宋体" w:cs="仿宋"/>
          <w:sz w:val="24"/>
        </w:rPr>
      </w:pPr>
      <w:r>
        <w:rPr>
          <w:rFonts w:hint="eastAsia" w:ascii="宋体" w:hAnsi="宋体" w:cs="仿宋"/>
          <w:sz w:val="24"/>
        </w:rPr>
        <w:t>资质类别和等级：</w:t>
      </w:r>
      <w:r>
        <w:rPr>
          <w:rFonts w:hint="eastAsia" w:ascii="宋体" w:hAnsi="宋体" w:cs="仿宋"/>
          <w:sz w:val="24"/>
          <w:u w:val="single"/>
        </w:rPr>
        <w:t></w:t>
      </w:r>
      <w:r>
        <w:rPr>
          <w:rFonts w:hint="eastAsia" w:ascii="宋体" w:hAnsi="宋体" w:cs="仿宋"/>
          <w:sz w:val="24"/>
        </w:rPr>
        <w:t>。</w:t>
      </w:r>
    </w:p>
    <w:p w14:paraId="0217C7A7">
      <w:pPr>
        <w:adjustRightInd w:val="0"/>
        <w:spacing w:line="500" w:lineRule="exact"/>
        <w:ind w:firstLine="480" w:firstLineChars="200"/>
        <w:contextualSpacing/>
        <w:rPr>
          <w:rFonts w:ascii="宋体" w:hAnsi="宋体" w:cs="仿宋"/>
          <w:sz w:val="24"/>
        </w:rPr>
      </w:pPr>
      <w:r>
        <w:rPr>
          <w:rFonts w:hint="eastAsia" w:ascii="宋体" w:hAnsi="宋体" w:cs="仿宋"/>
          <w:sz w:val="24"/>
        </w:rPr>
        <w:t>联系电话：</w:t>
      </w:r>
      <w:r>
        <w:rPr>
          <w:rFonts w:hint="eastAsia" w:ascii="宋体" w:hAnsi="宋体" w:cs="仿宋"/>
          <w:sz w:val="24"/>
          <w:u w:val="single"/>
        </w:rPr>
        <w:t>。</w:t>
      </w:r>
    </w:p>
    <w:p w14:paraId="7E7BD49D">
      <w:pPr>
        <w:adjustRightInd w:val="0"/>
        <w:spacing w:line="500" w:lineRule="exact"/>
        <w:ind w:firstLine="480" w:firstLineChars="200"/>
        <w:contextualSpacing/>
        <w:rPr>
          <w:rFonts w:ascii="宋体" w:hAnsi="宋体" w:cs="仿宋"/>
          <w:sz w:val="24"/>
        </w:rPr>
      </w:pPr>
      <w:r>
        <w:rPr>
          <w:rFonts w:hint="eastAsia" w:ascii="宋体" w:hAnsi="宋体" w:cs="仿宋"/>
          <w:sz w:val="24"/>
        </w:rPr>
        <w:t>电子信箱：</w:t>
      </w:r>
      <w:r>
        <w:rPr>
          <w:rFonts w:hint="eastAsia" w:ascii="宋体" w:hAnsi="宋体" w:cs="仿宋"/>
          <w:sz w:val="24"/>
          <w:u w:val="single"/>
        </w:rPr>
        <w:t></w:t>
      </w:r>
      <w:r>
        <w:rPr>
          <w:rFonts w:hint="eastAsia" w:ascii="宋体" w:hAnsi="宋体" w:cs="仿宋"/>
          <w:sz w:val="24"/>
        </w:rPr>
        <w:t>。</w:t>
      </w:r>
    </w:p>
    <w:p w14:paraId="619DAD4D">
      <w:pPr>
        <w:adjustRightInd w:val="0"/>
        <w:spacing w:line="500" w:lineRule="exact"/>
        <w:ind w:firstLine="480" w:firstLineChars="200"/>
        <w:contextualSpacing/>
        <w:rPr>
          <w:rFonts w:ascii="宋体" w:hAnsi="宋体" w:cs="仿宋"/>
          <w:sz w:val="24"/>
        </w:rPr>
      </w:pPr>
      <w:r>
        <w:rPr>
          <w:rFonts w:hint="eastAsia" w:ascii="宋体" w:hAnsi="宋体" w:cs="仿宋"/>
          <w:sz w:val="24"/>
        </w:rPr>
        <w:t>通信地址：</w:t>
      </w:r>
      <w:r>
        <w:rPr>
          <w:rFonts w:hint="eastAsia" w:ascii="宋体" w:hAnsi="宋体" w:cs="仿宋"/>
          <w:sz w:val="24"/>
          <w:u w:val="single"/>
        </w:rPr>
        <w:t></w:t>
      </w:r>
      <w:r>
        <w:rPr>
          <w:rFonts w:hint="eastAsia" w:ascii="宋体" w:hAnsi="宋体" w:cs="仿宋"/>
          <w:sz w:val="24"/>
        </w:rPr>
        <w:t>。</w:t>
      </w:r>
    </w:p>
    <w:p w14:paraId="6EA96612">
      <w:pPr>
        <w:adjustRightInd w:val="0"/>
        <w:spacing w:line="500" w:lineRule="exact"/>
        <w:ind w:firstLine="480" w:firstLineChars="200"/>
        <w:contextualSpacing/>
        <w:rPr>
          <w:rFonts w:ascii="宋体" w:hAnsi="宋体" w:cs="仿宋"/>
          <w:sz w:val="24"/>
        </w:rPr>
      </w:pPr>
      <w:r>
        <w:rPr>
          <w:rFonts w:hint="eastAsia" w:ascii="宋体" w:hAnsi="宋体" w:cs="仿宋"/>
          <w:sz w:val="24"/>
        </w:rPr>
        <w:t>1.1.2.2 设计人：</w:t>
      </w:r>
    </w:p>
    <w:p w14:paraId="46ACB0D5">
      <w:pPr>
        <w:adjustRightInd w:val="0"/>
        <w:spacing w:line="500" w:lineRule="exact"/>
        <w:ind w:firstLine="480" w:firstLineChars="200"/>
        <w:contextualSpacing/>
        <w:rPr>
          <w:rFonts w:ascii="宋体" w:hAnsi="宋体" w:cs="仿宋"/>
          <w:sz w:val="24"/>
        </w:rPr>
      </w:pPr>
      <w:r>
        <w:rPr>
          <w:rFonts w:hint="eastAsia" w:ascii="宋体" w:hAnsi="宋体" w:cs="仿宋"/>
          <w:sz w:val="24"/>
        </w:rPr>
        <w:t>名称：。</w:t>
      </w:r>
    </w:p>
    <w:p w14:paraId="1F43E123">
      <w:pPr>
        <w:adjustRightInd w:val="0"/>
        <w:spacing w:line="500" w:lineRule="exact"/>
        <w:ind w:firstLine="480" w:firstLineChars="200"/>
        <w:contextualSpacing/>
        <w:rPr>
          <w:rFonts w:ascii="宋体" w:hAnsi="宋体" w:cs="仿宋"/>
          <w:sz w:val="24"/>
        </w:rPr>
      </w:pPr>
      <w:r>
        <w:rPr>
          <w:rFonts w:hint="eastAsia" w:ascii="宋体" w:hAnsi="宋体" w:cs="仿宋"/>
          <w:sz w:val="24"/>
        </w:rPr>
        <w:t>资质类别和等级：</w:t>
      </w:r>
      <w:r>
        <w:rPr>
          <w:rFonts w:hint="eastAsia" w:ascii="宋体" w:hAnsi="宋体" w:cs="仿宋"/>
          <w:sz w:val="24"/>
          <w:u w:val="single"/>
        </w:rPr>
        <w:t></w:t>
      </w:r>
      <w:r>
        <w:rPr>
          <w:rFonts w:hint="eastAsia" w:ascii="宋体" w:hAnsi="宋体" w:cs="仿宋"/>
          <w:sz w:val="24"/>
        </w:rPr>
        <w:t>。</w:t>
      </w:r>
    </w:p>
    <w:p w14:paraId="71A66BD3">
      <w:pPr>
        <w:adjustRightInd w:val="0"/>
        <w:spacing w:line="500" w:lineRule="exact"/>
        <w:ind w:firstLine="480" w:firstLineChars="200"/>
        <w:contextualSpacing/>
        <w:rPr>
          <w:rFonts w:ascii="宋体" w:hAnsi="宋体" w:cs="仿宋"/>
          <w:sz w:val="24"/>
        </w:rPr>
      </w:pPr>
      <w:r>
        <w:rPr>
          <w:rFonts w:hint="eastAsia" w:ascii="宋体" w:hAnsi="宋体" w:cs="仿宋"/>
          <w:sz w:val="24"/>
        </w:rPr>
        <w:t>联系电话：</w:t>
      </w:r>
      <w:r>
        <w:rPr>
          <w:rFonts w:hint="eastAsia" w:ascii="宋体" w:hAnsi="宋体" w:cs="仿宋"/>
          <w:sz w:val="24"/>
          <w:u w:val="single"/>
        </w:rPr>
        <w:t></w:t>
      </w:r>
      <w:r>
        <w:rPr>
          <w:rFonts w:hint="eastAsia" w:ascii="宋体" w:hAnsi="宋体" w:cs="仿宋"/>
          <w:sz w:val="24"/>
        </w:rPr>
        <w:t>。</w:t>
      </w:r>
    </w:p>
    <w:p w14:paraId="20E36575">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电子信箱：</w:t>
      </w:r>
      <w:r>
        <w:rPr>
          <w:rFonts w:hint="eastAsia" w:ascii="宋体" w:hAnsi="宋体" w:cs="仿宋"/>
          <w:sz w:val="24"/>
          <w:u w:val="single"/>
        </w:rPr>
        <w:t></w:t>
      </w:r>
      <w:r>
        <w:rPr>
          <w:rFonts w:hint="eastAsia" w:ascii="宋体" w:hAnsi="宋体" w:cs="仿宋"/>
          <w:sz w:val="24"/>
        </w:rPr>
        <w:t>。</w:t>
      </w:r>
    </w:p>
    <w:p w14:paraId="3F195E64">
      <w:pPr>
        <w:adjustRightInd w:val="0"/>
        <w:spacing w:line="500" w:lineRule="exact"/>
        <w:ind w:firstLine="480" w:firstLineChars="200"/>
        <w:contextualSpacing/>
        <w:rPr>
          <w:rFonts w:ascii="宋体" w:hAnsi="宋体" w:cs="仿宋"/>
          <w:sz w:val="24"/>
        </w:rPr>
      </w:pPr>
      <w:r>
        <w:rPr>
          <w:rFonts w:hint="eastAsia" w:ascii="宋体" w:hAnsi="宋体" w:cs="仿宋"/>
          <w:sz w:val="24"/>
        </w:rPr>
        <w:t>1.1.3 工程和设备</w:t>
      </w:r>
    </w:p>
    <w:p w14:paraId="029ECD89">
      <w:pPr>
        <w:adjustRightInd w:val="0"/>
        <w:spacing w:line="500" w:lineRule="exact"/>
        <w:ind w:firstLine="480" w:firstLineChars="200"/>
        <w:contextualSpacing/>
        <w:rPr>
          <w:rFonts w:ascii="宋体" w:hAnsi="宋体" w:cs="仿宋"/>
          <w:sz w:val="24"/>
        </w:rPr>
      </w:pPr>
      <w:r>
        <w:rPr>
          <w:rFonts w:hint="eastAsia" w:ascii="宋体" w:hAnsi="宋体" w:cs="仿宋"/>
          <w:sz w:val="24"/>
        </w:rPr>
        <w:t>1.1.3.1作为施工现场组成部分的其他场所包括：</w:t>
      </w:r>
      <w:r>
        <w:rPr>
          <w:rFonts w:hint="eastAsia" w:ascii="宋体" w:hAnsi="宋体" w:cs="仿宋"/>
          <w:sz w:val="24"/>
          <w:u w:val="single"/>
        </w:rPr>
        <w:t>指用于工程施工的场所</w:t>
      </w:r>
      <w:r>
        <w:rPr>
          <w:rFonts w:hint="eastAsia" w:ascii="宋体" w:hAnsi="宋体" w:cs="仿宋"/>
          <w:sz w:val="24"/>
        </w:rPr>
        <w:t>。</w:t>
      </w:r>
    </w:p>
    <w:p w14:paraId="3C08CD5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1.1.3.2 永久占地包括：</w:t>
      </w:r>
      <w:r>
        <w:rPr>
          <w:rFonts w:hint="eastAsia" w:ascii="宋体" w:hAnsi="宋体" w:cs="仿宋"/>
          <w:sz w:val="24"/>
          <w:u w:val="single"/>
        </w:rPr>
        <w:t>根据施工图实施工程需永久占用的土地</w:t>
      </w:r>
      <w:r>
        <w:rPr>
          <w:rFonts w:hint="eastAsia" w:ascii="宋体" w:hAnsi="宋体" w:cs="仿宋"/>
          <w:sz w:val="24"/>
        </w:rPr>
        <w:t>。</w:t>
      </w:r>
    </w:p>
    <w:p w14:paraId="05E3D15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1.1.3.3 临时占地包括：</w:t>
      </w:r>
      <w:r>
        <w:rPr>
          <w:rFonts w:hint="eastAsia" w:ascii="宋体" w:hAnsi="宋体" w:cs="仿宋"/>
          <w:sz w:val="24"/>
          <w:u w:val="single"/>
        </w:rPr>
        <w:t>红线范围外为配合施工需要临时占用的土地</w:t>
      </w:r>
      <w:r>
        <w:rPr>
          <w:rFonts w:hint="eastAsia" w:ascii="宋体" w:hAnsi="宋体" w:cs="仿宋"/>
          <w:sz w:val="24"/>
        </w:rPr>
        <w:t>。</w:t>
      </w:r>
    </w:p>
    <w:p w14:paraId="7714A9B7">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1.2法律</w:t>
      </w:r>
    </w:p>
    <w:p w14:paraId="1E7DBF3F">
      <w:pPr>
        <w:adjustRightInd w:val="0"/>
        <w:spacing w:line="500" w:lineRule="exact"/>
        <w:ind w:firstLine="480" w:firstLineChars="200"/>
        <w:contextualSpacing/>
        <w:rPr>
          <w:rFonts w:ascii="宋体" w:hAnsi="宋体" w:cs="仿宋"/>
          <w:sz w:val="24"/>
        </w:rPr>
      </w:pPr>
      <w:r>
        <w:rPr>
          <w:rFonts w:hint="eastAsia" w:ascii="宋体" w:hAnsi="宋体" w:cs="仿宋"/>
          <w:sz w:val="24"/>
        </w:rPr>
        <w:t>适用于合同的其他规范性文件：</w:t>
      </w:r>
    </w:p>
    <w:p w14:paraId="2D3C98A2">
      <w:pPr>
        <w:adjustRightInd w:val="0"/>
        <w:spacing w:line="500" w:lineRule="exact"/>
        <w:ind w:firstLine="480" w:firstLineChars="200"/>
        <w:contextualSpacing/>
        <w:rPr>
          <w:rFonts w:ascii="宋体" w:hAnsi="宋体" w:cs="仿宋"/>
          <w:sz w:val="24"/>
        </w:rPr>
      </w:pPr>
      <w:bookmarkStart w:id="20" w:name="_Hlk41482137"/>
      <w:r>
        <w:rPr>
          <w:rFonts w:ascii="宋体" w:hAnsi="宋体" w:cs="仿宋"/>
          <w:sz w:val="24"/>
        </w:rPr>
        <w:t>国家</w:t>
      </w:r>
      <w:r>
        <w:rPr>
          <w:rFonts w:hint="eastAsia" w:ascii="宋体" w:hAnsi="宋体" w:cs="仿宋"/>
          <w:sz w:val="24"/>
        </w:rPr>
        <w:t>颁布的有关法律、行政法规、部门规章，以及工程所在地的地方法规、单行条例和地方政府规章，如《中华人民共和国建筑法》、《中华人民共和国安全生产法》、《建筑工程质量管理条例》、《建设工程安全生产管理条例》等国家和地方颁布的相关法律、法规、规章</w:t>
      </w:r>
      <w:bookmarkEnd w:id="20"/>
      <w:r>
        <w:rPr>
          <w:rFonts w:hint="eastAsia" w:ascii="宋体" w:hAnsi="宋体" w:cs="仿宋"/>
          <w:sz w:val="24"/>
        </w:rPr>
        <w:t>及山东省、潍坊市相关的法律法规、标准规范等。</w:t>
      </w:r>
    </w:p>
    <w:p w14:paraId="7DEA9C64">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1.3 标准和规范</w:t>
      </w:r>
    </w:p>
    <w:p w14:paraId="0BCEB383">
      <w:pPr>
        <w:adjustRightInd w:val="0"/>
        <w:spacing w:line="500" w:lineRule="exact"/>
        <w:ind w:firstLine="480" w:firstLineChars="200"/>
        <w:contextualSpacing/>
        <w:rPr>
          <w:rFonts w:ascii="宋体" w:hAnsi="宋体" w:cs="仿宋"/>
          <w:sz w:val="24"/>
        </w:rPr>
      </w:pPr>
      <w:r>
        <w:rPr>
          <w:rFonts w:hint="eastAsia" w:ascii="宋体" w:hAnsi="宋体" w:cs="仿宋"/>
          <w:sz w:val="24"/>
        </w:rPr>
        <w:t>1.3.1适用于工程的标准规范包括：</w:t>
      </w:r>
    </w:p>
    <w:p w14:paraId="29B19F02">
      <w:pPr>
        <w:adjustRightInd w:val="0"/>
        <w:spacing w:line="500" w:lineRule="exact"/>
        <w:ind w:left="795" w:leftChars="284" w:firstLine="480" w:firstLineChars="200"/>
        <w:contextualSpacing/>
        <w:rPr>
          <w:rFonts w:ascii="宋体" w:hAnsi="宋体" w:cs="仿宋"/>
          <w:sz w:val="24"/>
          <w:u w:val="single"/>
        </w:rPr>
      </w:pPr>
      <w:r>
        <w:rPr>
          <w:rFonts w:hint="eastAsia" w:ascii="宋体" w:hAnsi="宋体" w:cs="仿宋"/>
          <w:sz w:val="24"/>
          <w:u w:val="single"/>
        </w:rPr>
        <w:t>《银行营业场所安全防范要求》（GA38-2023）</w:t>
      </w:r>
    </w:p>
    <w:p w14:paraId="31803F99">
      <w:pPr>
        <w:adjustRightInd w:val="0"/>
        <w:spacing w:line="500" w:lineRule="exact"/>
        <w:ind w:left="795" w:leftChars="284" w:firstLine="480" w:firstLineChars="200"/>
        <w:contextualSpacing/>
        <w:rPr>
          <w:rFonts w:ascii="宋体" w:hAnsi="宋体" w:cs="仿宋"/>
          <w:sz w:val="24"/>
          <w:u w:val="single"/>
        </w:rPr>
      </w:pPr>
      <w:r>
        <w:rPr>
          <w:rFonts w:hint="eastAsia" w:ascii="宋体" w:hAnsi="宋体" w:cs="仿宋"/>
          <w:sz w:val="24"/>
          <w:u w:val="single"/>
        </w:rPr>
        <w:t>《银行自助设备、自助银行安全防范要求》（GA745-2017）</w:t>
      </w:r>
    </w:p>
    <w:p w14:paraId="346EBA97">
      <w:pPr>
        <w:adjustRightInd w:val="0"/>
        <w:spacing w:line="500" w:lineRule="exact"/>
        <w:ind w:left="795" w:leftChars="284" w:firstLine="480" w:firstLineChars="200"/>
        <w:contextualSpacing/>
        <w:rPr>
          <w:rFonts w:ascii="宋体" w:hAnsi="宋体" w:cs="仿宋"/>
          <w:sz w:val="24"/>
          <w:u w:val="single"/>
        </w:rPr>
      </w:pPr>
      <w:r>
        <w:rPr>
          <w:rFonts w:hint="eastAsia" w:ascii="宋体" w:hAnsi="宋体" w:cs="仿宋"/>
          <w:sz w:val="24"/>
          <w:u w:val="single"/>
        </w:rPr>
        <w:t>《建筑装饰装修工程质量验收标准》（GB50210-2018）</w:t>
      </w:r>
    </w:p>
    <w:p w14:paraId="57A2812A">
      <w:pPr>
        <w:adjustRightInd w:val="0"/>
        <w:spacing w:line="500" w:lineRule="exact"/>
        <w:ind w:left="795" w:leftChars="284" w:firstLine="480" w:firstLineChars="200"/>
        <w:contextualSpacing/>
        <w:rPr>
          <w:rFonts w:ascii="宋体" w:hAnsi="宋体" w:cs="仿宋"/>
          <w:sz w:val="24"/>
          <w:u w:val="single"/>
        </w:rPr>
      </w:pPr>
      <w:r>
        <w:rPr>
          <w:rFonts w:hint="eastAsia" w:ascii="宋体" w:hAnsi="宋体" w:cs="仿宋"/>
          <w:sz w:val="24"/>
          <w:u w:val="single"/>
        </w:rPr>
        <w:t>《建筑弱电工程施工及验收规范》（</w:t>
      </w:r>
      <w:r>
        <w:rPr>
          <w:rFonts w:hint="eastAsia" w:ascii="宋体" w:hAnsi="宋体" w:cs="仿宋"/>
          <w:bCs/>
          <w:sz w:val="24"/>
          <w:u w:val="single"/>
        </w:rPr>
        <w:t>DB11/ 883-2012）</w:t>
      </w:r>
    </w:p>
    <w:p w14:paraId="556A5900">
      <w:pPr>
        <w:adjustRightInd w:val="0"/>
        <w:spacing w:line="500" w:lineRule="exact"/>
        <w:ind w:firstLine="480" w:firstLineChars="200"/>
        <w:contextualSpacing/>
        <w:rPr>
          <w:rFonts w:ascii="宋体" w:hAnsi="宋体" w:cs="仿宋"/>
          <w:sz w:val="24"/>
        </w:rPr>
      </w:pPr>
      <w:r>
        <w:rPr>
          <w:rFonts w:hint="eastAsia" w:ascii="宋体" w:hAnsi="宋体" w:cs="仿宋"/>
          <w:sz w:val="24"/>
        </w:rPr>
        <w:t>1.3.2 发包人提供国外标准、规范的名称：</w:t>
      </w:r>
      <w:r>
        <w:rPr>
          <w:rFonts w:hint="eastAsia" w:ascii="宋体" w:hAnsi="宋体" w:cs="仿宋"/>
          <w:sz w:val="24"/>
          <w:u w:val="single"/>
        </w:rPr>
        <w:t xml:space="preserve">       /         </w:t>
      </w:r>
      <w:r>
        <w:rPr>
          <w:rFonts w:hint="eastAsia" w:ascii="宋体" w:hAnsi="宋体" w:cs="仿宋"/>
          <w:sz w:val="24"/>
        </w:rPr>
        <w:t>；</w:t>
      </w:r>
    </w:p>
    <w:p w14:paraId="756B5BDA">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发包人提供国外标准、规范的份数：</w:t>
      </w:r>
      <w:r>
        <w:rPr>
          <w:rFonts w:hint="eastAsia" w:ascii="宋体" w:hAnsi="宋体" w:cs="仿宋"/>
          <w:sz w:val="24"/>
          <w:u w:val="single"/>
        </w:rPr>
        <w:t xml:space="preserve">           /          </w:t>
      </w:r>
      <w:r>
        <w:rPr>
          <w:rFonts w:hint="eastAsia" w:ascii="宋体" w:hAnsi="宋体" w:cs="仿宋"/>
          <w:sz w:val="24"/>
        </w:rPr>
        <w:t>；</w:t>
      </w:r>
    </w:p>
    <w:p w14:paraId="13D98DD0">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发包人提供国外标准、规范的名称：</w:t>
      </w:r>
      <w:r>
        <w:rPr>
          <w:rFonts w:hint="eastAsia" w:ascii="宋体" w:hAnsi="宋体" w:cs="仿宋"/>
          <w:sz w:val="24"/>
          <w:u w:val="single"/>
        </w:rPr>
        <w:t xml:space="preserve">          /           </w:t>
      </w:r>
      <w:r>
        <w:rPr>
          <w:rFonts w:hint="eastAsia" w:ascii="宋体" w:hAnsi="宋体" w:cs="仿宋"/>
          <w:sz w:val="24"/>
        </w:rPr>
        <w:t>。</w:t>
      </w:r>
    </w:p>
    <w:p w14:paraId="514D251E">
      <w:pPr>
        <w:adjustRightInd w:val="0"/>
        <w:spacing w:line="500" w:lineRule="exact"/>
        <w:ind w:firstLine="480" w:firstLineChars="200"/>
        <w:contextualSpacing/>
        <w:rPr>
          <w:rFonts w:ascii="宋体" w:hAnsi="宋体" w:cs="仿宋"/>
          <w:sz w:val="24"/>
        </w:rPr>
      </w:pPr>
      <w:r>
        <w:rPr>
          <w:rFonts w:hint="eastAsia" w:ascii="宋体" w:hAnsi="宋体" w:cs="仿宋"/>
          <w:sz w:val="24"/>
        </w:rPr>
        <w:t>1.3.3发包人对工程的技术标准和功能要求的特殊要求：</w:t>
      </w:r>
    </w:p>
    <w:p w14:paraId="1AB5718E">
      <w:pPr>
        <w:adjustRightInd w:val="0"/>
        <w:spacing w:line="500" w:lineRule="exact"/>
        <w:ind w:firstLine="480" w:firstLineChars="200"/>
        <w:contextualSpacing/>
        <w:rPr>
          <w:rFonts w:ascii="宋体" w:hAnsi="宋体" w:cs="仿宋"/>
          <w:sz w:val="24"/>
        </w:rPr>
      </w:pPr>
      <w:r>
        <w:rPr>
          <w:rFonts w:hint="eastAsia" w:ascii="宋体" w:hAnsi="宋体" w:cs="仿宋"/>
          <w:sz w:val="24"/>
          <w:u w:val="single"/>
        </w:rPr>
        <w:t xml:space="preserve">/                             </w:t>
      </w:r>
      <w:r>
        <w:rPr>
          <w:rFonts w:hint="eastAsia" w:ascii="宋体" w:hAnsi="宋体" w:cs="仿宋"/>
          <w:sz w:val="24"/>
        </w:rPr>
        <w:t>。</w:t>
      </w:r>
    </w:p>
    <w:p w14:paraId="50D8F681">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1.4 合同文件的优先顺序</w:t>
      </w:r>
    </w:p>
    <w:p w14:paraId="3EF45901">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合同文件组成及优先顺序为：</w:t>
      </w:r>
    </w:p>
    <w:p w14:paraId="0B635263">
      <w:pPr>
        <w:autoSpaceDE w:val="0"/>
        <w:autoSpaceDN w:val="0"/>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（1）合同协议书</w:t>
      </w:r>
      <w:r>
        <w:rPr>
          <w:rFonts w:hint="eastAsia" w:ascii="宋体" w:hAnsi="宋体" w:cs="仿宋"/>
          <w:sz w:val="24"/>
        </w:rPr>
        <w:t>；</w:t>
      </w:r>
    </w:p>
    <w:p w14:paraId="7BA4514F">
      <w:pPr>
        <w:autoSpaceDE w:val="0"/>
        <w:autoSpaceDN w:val="0"/>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（2）中标通知书</w:t>
      </w:r>
      <w:r>
        <w:rPr>
          <w:rFonts w:hint="eastAsia" w:ascii="宋体" w:hAnsi="宋体" w:cs="仿宋"/>
          <w:sz w:val="24"/>
        </w:rPr>
        <w:t>；</w:t>
      </w:r>
    </w:p>
    <w:p w14:paraId="0BA00C61">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（3）投标函及其附录以及询标纪要（如果有）</w:t>
      </w:r>
      <w:r>
        <w:rPr>
          <w:rFonts w:hint="eastAsia" w:ascii="宋体" w:hAnsi="宋体" w:cs="仿宋"/>
          <w:sz w:val="24"/>
        </w:rPr>
        <w:t>；</w:t>
      </w:r>
    </w:p>
    <w:p w14:paraId="3AC95537">
      <w:pPr>
        <w:autoSpaceDE w:val="0"/>
        <w:autoSpaceDN w:val="0"/>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（4）专用合同条款及其附件</w:t>
      </w:r>
      <w:r>
        <w:rPr>
          <w:rFonts w:hint="eastAsia" w:ascii="宋体" w:hAnsi="宋体" w:cs="仿宋"/>
          <w:sz w:val="24"/>
        </w:rPr>
        <w:t>；</w:t>
      </w:r>
    </w:p>
    <w:p w14:paraId="0FE510BD">
      <w:pPr>
        <w:autoSpaceDE w:val="0"/>
        <w:autoSpaceDN w:val="0"/>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（5）通用合同条款</w:t>
      </w:r>
      <w:r>
        <w:rPr>
          <w:rFonts w:hint="eastAsia" w:ascii="宋体" w:hAnsi="宋体" w:cs="仿宋"/>
          <w:sz w:val="24"/>
        </w:rPr>
        <w:t>；</w:t>
      </w:r>
    </w:p>
    <w:p w14:paraId="0CF0FF95">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（6）技术标准和要求</w:t>
      </w:r>
      <w:r>
        <w:rPr>
          <w:rFonts w:hint="eastAsia" w:ascii="宋体" w:hAnsi="宋体" w:cs="仿宋"/>
          <w:sz w:val="24"/>
        </w:rPr>
        <w:t>；</w:t>
      </w:r>
    </w:p>
    <w:p w14:paraId="548FCFB5">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（7）图纸；</w:t>
      </w:r>
    </w:p>
    <w:p w14:paraId="08840B53">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（8）已标价工程量清单或预算书</w:t>
      </w:r>
      <w:r>
        <w:rPr>
          <w:rFonts w:hint="eastAsia" w:ascii="宋体" w:hAnsi="宋体" w:cs="仿宋"/>
          <w:sz w:val="24"/>
        </w:rPr>
        <w:t>；</w:t>
      </w:r>
    </w:p>
    <w:p w14:paraId="0BF1E66E">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（9）施工组织设计</w:t>
      </w:r>
      <w:r>
        <w:rPr>
          <w:rFonts w:hint="eastAsia" w:ascii="宋体" w:hAnsi="宋体" w:cs="仿宋"/>
          <w:sz w:val="24"/>
        </w:rPr>
        <w:t>；</w:t>
      </w:r>
    </w:p>
    <w:p w14:paraId="2A7D5DCA">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（10）其他：招标文件（含招标工程量清单）及招标答疑；</w:t>
      </w:r>
    </w:p>
    <w:p w14:paraId="66702E30">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（11）其他合同文件</w:t>
      </w:r>
      <w:r>
        <w:rPr>
          <w:rFonts w:hint="eastAsia" w:ascii="宋体" w:hAnsi="宋体" w:cs="仿宋"/>
          <w:sz w:val="24"/>
        </w:rPr>
        <w:t>。</w:t>
      </w:r>
    </w:p>
    <w:p w14:paraId="66B8F1AC">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1.5 图纸和承包人文件</w:t>
      </w:r>
      <w:r>
        <w:rPr>
          <w:rFonts w:hint="eastAsia" w:ascii="宋体" w:hAnsi="宋体" w:cs="仿宋"/>
          <w:bCs/>
          <w:sz w:val="24"/>
        </w:rPr>
        <w:tab/>
      </w:r>
    </w:p>
    <w:p w14:paraId="0332B421">
      <w:pPr>
        <w:adjustRightInd w:val="0"/>
        <w:spacing w:line="500" w:lineRule="exact"/>
        <w:ind w:firstLine="480" w:firstLineChars="200"/>
        <w:contextualSpacing/>
        <w:rPr>
          <w:rFonts w:ascii="宋体" w:hAnsi="宋体" w:cs="仿宋"/>
          <w:sz w:val="24"/>
        </w:rPr>
      </w:pPr>
      <w:r>
        <w:rPr>
          <w:rFonts w:hint="eastAsia" w:ascii="宋体" w:hAnsi="宋体" w:cs="仿宋"/>
          <w:sz w:val="24"/>
        </w:rPr>
        <w:t>1.5.1 图纸的提供</w:t>
      </w:r>
    </w:p>
    <w:p w14:paraId="1F360D19">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发包人向承包人提供图纸的期限：</w:t>
      </w:r>
      <w:r>
        <w:rPr>
          <w:rFonts w:hint="eastAsia" w:ascii="宋体" w:hAnsi="宋体" w:cs="仿宋"/>
          <w:sz w:val="24"/>
          <w:u w:val="single"/>
        </w:rPr>
        <w:t>合同签订后5个工作日内（至迟不得晚于第7.3.2项〔开工通知〕载明的开工日期前14天）</w:t>
      </w:r>
      <w:r>
        <w:rPr>
          <w:rFonts w:hint="eastAsia" w:ascii="宋体" w:hAnsi="宋体" w:cs="仿宋"/>
          <w:sz w:val="24"/>
        </w:rPr>
        <w:t>。</w:t>
      </w:r>
    </w:p>
    <w:p w14:paraId="441E44F3">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发包人向承包人提供图纸的数量：</w:t>
      </w:r>
      <w:r>
        <w:rPr>
          <w:rFonts w:hint="eastAsia" w:ascii="宋体" w:hAnsi="宋体" w:cs="仿宋"/>
          <w:sz w:val="24"/>
          <w:u w:val="single"/>
        </w:rPr>
        <w:t>陆套</w:t>
      </w:r>
      <w:r>
        <w:rPr>
          <w:rFonts w:hint="eastAsia" w:ascii="宋体" w:hAnsi="宋体" w:cs="仿宋"/>
          <w:sz w:val="24"/>
        </w:rPr>
        <w:t>。</w:t>
      </w:r>
    </w:p>
    <w:p w14:paraId="46E94B3B">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发包人向承包人提供图纸的内容：</w:t>
      </w:r>
      <w:r>
        <w:rPr>
          <w:rFonts w:hint="eastAsia" w:ascii="宋体" w:hAnsi="宋体" w:cs="仿宋"/>
          <w:sz w:val="24"/>
          <w:u w:val="single"/>
        </w:rPr>
        <w:t>施工图、设计联系单等</w:t>
      </w:r>
      <w:r>
        <w:rPr>
          <w:rFonts w:hint="eastAsia" w:ascii="宋体" w:hAnsi="宋体" w:cs="仿宋"/>
          <w:sz w:val="24"/>
        </w:rPr>
        <w:t>。</w:t>
      </w:r>
    </w:p>
    <w:p w14:paraId="3A496202">
      <w:pPr>
        <w:adjustRightInd w:val="0"/>
        <w:spacing w:line="500" w:lineRule="exact"/>
        <w:ind w:firstLine="480" w:firstLineChars="200"/>
        <w:contextualSpacing/>
        <w:rPr>
          <w:rFonts w:ascii="宋体" w:hAnsi="宋体" w:cs="仿宋"/>
          <w:sz w:val="24"/>
        </w:rPr>
      </w:pPr>
      <w:r>
        <w:rPr>
          <w:rFonts w:hint="eastAsia" w:ascii="宋体" w:hAnsi="宋体" w:cs="仿宋"/>
          <w:sz w:val="24"/>
        </w:rPr>
        <w:t>1.5.2 承包人文件</w:t>
      </w:r>
    </w:p>
    <w:p w14:paraId="765AE31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需要由承包人提供的文件，包括：</w:t>
      </w:r>
      <w:r>
        <w:rPr>
          <w:rFonts w:hint="eastAsia" w:ascii="宋体" w:hAnsi="宋体" w:cs="仿宋"/>
          <w:sz w:val="24"/>
          <w:u w:val="single"/>
        </w:rPr>
        <w:t>发包人、监理人要求提供的开工前所需的所有资料。包括本工程适用的国家现行的施工规范、国家现行的验收规范、国家现行的质量验评标准及国家及地方现行施工验收及施工安全技术规范等，对危险性较大的分部分项工程，承包人需提供与自身报价相应的安全专项施工方案，防范建筑施工生产安全事故的发生</w:t>
      </w:r>
      <w:r>
        <w:rPr>
          <w:rFonts w:hint="eastAsia" w:ascii="宋体" w:hAnsi="宋体" w:cs="仿宋"/>
          <w:sz w:val="24"/>
        </w:rPr>
        <w:t>。</w:t>
      </w:r>
    </w:p>
    <w:p w14:paraId="6647677D">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承包人提供的文件的期限为：</w:t>
      </w:r>
      <w:r>
        <w:rPr>
          <w:rFonts w:hint="eastAsia" w:ascii="宋体" w:hAnsi="宋体" w:cs="仿宋"/>
          <w:sz w:val="24"/>
          <w:u w:val="single"/>
        </w:rPr>
        <w:t>合同签订后5个工作日内</w:t>
      </w:r>
      <w:r>
        <w:rPr>
          <w:rFonts w:hint="eastAsia" w:ascii="宋体" w:hAnsi="宋体" w:cs="仿宋"/>
          <w:sz w:val="24"/>
        </w:rPr>
        <w:t>。</w:t>
      </w:r>
    </w:p>
    <w:p w14:paraId="204B6F1C">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承包人提供的文件的数量为：</w:t>
      </w:r>
      <w:r>
        <w:rPr>
          <w:rFonts w:hint="eastAsia" w:ascii="宋体" w:hAnsi="宋体" w:cs="仿宋"/>
          <w:sz w:val="24"/>
          <w:u w:val="single"/>
        </w:rPr>
        <w:t>开工报告及其余文件均陆份</w:t>
      </w:r>
      <w:r>
        <w:rPr>
          <w:rFonts w:hint="eastAsia" w:ascii="宋体" w:hAnsi="宋体" w:cs="仿宋"/>
          <w:sz w:val="24"/>
        </w:rPr>
        <w:t>。</w:t>
      </w:r>
    </w:p>
    <w:p w14:paraId="40E74CE1">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承包人提供的文件的形式为：</w:t>
      </w:r>
      <w:r>
        <w:rPr>
          <w:rFonts w:hint="eastAsia" w:ascii="宋体" w:hAnsi="宋体" w:cs="仿宋"/>
          <w:sz w:val="24"/>
          <w:u w:val="single"/>
        </w:rPr>
        <w:t>书面形式</w:t>
      </w:r>
      <w:r>
        <w:rPr>
          <w:rFonts w:hint="eastAsia" w:ascii="宋体" w:hAnsi="宋体" w:cs="仿宋"/>
          <w:sz w:val="24"/>
        </w:rPr>
        <w:t>。</w:t>
      </w:r>
    </w:p>
    <w:p w14:paraId="7E4F936C">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发包人审批承包人文件的期限：</w:t>
      </w:r>
      <w:r>
        <w:rPr>
          <w:rFonts w:hint="eastAsia" w:ascii="宋体" w:hAnsi="宋体" w:cs="仿宋"/>
          <w:sz w:val="24"/>
          <w:u w:val="single"/>
        </w:rPr>
        <w:t>按通用条款执行。</w:t>
      </w:r>
    </w:p>
    <w:p w14:paraId="3D585CF6">
      <w:pPr>
        <w:adjustRightInd w:val="0"/>
        <w:spacing w:line="500" w:lineRule="exact"/>
        <w:ind w:firstLine="480" w:firstLineChars="200"/>
        <w:contextualSpacing/>
        <w:rPr>
          <w:rFonts w:ascii="宋体" w:hAnsi="宋体" w:cs="仿宋"/>
          <w:sz w:val="24"/>
        </w:rPr>
      </w:pPr>
      <w:r>
        <w:rPr>
          <w:rFonts w:hint="eastAsia" w:ascii="宋体" w:hAnsi="宋体" w:cs="仿宋"/>
          <w:sz w:val="24"/>
        </w:rPr>
        <w:t>1.5.3 现场图纸准备</w:t>
      </w:r>
    </w:p>
    <w:p w14:paraId="5A425DC3">
      <w:pPr>
        <w:adjustRightInd w:val="0"/>
        <w:spacing w:line="500" w:lineRule="exact"/>
        <w:ind w:firstLine="480" w:firstLineChars="200"/>
        <w:contextualSpacing/>
        <w:rPr>
          <w:rFonts w:ascii="宋体" w:hAnsi="宋体" w:cs="仿宋"/>
          <w:sz w:val="24"/>
        </w:rPr>
      </w:pPr>
      <w:r>
        <w:rPr>
          <w:rFonts w:hint="eastAsia" w:ascii="宋体" w:hAnsi="宋体" w:cs="仿宋"/>
          <w:sz w:val="24"/>
        </w:rPr>
        <w:t>关于现场图纸准备的约定：</w:t>
      </w:r>
      <w:r>
        <w:rPr>
          <w:rFonts w:hint="eastAsia" w:ascii="宋体" w:hAnsi="宋体" w:cs="仿宋"/>
          <w:sz w:val="24"/>
          <w:u w:val="single"/>
        </w:rPr>
        <w:t>承包人应在施工现场办公室另外保存至少一套完整的图纸（盖图审章的）和承包人文件，供发包人、监理人及有关人员进行工程检查时使用。</w:t>
      </w:r>
      <w:r>
        <w:rPr>
          <w:rFonts w:ascii="宋体" w:hAnsi="宋体" w:cs="仿宋"/>
          <w:sz w:val="24"/>
          <w:u w:val="single"/>
        </w:rPr>
        <w:t>如需要使用标准图集的，由承包人负责提供，产生的费用由承包人承担。</w:t>
      </w:r>
    </w:p>
    <w:p w14:paraId="71432788">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1.6 联络</w:t>
      </w:r>
    </w:p>
    <w:p w14:paraId="64A6C294">
      <w:pPr>
        <w:adjustRightInd w:val="0"/>
        <w:spacing w:line="500" w:lineRule="exact"/>
        <w:ind w:firstLine="480" w:firstLineChars="200"/>
        <w:contextualSpacing/>
        <w:rPr>
          <w:rFonts w:ascii="宋体" w:hAnsi="宋体" w:cs="仿宋"/>
          <w:sz w:val="24"/>
        </w:rPr>
      </w:pPr>
      <w:r>
        <w:rPr>
          <w:rFonts w:hint="eastAsia" w:ascii="宋体" w:hAnsi="宋体" w:cs="仿宋"/>
          <w:sz w:val="24"/>
        </w:rPr>
        <w:t>1.6.1发包人和承包人应当在</w:t>
      </w:r>
      <w:r>
        <w:rPr>
          <w:rFonts w:hint="eastAsia" w:ascii="宋体" w:hAnsi="宋体" w:cs="仿宋"/>
          <w:sz w:val="24"/>
          <w:u w:val="single"/>
        </w:rPr>
        <w:t>7</w:t>
      </w:r>
      <w:r>
        <w:rPr>
          <w:rFonts w:hint="eastAsia" w:ascii="宋体" w:hAnsi="宋体" w:cs="仿宋"/>
          <w:sz w:val="24"/>
        </w:rPr>
        <w:t>天内将与合同有关的通知、批准、证明、证书、指示、指令、要求、请求、同意、意见、确定和决定等书面函件送达对方当事人。</w:t>
      </w:r>
    </w:p>
    <w:p w14:paraId="384ED042">
      <w:pPr>
        <w:adjustRightInd w:val="0"/>
        <w:spacing w:line="500" w:lineRule="exact"/>
        <w:ind w:firstLine="480" w:firstLineChars="200"/>
        <w:contextualSpacing/>
        <w:rPr>
          <w:rFonts w:ascii="宋体" w:hAnsi="宋体" w:cs="仿宋"/>
          <w:sz w:val="24"/>
        </w:rPr>
      </w:pPr>
      <w:r>
        <w:rPr>
          <w:rFonts w:hint="eastAsia" w:ascii="宋体" w:hAnsi="宋体" w:cs="仿宋"/>
          <w:sz w:val="24"/>
        </w:rPr>
        <w:t>1.6.2 发包人接收文件的地点：</w:t>
      </w:r>
      <w:r>
        <w:rPr>
          <w:rFonts w:hint="eastAsia" w:ascii="宋体" w:hAnsi="宋体" w:cs="仿宋"/>
          <w:sz w:val="24"/>
          <w:u w:val="single"/>
        </w:rPr>
        <w:t>工程现场或发包人所在地</w:t>
      </w:r>
      <w:r>
        <w:rPr>
          <w:rFonts w:hint="eastAsia" w:ascii="宋体" w:hAnsi="宋体" w:cs="仿宋"/>
          <w:sz w:val="24"/>
        </w:rPr>
        <w:t>。</w:t>
      </w:r>
    </w:p>
    <w:p w14:paraId="1AC492C0">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发包人指定的接收人为：</w:t>
      </w:r>
      <w:r>
        <w:rPr>
          <w:rFonts w:hint="eastAsia" w:ascii="宋体" w:hAnsi="宋体" w:cs="仿宋"/>
          <w:sz w:val="24"/>
          <w:u w:val="single"/>
        </w:rPr>
        <w:t>发包人代表</w:t>
      </w:r>
      <w:r>
        <w:rPr>
          <w:rFonts w:hint="eastAsia" w:ascii="宋体" w:hAnsi="宋体" w:cs="仿宋"/>
          <w:sz w:val="24"/>
        </w:rPr>
        <w:t>。</w:t>
      </w:r>
    </w:p>
    <w:p w14:paraId="666F467A">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承包人接收文件的地点：</w:t>
      </w:r>
      <w:r>
        <w:rPr>
          <w:rFonts w:hint="eastAsia" w:ascii="宋体" w:hAnsi="宋体" w:cs="仿宋"/>
          <w:sz w:val="24"/>
          <w:u w:val="single"/>
        </w:rPr>
        <w:t>工程现场</w:t>
      </w:r>
      <w:r>
        <w:rPr>
          <w:rFonts w:hint="eastAsia" w:ascii="宋体" w:hAnsi="宋体" w:cs="仿宋"/>
          <w:sz w:val="24"/>
        </w:rPr>
        <w:t>。</w:t>
      </w:r>
    </w:p>
    <w:p w14:paraId="10314479">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承包人指定的接收人为：</w:t>
      </w:r>
      <w:r>
        <w:rPr>
          <w:rFonts w:hint="eastAsia" w:ascii="宋体" w:hAnsi="宋体" w:cs="仿宋"/>
          <w:sz w:val="24"/>
          <w:u w:val="single"/>
        </w:rPr>
        <w:t>项目经理</w:t>
      </w:r>
      <w:r>
        <w:rPr>
          <w:rFonts w:hint="eastAsia" w:ascii="宋体" w:hAnsi="宋体" w:cs="仿宋"/>
          <w:sz w:val="24"/>
        </w:rPr>
        <w:t>。</w:t>
      </w:r>
    </w:p>
    <w:p w14:paraId="42ED2ACD">
      <w:pPr>
        <w:adjustRightInd w:val="0"/>
        <w:spacing w:line="500" w:lineRule="exact"/>
        <w:ind w:firstLine="480" w:firstLineChars="200"/>
        <w:contextualSpacing/>
        <w:rPr>
          <w:rFonts w:ascii="宋体" w:hAnsi="宋体" w:cs="仿宋"/>
          <w:sz w:val="24"/>
        </w:rPr>
      </w:pPr>
      <w:r>
        <w:rPr>
          <w:rFonts w:hint="eastAsia" w:ascii="宋体" w:hAnsi="宋体" w:cs="仿宋"/>
          <w:sz w:val="24"/>
        </w:rPr>
        <w:t>监理人接收文件的地点：</w:t>
      </w:r>
      <w:r>
        <w:rPr>
          <w:rFonts w:hint="eastAsia" w:ascii="宋体" w:hAnsi="宋体" w:cs="仿宋"/>
          <w:sz w:val="24"/>
          <w:u w:val="single"/>
        </w:rPr>
        <w:t>工程现场</w:t>
      </w:r>
      <w:r>
        <w:rPr>
          <w:rFonts w:hint="eastAsia" w:ascii="宋体" w:hAnsi="宋体" w:cs="仿宋"/>
          <w:sz w:val="24"/>
        </w:rPr>
        <w:t>。</w:t>
      </w:r>
    </w:p>
    <w:p w14:paraId="6A1C901C">
      <w:pPr>
        <w:adjustRightInd w:val="0"/>
        <w:spacing w:line="500" w:lineRule="exact"/>
        <w:ind w:firstLine="480" w:firstLineChars="200"/>
        <w:contextualSpacing/>
        <w:rPr>
          <w:rFonts w:ascii="宋体" w:hAnsi="宋体" w:cs="仿宋"/>
          <w:sz w:val="24"/>
        </w:rPr>
      </w:pPr>
      <w:r>
        <w:rPr>
          <w:rFonts w:hint="eastAsia" w:ascii="宋体" w:hAnsi="宋体" w:cs="仿宋"/>
          <w:sz w:val="24"/>
        </w:rPr>
        <w:t>监理人指定的接收人为：</w:t>
      </w:r>
      <w:r>
        <w:rPr>
          <w:rFonts w:hint="eastAsia" w:ascii="宋体" w:hAnsi="宋体" w:cs="仿宋"/>
          <w:sz w:val="24"/>
          <w:u w:val="single"/>
        </w:rPr>
        <w:t>总监或总监代表</w:t>
      </w:r>
      <w:r>
        <w:rPr>
          <w:rFonts w:hint="eastAsia" w:ascii="宋体" w:hAnsi="宋体" w:cs="仿宋"/>
          <w:sz w:val="24"/>
        </w:rPr>
        <w:t>。</w:t>
      </w:r>
    </w:p>
    <w:p w14:paraId="5E271AE2">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1.7 交通运输</w:t>
      </w:r>
    </w:p>
    <w:p w14:paraId="36182238">
      <w:pPr>
        <w:adjustRightInd w:val="0"/>
        <w:spacing w:line="500" w:lineRule="exact"/>
        <w:ind w:firstLine="480" w:firstLineChars="200"/>
        <w:contextualSpacing/>
        <w:rPr>
          <w:rFonts w:ascii="宋体" w:hAnsi="宋体" w:cs="仿宋"/>
          <w:sz w:val="24"/>
        </w:rPr>
      </w:pPr>
      <w:r>
        <w:rPr>
          <w:rFonts w:hint="eastAsia" w:ascii="宋体" w:hAnsi="宋体" w:cs="仿宋"/>
          <w:sz w:val="24"/>
        </w:rPr>
        <w:t>1.7.1 出入现场的权利</w:t>
      </w:r>
    </w:p>
    <w:p w14:paraId="09ED9325">
      <w:pPr>
        <w:adjustRightInd w:val="0"/>
        <w:spacing w:line="500" w:lineRule="exact"/>
        <w:ind w:firstLine="480" w:firstLineChars="200"/>
        <w:contextualSpacing/>
        <w:rPr>
          <w:rFonts w:ascii="宋体" w:hAnsi="宋体" w:cs="仿宋"/>
          <w:sz w:val="24"/>
        </w:rPr>
      </w:pPr>
      <w:r>
        <w:rPr>
          <w:rFonts w:hint="eastAsia" w:ascii="宋体" w:hAnsi="宋体" w:cs="仿宋"/>
          <w:sz w:val="24"/>
        </w:rPr>
        <w:t>关于出入现场的权利的约定：</w:t>
      </w:r>
      <w:r>
        <w:rPr>
          <w:rFonts w:hint="eastAsia" w:ascii="宋体" w:hAnsi="宋体" w:cs="仿宋"/>
          <w:sz w:val="24"/>
          <w:u w:val="single"/>
        </w:rPr>
        <w:t>/ </w:t>
      </w:r>
      <w:r>
        <w:rPr>
          <w:rFonts w:hint="eastAsia" w:ascii="宋体" w:hAnsi="宋体" w:cs="仿宋"/>
          <w:sz w:val="24"/>
        </w:rPr>
        <w:t>。</w:t>
      </w:r>
    </w:p>
    <w:p w14:paraId="4EEACF4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1.7.2 场内交通</w:t>
      </w:r>
    </w:p>
    <w:p w14:paraId="19CD5A1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关于场外交通和场内交通的边界的约定：</w:t>
      </w:r>
      <w:r>
        <w:rPr>
          <w:rFonts w:hint="eastAsia" w:ascii="宋体" w:hAnsi="宋体" w:cs="仿宋"/>
          <w:sz w:val="24"/>
          <w:u w:val="single"/>
        </w:rPr>
        <w:t>一般以规划红线为界；若有施工现场围墙（挡）的，则以现场围墙（挡）为界；若有发包人提供场外临时用地的，则临时用地范围也为场内交通</w:t>
      </w:r>
      <w:r>
        <w:rPr>
          <w:rFonts w:hint="eastAsia" w:ascii="宋体" w:hAnsi="宋体" w:cs="仿宋"/>
          <w:sz w:val="24"/>
        </w:rPr>
        <w:t>。</w:t>
      </w:r>
    </w:p>
    <w:p w14:paraId="76FA541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关于发包人向承包人免费提供满足工程施工需要的场内道路和交通设施的约定：</w:t>
      </w:r>
      <w:r>
        <w:rPr>
          <w:rFonts w:hint="eastAsia" w:ascii="宋体" w:hAnsi="宋体" w:cs="仿宋"/>
          <w:sz w:val="24"/>
          <w:u w:val="single"/>
        </w:rPr>
        <w:t>由承包人负责自行解决并承担费用</w:t>
      </w:r>
      <w:r>
        <w:rPr>
          <w:rFonts w:hint="eastAsia" w:ascii="宋体" w:hAnsi="宋体" w:cs="仿宋"/>
          <w:sz w:val="24"/>
        </w:rPr>
        <w:t>。</w:t>
      </w:r>
    </w:p>
    <w:p w14:paraId="11DE157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1.7.3超大件和超重件的运输</w:t>
      </w:r>
    </w:p>
    <w:p w14:paraId="0067D8A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运输超大件或超重件所需的道路和桥梁临时加固改造费用和其他有关费用由</w:t>
      </w:r>
      <w:r>
        <w:rPr>
          <w:rFonts w:hint="eastAsia" w:ascii="宋体" w:hAnsi="宋体" w:cs="仿宋"/>
          <w:sz w:val="24"/>
          <w:u w:val="single"/>
        </w:rPr>
        <w:t>承包人</w:t>
      </w:r>
      <w:r>
        <w:rPr>
          <w:rFonts w:hint="eastAsia" w:ascii="宋体" w:hAnsi="宋体" w:cs="仿宋"/>
          <w:sz w:val="24"/>
        </w:rPr>
        <w:t>承担。</w:t>
      </w:r>
    </w:p>
    <w:p w14:paraId="72247E00">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1.8知识产权</w:t>
      </w:r>
    </w:p>
    <w:p w14:paraId="124FE4FB">
      <w:pPr>
        <w:adjustRightInd w:val="0"/>
        <w:spacing w:line="500" w:lineRule="exact"/>
        <w:ind w:firstLine="480" w:firstLineChars="200"/>
        <w:contextualSpacing/>
        <w:rPr>
          <w:rFonts w:ascii="宋体" w:hAnsi="宋体" w:cs="仿宋"/>
          <w:sz w:val="24"/>
        </w:rPr>
      </w:pPr>
      <w:r>
        <w:rPr>
          <w:rFonts w:hint="eastAsia" w:ascii="宋体" w:hAnsi="宋体" w:cs="仿宋"/>
          <w:sz w:val="24"/>
        </w:rPr>
        <w:t>1.8.1关于发包人提供给承包人的图纸、发包人为实施工程自行编制或委托编制的技术规范以及反映发包人关于合同要求或其他类似性质的文件的著作权的归属：</w:t>
      </w:r>
      <w:r>
        <w:rPr>
          <w:rFonts w:hint="eastAsia" w:ascii="宋体" w:hAnsi="宋体" w:cs="仿宋"/>
          <w:sz w:val="24"/>
          <w:u w:val="single"/>
        </w:rPr>
        <w:t>发包人</w:t>
      </w:r>
      <w:r>
        <w:rPr>
          <w:rFonts w:hint="eastAsia" w:ascii="宋体" w:hAnsi="宋体" w:cs="仿宋"/>
          <w:sz w:val="24"/>
        </w:rPr>
        <w:t>。</w:t>
      </w:r>
    </w:p>
    <w:p w14:paraId="21E6E217">
      <w:pPr>
        <w:adjustRightInd w:val="0"/>
        <w:spacing w:line="500" w:lineRule="exact"/>
        <w:ind w:firstLine="480" w:firstLineChars="200"/>
        <w:contextualSpacing/>
        <w:rPr>
          <w:rFonts w:ascii="宋体" w:hAnsi="宋体" w:cs="仿宋"/>
          <w:sz w:val="24"/>
        </w:rPr>
      </w:pPr>
      <w:r>
        <w:rPr>
          <w:rFonts w:hint="eastAsia" w:ascii="宋体" w:hAnsi="宋体" w:cs="仿宋"/>
          <w:sz w:val="24"/>
        </w:rPr>
        <w:t>关于发包人提供的上述文件的使用限制的要求：</w:t>
      </w:r>
      <w:r>
        <w:rPr>
          <w:rFonts w:hint="eastAsia" w:ascii="宋体" w:hAnsi="宋体" w:cs="仿宋"/>
          <w:sz w:val="24"/>
          <w:u w:val="single"/>
        </w:rPr>
        <w:t xml:space="preserve">     /      </w:t>
      </w:r>
      <w:r>
        <w:rPr>
          <w:rFonts w:hint="eastAsia" w:ascii="宋体" w:hAnsi="宋体" w:cs="仿宋"/>
          <w:sz w:val="24"/>
        </w:rPr>
        <w:t>。</w:t>
      </w:r>
    </w:p>
    <w:p w14:paraId="280E207C">
      <w:pPr>
        <w:adjustRightInd w:val="0"/>
        <w:spacing w:line="500" w:lineRule="exact"/>
        <w:ind w:firstLine="480" w:firstLineChars="200"/>
        <w:contextualSpacing/>
        <w:rPr>
          <w:rFonts w:ascii="宋体" w:hAnsi="宋体" w:cs="仿宋"/>
          <w:sz w:val="24"/>
        </w:rPr>
      </w:pPr>
      <w:r>
        <w:rPr>
          <w:rFonts w:hint="eastAsia" w:ascii="宋体" w:hAnsi="宋体" w:cs="仿宋"/>
          <w:sz w:val="24"/>
        </w:rPr>
        <w:t>1.8.2 关于承包人为实施工程所编制文件的著作权的归属：</w:t>
      </w:r>
      <w:r>
        <w:rPr>
          <w:rFonts w:hint="eastAsia" w:ascii="宋体" w:hAnsi="宋体" w:cs="仿宋"/>
          <w:sz w:val="24"/>
          <w:u w:val="single"/>
        </w:rPr>
        <w:t>发包人</w:t>
      </w:r>
      <w:r>
        <w:rPr>
          <w:rFonts w:hint="eastAsia" w:ascii="宋体" w:hAnsi="宋体" w:cs="仿宋"/>
          <w:sz w:val="24"/>
        </w:rPr>
        <w:t>。</w:t>
      </w:r>
    </w:p>
    <w:p w14:paraId="3290462E">
      <w:pPr>
        <w:adjustRightInd w:val="0"/>
        <w:spacing w:line="500" w:lineRule="exact"/>
        <w:ind w:firstLine="480" w:firstLineChars="200"/>
        <w:contextualSpacing/>
        <w:rPr>
          <w:rFonts w:ascii="宋体" w:hAnsi="宋体" w:cs="仿宋"/>
          <w:sz w:val="24"/>
        </w:rPr>
      </w:pPr>
      <w:r>
        <w:rPr>
          <w:rFonts w:hint="eastAsia" w:ascii="宋体" w:hAnsi="宋体" w:cs="仿宋"/>
          <w:sz w:val="24"/>
        </w:rPr>
        <w:t>关于承包人提供的上述文件的使用限制的要求：</w:t>
      </w:r>
      <w:r>
        <w:rPr>
          <w:rFonts w:hint="eastAsia" w:ascii="宋体" w:hAnsi="宋体" w:cs="仿宋"/>
          <w:sz w:val="24"/>
          <w:u w:val="single"/>
        </w:rPr>
        <w:t xml:space="preserve">   /     </w:t>
      </w:r>
      <w:r>
        <w:rPr>
          <w:rFonts w:hint="eastAsia" w:ascii="宋体" w:hAnsi="宋体" w:cs="仿宋"/>
          <w:sz w:val="24"/>
        </w:rPr>
        <w:t>。</w:t>
      </w:r>
    </w:p>
    <w:p w14:paraId="4EFA6B2B">
      <w:pPr>
        <w:adjustRightInd w:val="0"/>
        <w:spacing w:line="500" w:lineRule="exact"/>
        <w:ind w:firstLine="480" w:firstLineChars="200"/>
        <w:contextualSpacing/>
        <w:rPr>
          <w:rFonts w:ascii="宋体" w:hAnsi="宋体" w:cs="仿宋"/>
          <w:sz w:val="24"/>
        </w:rPr>
      </w:pPr>
      <w:r>
        <w:rPr>
          <w:rFonts w:hint="eastAsia" w:ascii="宋体" w:hAnsi="宋体" w:cs="仿宋"/>
          <w:sz w:val="24"/>
        </w:rPr>
        <w:t>1.8.3 承包人在施工过程中所采用的专利、专有技术、技术秘密的使用费的承担方式：</w:t>
      </w:r>
      <w:r>
        <w:rPr>
          <w:rFonts w:hint="eastAsia" w:ascii="宋体" w:hAnsi="宋体" w:cs="仿宋"/>
          <w:sz w:val="24"/>
          <w:u w:val="single"/>
        </w:rPr>
        <w:t>（除发包人指明外）承包人在施工过程中所采用的专利、专有技术、技术秘密的使用费包含在合同价款内</w:t>
      </w:r>
      <w:r>
        <w:rPr>
          <w:rFonts w:hint="eastAsia" w:ascii="宋体" w:hAnsi="宋体" w:cs="仿宋"/>
          <w:sz w:val="24"/>
        </w:rPr>
        <w:t>。</w:t>
      </w:r>
    </w:p>
    <w:p w14:paraId="0284AA58">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1.9工程量清单错误的修正</w:t>
      </w:r>
    </w:p>
    <w:p w14:paraId="1AB85D4C">
      <w:pPr>
        <w:adjustRightInd w:val="0"/>
        <w:spacing w:line="500" w:lineRule="exact"/>
        <w:ind w:firstLine="480" w:firstLineChars="200"/>
        <w:contextualSpacing/>
        <w:rPr>
          <w:rFonts w:ascii="宋体" w:hAnsi="宋体" w:cs="仿宋"/>
          <w:sz w:val="24"/>
        </w:rPr>
      </w:pPr>
      <w:r>
        <w:rPr>
          <w:rFonts w:hint="eastAsia" w:ascii="宋体" w:hAnsi="宋体" w:cs="仿宋"/>
          <w:sz w:val="24"/>
        </w:rPr>
        <w:t>出现工程量清单错误时，是否调整合同价格：</w:t>
      </w:r>
      <w:r>
        <w:rPr>
          <w:rFonts w:hint="eastAsia" w:ascii="宋体" w:hAnsi="宋体" w:cs="仿宋"/>
          <w:sz w:val="24"/>
          <w:u w:val="single"/>
        </w:rPr>
        <w:t>是</w:t>
      </w:r>
      <w:r>
        <w:rPr>
          <w:rFonts w:hint="eastAsia" w:ascii="宋体" w:hAnsi="宋体" w:cs="仿宋"/>
          <w:sz w:val="24"/>
        </w:rPr>
        <w:t>。</w:t>
      </w:r>
    </w:p>
    <w:p w14:paraId="09595C5D">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允许调整合同价格的工程量偏差范围：</w:t>
      </w:r>
      <w:r>
        <w:rPr>
          <w:rFonts w:hint="eastAsia" w:ascii="宋体" w:hAnsi="宋体" w:cs="仿宋"/>
          <w:sz w:val="24"/>
          <w:u w:val="single"/>
        </w:rPr>
        <w:t>按合同条款12.1条执行</w:t>
      </w:r>
      <w:r>
        <w:rPr>
          <w:rFonts w:hint="eastAsia" w:ascii="宋体" w:hAnsi="宋体" w:cs="仿宋"/>
          <w:sz w:val="24"/>
        </w:rPr>
        <w:t>。</w:t>
      </w:r>
    </w:p>
    <w:p w14:paraId="2F3D9E88">
      <w:pPr>
        <w:adjustRightInd w:val="0"/>
        <w:spacing w:line="500" w:lineRule="exact"/>
        <w:ind w:firstLine="480" w:firstLineChars="200"/>
        <w:contextualSpacing/>
        <w:rPr>
          <w:rFonts w:ascii="宋体" w:hAnsi="宋体" w:cs="仿宋"/>
          <w:sz w:val="24"/>
        </w:rPr>
      </w:pPr>
      <w:r>
        <w:rPr>
          <w:rFonts w:hint="eastAsia" w:ascii="宋体" w:hAnsi="宋体" w:cs="仿宋"/>
          <w:sz w:val="24"/>
        </w:rPr>
        <w:t>2.发包人</w:t>
      </w:r>
    </w:p>
    <w:p w14:paraId="12577CA5">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2.1 发包人代表</w:t>
      </w:r>
    </w:p>
    <w:p w14:paraId="6F481BA2">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发包人代表：</w:t>
      </w:r>
    </w:p>
    <w:p w14:paraId="54670A9F">
      <w:pPr>
        <w:adjustRightInd w:val="0"/>
        <w:spacing w:line="500" w:lineRule="exact"/>
        <w:ind w:firstLine="480" w:firstLineChars="200"/>
        <w:contextualSpacing/>
        <w:rPr>
          <w:rFonts w:ascii="宋体" w:hAnsi="宋体" w:cs="仿宋"/>
          <w:sz w:val="24"/>
        </w:rPr>
      </w:pPr>
      <w:r>
        <w:rPr>
          <w:rFonts w:hint="eastAsia" w:ascii="宋体" w:hAnsi="宋体" w:cs="仿宋"/>
          <w:sz w:val="24"/>
        </w:rPr>
        <w:t>姓名：。</w:t>
      </w:r>
    </w:p>
    <w:p w14:paraId="3EC85388">
      <w:pPr>
        <w:adjustRightInd w:val="0"/>
        <w:spacing w:line="500" w:lineRule="exact"/>
        <w:ind w:firstLine="480" w:firstLineChars="200"/>
        <w:contextualSpacing/>
        <w:rPr>
          <w:rFonts w:ascii="宋体" w:hAnsi="宋体" w:cs="仿宋"/>
          <w:sz w:val="24"/>
        </w:rPr>
      </w:pPr>
      <w:r>
        <w:rPr>
          <w:rFonts w:hint="eastAsia" w:ascii="宋体" w:hAnsi="宋体" w:cs="仿宋"/>
          <w:sz w:val="24"/>
        </w:rPr>
        <w:t>身份证号：</w:t>
      </w:r>
      <w:r>
        <w:rPr>
          <w:rFonts w:hint="eastAsia" w:ascii="宋体" w:hAnsi="宋体" w:cs="仿宋"/>
          <w:sz w:val="24"/>
          <w:u w:val="single"/>
        </w:rPr>
        <w:t></w:t>
      </w:r>
      <w:r>
        <w:rPr>
          <w:rFonts w:hint="eastAsia" w:ascii="宋体" w:hAnsi="宋体" w:cs="仿宋"/>
          <w:sz w:val="24"/>
        </w:rPr>
        <w:t>。</w:t>
      </w:r>
    </w:p>
    <w:p w14:paraId="52FDB51B">
      <w:pPr>
        <w:adjustRightInd w:val="0"/>
        <w:spacing w:line="500" w:lineRule="exact"/>
        <w:ind w:firstLine="480" w:firstLineChars="200"/>
        <w:contextualSpacing/>
        <w:rPr>
          <w:rFonts w:ascii="宋体" w:hAnsi="宋体" w:cs="仿宋"/>
          <w:sz w:val="24"/>
        </w:rPr>
      </w:pPr>
      <w:r>
        <w:rPr>
          <w:rFonts w:hint="eastAsia" w:ascii="宋体" w:hAnsi="宋体" w:cs="仿宋"/>
          <w:sz w:val="24"/>
        </w:rPr>
        <w:t>联系电话：</w:t>
      </w:r>
      <w:r>
        <w:rPr>
          <w:rFonts w:hint="eastAsia" w:ascii="宋体" w:hAnsi="宋体" w:cs="仿宋"/>
          <w:sz w:val="24"/>
          <w:u w:val="single"/>
        </w:rPr>
        <w:t></w:t>
      </w:r>
      <w:r>
        <w:rPr>
          <w:rFonts w:hint="eastAsia" w:ascii="宋体" w:hAnsi="宋体" w:cs="仿宋"/>
          <w:sz w:val="24"/>
        </w:rPr>
        <w:t>。</w:t>
      </w:r>
    </w:p>
    <w:p w14:paraId="7FF7467A">
      <w:pPr>
        <w:adjustRightInd w:val="0"/>
        <w:spacing w:line="500" w:lineRule="exact"/>
        <w:ind w:firstLine="480" w:firstLineChars="200"/>
        <w:contextualSpacing/>
        <w:rPr>
          <w:rFonts w:ascii="宋体" w:hAnsi="宋体" w:cs="仿宋"/>
          <w:sz w:val="24"/>
        </w:rPr>
      </w:pPr>
      <w:r>
        <w:rPr>
          <w:rFonts w:hint="eastAsia" w:ascii="宋体" w:hAnsi="宋体" w:cs="仿宋"/>
          <w:sz w:val="24"/>
        </w:rPr>
        <w:t>电子信箱：</w:t>
      </w:r>
      <w:r>
        <w:rPr>
          <w:rFonts w:hint="eastAsia" w:ascii="宋体" w:hAnsi="宋体" w:cs="仿宋"/>
          <w:sz w:val="24"/>
          <w:u w:val="single"/>
        </w:rPr>
        <w:t></w:t>
      </w:r>
      <w:r>
        <w:rPr>
          <w:rFonts w:hint="eastAsia" w:ascii="宋体" w:hAnsi="宋体" w:cs="仿宋"/>
          <w:sz w:val="24"/>
        </w:rPr>
        <w:t>。</w:t>
      </w:r>
    </w:p>
    <w:p w14:paraId="2AFC153C">
      <w:pPr>
        <w:adjustRightInd w:val="0"/>
        <w:spacing w:line="500" w:lineRule="exact"/>
        <w:ind w:firstLine="480" w:firstLineChars="200"/>
        <w:contextualSpacing/>
        <w:rPr>
          <w:rFonts w:ascii="宋体" w:hAnsi="宋体" w:cs="仿宋"/>
          <w:sz w:val="24"/>
        </w:rPr>
      </w:pPr>
      <w:r>
        <w:rPr>
          <w:rFonts w:hint="eastAsia" w:ascii="宋体" w:hAnsi="宋体" w:cs="仿宋"/>
          <w:sz w:val="24"/>
        </w:rPr>
        <w:t>通信地址：</w:t>
      </w:r>
      <w:r>
        <w:rPr>
          <w:rFonts w:hint="eastAsia" w:ascii="宋体" w:hAnsi="宋体" w:cs="仿宋"/>
          <w:sz w:val="24"/>
          <w:u w:val="single"/>
        </w:rPr>
        <w:t></w:t>
      </w:r>
      <w:r>
        <w:rPr>
          <w:rFonts w:hint="eastAsia" w:ascii="宋体" w:hAnsi="宋体" w:cs="仿宋"/>
          <w:sz w:val="24"/>
        </w:rPr>
        <w:t>。</w:t>
      </w:r>
    </w:p>
    <w:p w14:paraId="2C439B8A">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发包人对发包人代表的授权范围如下：</w:t>
      </w:r>
      <w:r>
        <w:rPr>
          <w:rFonts w:hint="eastAsia" w:ascii="宋体" w:hAnsi="宋体" w:cs="仿宋"/>
          <w:sz w:val="24"/>
          <w:u w:val="single"/>
        </w:rPr>
        <w:t>a.代表发包人对工程质量、进度、成本、安全及文明施工进行监督，工程存在质量问题或安全问题或施工进度不符合要求的，现场代表有权要求施工单位采取整改措施。</w:t>
      </w:r>
    </w:p>
    <w:p w14:paraId="2B6B415C">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b.发包人代表可委派有关具体管理人员，承担自己部分权力和职责，并可在任何时候撤回并重新委派，委派和撤回均应提前7天通知承包人。</w:t>
      </w:r>
    </w:p>
    <w:p w14:paraId="20B6C1CD">
      <w:pPr>
        <w:adjustRightInd w:val="0"/>
        <w:spacing w:line="500" w:lineRule="exact"/>
        <w:ind w:firstLine="480" w:firstLineChars="200"/>
        <w:contextualSpacing/>
        <w:rPr>
          <w:rFonts w:ascii="宋体" w:hAnsi="宋体" w:cs="仿宋"/>
          <w:sz w:val="24"/>
        </w:rPr>
      </w:pPr>
      <w:r>
        <w:rPr>
          <w:rFonts w:hint="eastAsia" w:ascii="宋体" w:hAnsi="宋体" w:cs="仿宋"/>
          <w:sz w:val="24"/>
          <w:u w:val="single"/>
        </w:rPr>
        <w:t>c.发包人代表的指令、通知及签证须发包人派驻的发包人代表签字并经按内部审批流程加盖发包人公章后，以书面形式由监理工程师签发交给承包人现场代表（或合同约定签收人），承包人代表（或合同约定签收人）在回执（签发登记表）上签署姓名和收到时间。当承包人代表不在施工现场时，发包人、监理工程师可要求属于承包人其它管理人员代签，签字后即可视为承包人代表已签收</w:t>
      </w:r>
      <w:r>
        <w:rPr>
          <w:rFonts w:hint="eastAsia" w:ascii="宋体" w:hAnsi="宋体" w:cs="仿宋"/>
          <w:sz w:val="24"/>
        </w:rPr>
        <w:t>。</w:t>
      </w:r>
    </w:p>
    <w:p w14:paraId="3E3BC97F">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2.2 施工现场、施工条件和基础资料的提供</w:t>
      </w:r>
    </w:p>
    <w:p w14:paraId="4153FC30">
      <w:pPr>
        <w:adjustRightInd w:val="0"/>
        <w:spacing w:line="500" w:lineRule="exact"/>
        <w:ind w:firstLine="480" w:firstLineChars="200"/>
        <w:contextualSpacing/>
        <w:rPr>
          <w:rFonts w:ascii="宋体" w:hAnsi="宋体" w:cs="仿宋"/>
          <w:sz w:val="24"/>
        </w:rPr>
      </w:pPr>
      <w:r>
        <w:rPr>
          <w:rFonts w:hint="eastAsia" w:ascii="宋体" w:hAnsi="宋体" w:cs="仿宋"/>
          <w:sz w:val="24"/>
        </w:rPr>
        <w:t>2.2.1 提供施工现场</w:t>
      </w:r>
    </w:p>
    <w:p w14:paraId="7CF759CD">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关于发包人移交施工现场的期限要求：</w:t>
      </w:r>
      <w:r>
        <w:rPr>
          <w:rFonts w:hint="eastAsia" w:ascii="宋体" w:hAnsi="宋体" w:cs="仿宋"/>
          <w:sz w:val="24"/>
          <w:u w:val="single"/>
        </w:rPr>
        <w:t>    / </w:t>
      </w:r>
      <w:r>
        <w:rPr>
          <w:rFonts w:hint="eastAsia" w:ascii="宋体" w:hAnsi="宋体" w:cs="仿宋"/>
          <w:sz w:val="24"/>
        </w:rPr>
        <w:t>。</w:t>
      </w:r>
    </w:p>
    <w:p w14:paraId="2F01607D">
      <w:pPr>
        <w:adjustRightInd w:val="0"/>
        <w:spacing w:line="500" w:lineRule="exact"/>
        <w:ind w:firstLine="480" w:firstLineChars="200"/>
        <w:contextualSpacing/>
        <w:rPr>
          <w:rFonts w:ascii="宋体" w:hAnsi="宋体" w:cs="仿宋"/>
          <w:sz w:val="24"/>
        </w:rPr>
      </w:pPr>
      <w:r>
        <w:rPr>
          <w:rFonts w:hint="eastAsia" w:ascii="宋体" w:hAnsi="宋体" w:cs="仿宋"/>
          <w:sz w:val="24"/>
        </w:rPr>
        <w:t>2.2.2 提供施工条件</w:t>
      </w:r>
    </w:p>
    <w:p w14:paraId="1E949733">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关于发包人应负责提供施工所需要的条件，包括：</w:t>
      </w:r>
    </w:p>
    <w:p w14:paraId="5851B3C2">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1）施工期间现场提供施工用电、生活用电接线口，由承包人承担管理、保护责任，如承包人使用不当、管理不到位、发生盗窃（除不可抗力以外）等造成损失的由承包人承担。施工用电、用水、通讯等申请及临时用电接线、接管由承包人自理，施工用电、用水通讯等申请、接线、接管费用及表后工程费用由承包人自理。</w:t>
      </w:r>
    </w:p>
    <w:p w14:paraId="293C64E4">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施工场地与公共道路的通道开通时间和要求：施工便道及进场通道等手续由承包人负责，进出场道路的保护措施，费用纳入措施项目费中。场内道路组织及场外施工便道由承包人自行考虑，费用已计入合同总价，包干使用。承包人应遵守当地交通部门限制通行的有关规定。如因工程需要临时占用红线外场地及市政道路，由承包人自行协调并负责办理审批手续，承担相应费用。</w:t>
      </w:r>
    </w:p>
    <w:p w14:paraId="1F0DDDCF">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（3）图纸会审和设计交底时间：开工日7天前，由发包人组织设计人、承包人、监理人进行图纸会审，设计人向承包人进行设计交底。</w:t>
      </w:r>
    </w:p>
    <w:p w14:paraId="6C427D46">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2.3 资金来源证明及支付担保</w:t>
      </w:r>
    </w:p>
    <w:p w14:paraId="04582DB9">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发包人提供资金来源证明的期限要求：</w:t>
      </w:r>
      <w:r>
        <w:rPr>
          <w:rFonts w:hint="eastAsia" w:ascii="宋体" w:hAnsi="宋体" w:cs="仿宋"/>
          <w:sz w:val="24"/>
          <w:u w:val="single"/>
        </w:rPr>
        <w:t xml:space="preserve">    /           </w:t>
      </w:r>
      <w:r>
        <w:rPr>
          <w:rFonts w:hint="eastAsia" w:ascii="宋体" w:hAnsi="宋体" w:cs="仿宋"/>
          <w:sz w:val="24"/>
        </w:rPr>
        <w:t>。</w:t>
      </w:r>
    </w:p>
    <w:p w14:paraId="3775A047">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发包人是否提供支付担保：</w:t>
      </w:r>
      <w:r>
        <w:rPr>
          <w:rFonts w:hint="eastAsia" w:ascii="宋体" w:hAnsi="宋体" w:cs="仿宋"/>
          <w:sz w:val="24"/>
          <w:u w:val="single"/>
        </w:rPr>
        <w:t xml:space="preserve">      /          </w:t>
      </w:r>
      <w:r>
        <w:rPr>
          <w:rFonts w:hint="eastAsia" w:ascii="宋体" w:hAnsi="宋体" w:cs="仿宋"/>
          <w:sz w:val="24"/>
        </w:rPr>
        <w:t>。</w:t>
      </w:r>
    </w:p>
    <w:p w14:paraId="2720BB9E">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发包人提供支付担保的形式：</w:t>
      </w:r>
      <w:r>
        <w:rPr>
          <w:rFonts w:hint="eastAsia" w:ascii="宋体" w:hAnsi="宋体" w:cs="仿宋"/>
          <w:sz w:val="24"/>
          <w:u w:val="single"/>
        </w:rPr>
        <w:t xml:space="preserve"> /          </w:t>
      </w:r>
      <w:r>
        <w:rPr>
          <w:rFonts w:hint="eastAsia" w:ascii="宋体" w:hAnsi="宋体" w:cs="仿宋"/>
          <w:sz w:val="24"/>
        </w:rPr>
        <w:t>。</w:t>
      </w:r>
    </w:p>
    <w:p w14:paraId="706ACA38">
      <w:pPr>
        <w:adjustRightInd w:val="0"/>
        <w:spacing w:line="500" w:lineRule="exact"/>
        <w:ind w:firstLine="480" w:firstLineChars="200"/>
        <w:contextualSpacing/>
        <w:rPr>
          <w:rFonts w:ascii="宋体" w:hAnsi="宋体" w:cs="仿宋"/>
          <w:sz w:val="24"/>
        </w:rPr>
      </w:pPr>
      <w:r>
        <w:rPr>
          <w:rFonts w:hint="eastAsia" w:ascii="宋体" w:hAnsi="宋体" w:cs="仿宋"/>
          <w:sz w:val="24"/>
        </w:rPr>
        <w:t>3. 承包人</w:t>
      </w:r>
    </w:p>
    <w:p w14:paraId="4DA57355">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3.1 承包人的一般义务</w:t>
      </w:r>
    </w:p>
    <w:p w14:paraId="051806B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承包人提交的竣工资料的内容：</w:t>
      </w:r>
      <w:r>
        <w:rPr>
          <w:rFonts w:hint="eastAsia" w:ascii="宋体" w:hAnsi="宋体" w:cs="仿宋"/>
          <w:sz w:val="24"/>
          <w:u w:val="single"/>
        </w:rPr>
        <w:t xml:space="preserve">      /          </w:t>
      </w:r>
      <w:r>
        <w:rPr>
          <w:rFonts w:hint="eastAsia" w:ascii="宋体" w:hAnsi="宋体" w:cs="仿宋"/>
          <w:sz w:val="24"/>
        </w:rPr>
        <w:t>。</w:t>
      </w:r>
    </w:p>
    <w:p w14:paraId="4DF4E5B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承包人需要提交的竣工资料套数：</w:t>
      </w:r>
      <w:r>
        <w:rPr>
          <w:rFonts w:hint="eastAsia" w:ascii="宋体" w:hAnsi="宋体" w:cs="仿宋"/>
          <w:sz w:val="24"/>
          <w:u w:val="single"/>
        </w:rPr>
        <w:t>一式捌套</w:t>
      </w:r>
      <w:r>
        <w:rPr>
          <w:rFonts w:hint="eastAsia" w:ascii="宋体" w:hAnsi="宋体" w:cs="仿宋"/>
          <w:sz w:val="24"/>
        </w:rPr>
        <w:t>。</w:t>
      </w:r>
    </w:p>
    <w:p w14:paraId="4006997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承包人提交的竣工资料的费用承担：</w:t>
      </w:r>
      <w:r>
        <w:rPr>
          <w:rFonts w:hint="eastAsia" w:ascii="宋体" w:hAnsi="宋体" w:cs="仿宋"/>
          <w:sz w:val="24"/>
          <w:u w:val="single"/>
        </w:rPr>
        <w:t>由承包人承担</w:t>
      </w:r>
      <w:r>
        <w:rPr>
          <w:rFonts w:hint="eastAsia" w:ascii="宋体" w:hAnsi="宋体" w:cs="仿宋"/>
          <w:sz w:val="24"/>
        </w:rPr>
        <w:t>。</w:t>
      </w:r>
    </w:p>
    <w:p w14:paraId="54F60E4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承包人提交的竣工资料移交时间：</w:t>
      </w:r>
      <w:r>
        <w:rPr>
          <w:rFonts w:hint="eastAsia" w:ascii="宋体" w:hAnsi="宋体" w:cs="仿宋"/>
          <w:sz w:val="24"/>
          <w:u w:val="single"/>
        </w:rPr>
        <w:t>竣工验收通过后10天内（不包括商务结算资料）移交</w:t>
      </w:r>
      <w:r>
        <w:rPr>
          <w:rFonts w:hint="eastAsia" w:ascii="宋体" w:hAnsi="宋体" w:cs="仿宋"/>
          <w:sz w:val="24"/>
        </w:rPr>
        <w:t>。</w:t>
      </w:r>
    </w:p>
    <w:p w14:paraId="5045538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承包人提交的竣工资料形式要求：</w:t>
      </w:r>
      <w:r>
        <w:rPr>
          <w:rFonts w:hint="eastAsia" w:ascii="宋体" w:hAnsi="宋体" w:cs="仿宋"/>
          <w:sz w:val="24"/>
          <w:u w:val="single"/>
        </w:rPr>
        <w:t>按GB/T 50328—2014及项目所在地城建档案馆资料归档要求，书面形式和电子资料</w:t>
      </w:r>
      <w:r>
        <w:rPr>
          <w:rFonts w:ascii="宋体" w:hAnsi="宋体" w:cs="仿宋"/>
          <w:sz w:val="24"/>
          <w:u w:val="single"/>
        </w:rPr>
        <w:t>。</w:t>
      </w:r>
    </w:p>
    <w:p w14:paraId="0389D367">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承包人应履行的其他义务：</w:t>
      </w:r>
      <w:r>
        <w:rPr>
          <w:rFonts w:hint="eastAsia" w:ascii="宋体" w:hAnsi="宋体" w:cs="仿宋"/>
          <w:sz w:val="24"/>
          <w:u w:val="single"/>
        </w:rPr>
        <w:t>按约定时间和要求，完成以下工作（费用列入投标总价）</w:t>
      </w:r>
    </w:p>
    <w:p w14:paraId="321723CB">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从工程开工起到工程移交止，安排专人处理工程范围内所有公安方案报审和竣工验收申报，并按要求在工程开工前取得公安施工许可证、工程竣工取得公安验收合格证。</w:t>
      </w:r>
    </w:p>
    <w:p w14:paraId="0085EF36">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应提供计划、报表的名称及完成时间：开工前5天提供施工组织设计及施工详细的工期、质量、安全文明保证措施，并报发包人和监理工程师审定，发包人与监理人核定不一致的，以发包人核定为准。每月25日前向发包人和监理工程师提交当月己完成工程量月报表、施工形象月报表、下个月进度计划，并附横道图和网络图。每周工程例会提前交下周进度计划。实际的进度滞后时，应按监理工程师和发包人工程师的要求在3天内提交一份修订后的进度计划和有效赶工措施报送监理工程师和发包人工程师审批后实施。如因承包人原因导致进度滞后，承包人应承担采取赶工措施所增加的一切费用。</w:t>
      </w:r>
    </w:p>
    <w:p w14:paraId="2BA22657">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工程保修期间，若因承包人施工质量原因致使设施设备损坏，发包人通知承包人进行维修，安保设备4小时维修服务到位。在6小时内未答复，发包人有权指定其它施工单位进行维修，由此发生的费用由承包人承担。</w:t>
      </w:r>
    </w:p>
    <w:p w14:paraId="5E3F5ED4">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在施工过程中，因施工不慎引起其它管线、设备或道路损坏事故等造成的经济损失，由承包人承担所有责任。施工期间的安全管理、施工过程中引起的安全事故、人员伤亡事故由承包人自行负责。</w:t>
      </w:r>
    </w:p>
    <w:p w14:paraId="6A70E2E7">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担总包要求的施工安全保卫工作及非夜间施工照明的责任和要求：承包人应按建设行政管理部门和相关部门的要求做好相关申报工作，且按规定提供和保养维护施工使用的照明、围栏、护板、警告信号设施，全面负责安全保卫工作，同时负责非夜间施工照明，保证工期，若造成工程损失与人身伤害，承包人承担全部费用及责任，发包人先行承担责任的，发包人有权向承包人追偿损失（包括但不限于赔偿费、诉讼费、律师费等）。夜间施工应按当地规定做好申报工作,由此产生费用均由承包人自行承担。</w:t>
      </w:r>
    </w:p>
    <w:p w14:paraId="069D21C9">
      <w:pPr>
        <w:spacing w:line="500" w:lineRule="exact"/>
        <w:ind w:firstLine="480" w:firstLineChars="200"/>
        <w:contextualSpacing/>
        <w:rPr>
          <w:rFonts w:ascii="宋体" w:hAnsi="宋体" w:cs="仿宋"/>
          <w:sz w:val="24"/>
          <w:u w:val="single"/>
        </w:rPr>
      </w:pPr>
      <w:r>
        <w:rPr>
          <w:rFonts w:hint="eastAsia" w:ascii="宋体" w:hAnsi="宋体" w:cs="仿宋"/>
          <w:sz w:val="24"/>
          <w:u w:val="single"/>
        </w:rPr>
        <w:t>由承包人负责承办施工暂住人口证手续以及计划生育手续，并承担相应费用。施工现场的夜间照明线路必须单独敷设。切实履行工地治安，生产安全的责任和义务，并承担所有安全保卫责任以及引起的所有的经济和法律责任，确保安全文明施工。</w:t>
      </w:r>
    </w:p>
    <w:p w14:paraId="5086A52C">
      <w:pPr>
        <w:numPr>
          <w:ilvl w:val="0"/>
          <w:numId w:val="2"/>
        </w:numPr>
        <w:spacing w:line="500" w:lineRule="exact"/>
        <w:ind w:firstLine="480" w:firstLineChars="200"/>
        <w:contextualSpacing/>
        <w:rPr>
          <w:rFonts w:ascii="宋体" w:hAnsi="宋体" w:cs="仿宋"/>
          <w:sz w:val="24"/>
        </w:rPr>
      </w:pPr>
      <w:r>
        <w:rPr>
          <w:rFonts w:hint="eastAsia" w:ascii="宋体" w:hAnsi="宋体" w:cs="仿宋"/>
          <w:sz w:val="24"/>
          <w:u w:val="single"/>
        </w:rPr>
        <w:t>需承包人配合总包办理的有关施工场地交通、环卫和施工噪音管理等手续：遵守地方政府和有关部门对施工场地交通、环卫和施工噪音等管理规定，并办理相关审批手续，所有手续费用由承包人承担。承包人应采取有效措施尽量减少尘土和噪音污染，需要进行夜间作业应经发包人批准。由承包人按项目当地建委、安监环保、行政执法、创建部等部门的相关规定实施标化施工管理，并承担相关费用。</w:t>
      </w:r>
    </w:p>
    <w:p w14:paraId="72B247E7">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已完工程成品保护的特殊要求及费用承担：承包人承担工程承包范围内工程成品保护与维修的责任及相关费用。发包人另行发包的工程在竣工验收前由各分包人自行保护，保护期间发生人为损坏，分包人自费予以修复，不能修复的应当赔偿相应损失。若属于工程质量原因发生损坏，则由原分包人负责修复。</w:t>
      </w:r>
    </w:p>
    <w:p w14:paraId="0B8A6A89">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施工场地清洁卫生的要求：达到现场管理要求。在交工验收前由承包方承担场地清洁工作，所需费用在投标报价中。按市文明施工有关规定条款执行。每天至少清扫一次，并且现场公共部位承包人每天主动清扫不少于一次，工程竣工后一周内承包人应清除现场所有不再需要的临时工程以及承包人的设备和多余材料及全部建筑和生活垃圾。</w:t>
      </w:r>
    </w:p>
    <w:p w14:paraId="5F3BC16E">
      <w:pPr>
        <w:numPr>
          <w:ilvl w:val="0"/>
          <w:numId w:val="2"/>
        </w:numPr>
        <w:spacing w:line="500" w:lineRule="exact"/>
        <w:ind w:firstLine="480" w:firstLineChars="200"/>
        <w:contextualSpacing/>
        <w:rPr>
          <w:rFonts w:ascii="宋体" w:hAnsi="宋体" w:cs="仿宋"/>
          <w:sz w:val="24"/>
        </w:rPr>
      </w:pPr>
      <w:r>
        <w:rPr>
          <w:rFonts w:hint="eastAsia" w:ascii="宋体" w:hAnsi="宋体" w:cs="仿宋"/>
          <w:sz w:val="24"/>
          <w:u w:val="single"/>
        </w:rPr>
        <w:t>配合发包人做好结算初审工作。</w:t>
      </w:r>
    </w:p>
    <w:p w14:paraId="40F613A3">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对发包人的现场监督工作予以充分的配合与协助。</w:t>
      </w:r>
    </w:p>
    <w:p w14:paraId="2D6B956F">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服从发包人及监理公司的管理，做好交叉施工事宜及其他与本工程施工相关的工作，如承包人与其他分包单位交叉施工时，承包人应根据其他分包单位的施工要求调整现场布置及施工流程，不得由此向发包人提出相关费用的要求。</w:t>
      </w:r>
    </w:p>
    <w:p w14:paraId="00A958E9">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从合同生效之日起至工程通过竣工验收的期间内，承包人应承担合同规定的现场各项临时房屋、设施、设备的修建、购置、安装、管理、保养、维修及拆除工作，并提供必要的设施保洁服务。</w:t>
      </w:r>
    </w:p>
    <w:p w14:paraId="6DB95E19">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的各项工作和生活设备、设施及场地平面布置，应事先提交书面说明及必要的图纸给发包人、监理工程师审阅批准。发包人现场既有的临时道路、围墙等设施归承包人在总包的管理下使用，费用含在本合同价款中。</w:t>
      </w:r>
    </w:p>
    <w:p w14:paraId="196AEB21">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要加强工程施工车辆的管理，施工车辆不得无故堵塞道路交通，不得沿途抛洒丢弃。</w:t>
      </w:r>
    </w:p>
    <w:p w14:paraId="75D78D01">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施工现场的标语、条幅和围挡图案等制作，在悬挂和喷涂前应征得发包人同意，如发包人提出修改意见，承包人应无条件修改，直到符合要求为止，合同价款不予调整。</w:t>
      </w:r>
    </w:p>
    <w:p w14:paraId="15FC282D">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应承担法律法规以及按规范、标准要求必须进行的验收申报所要求的设备材料的检测，所发生的一切费用由承包人承担。如发包人对承包人提供的检测报告或检测结论有异议，认为需要重新检测时，承包人应无条件重新检测，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59830B4D">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在编制施工方案时除必须满足设计图纸及现行的国家及地方有关规范、规程、标准、图集等的要求外，还必须编制施工现场消防安全专篇。施工现场消防安全的专篇中必须详细反映如何保证施工现场消防安全的具体措施，合同价款中应充分考虑上述措施的一切费用，且不得改变。</w:t>
      </w:r>
    </w:p>
    <w:p w14:paraId="3DD99678">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承包人在合同履行过程中，应严格遵守和执行发包人制定的各项管理制度和规定，严格执行发包人关于工程设计变更、签证等方面的审批程序及制度。</w:t>
      </w:r>
    </w:p>
    <w:p w14:paraId="063382A3">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应全权负责其劳务及职员的雇佣、工资的支付、房屋、膳食及运输的安排。承包人在任何时候应采取一切合理的预防措施，以防止其劳务人员及职员发生任何违法的、妨害治安的行为，并维护治安和保护工程及个人或财产免遭上述行为的破坏。</w:t>
      </w:r>
    </w:p>
    <w:p w14:paraId="21F397EC">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承包人负责或协助组织施工过程中的专项验收、竣工验收等，相关费用含在本合同价款中，发包人不再另行支付。</w:t>
      </w:r>
    </w:p>
    <w:p w14:paraId="4B5BC435">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承包人负责落实整个工地现场的保安、防盗工作。承包人应专人负责妥善处理因施工引起的、对相邻或周边的建筑物或环境的各种影响，并承担相关的索赔费用。</w:t>
      </w:r>
    </w:p>
    <w:p w14:paraId="5CDEA4B5">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承包人负责在工程建设期间拍摄、制作声像及影音资料，尤其是工程重点部位、关键工序、重要节点、重大活动声像及影音资料要求保证及时、完整、高质，声像及影音资料制作费含在合同价款中。</w:t>
      </w:r>
    </w:p>
    <w:p w14:paraId="3582E5A2">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承包人应对发包人提供的室外管网接驳点位置、标高进行校核，避免造成不必要的损失。</w:t>
      </w:r>
    </w:p>
    <w:p w14:paraId="22650A6D">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应考虑自备发电机及蓄水箱，以防止遇停电、停水时无法施工，影响施工工期，费用由承包人负责。如承包人未配备发电机及蓄水箱，因停水、停电影响施工的，如非遇到不可抗力因素承包人不得以此向发包人申请工期顺延。</w:t>
      </w:r>
    </w:p>
    <w:p w14:paraId="57044C4B">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承包人应严格执行国家有关保障农民工工资支付法律、法规，并按相关管理部门的管理要求设置符合要求的农民工工资专用账户，专项用于支付该工程建设项目农民工工资。承包人应按期支付工人工资。若因承包人未支付工人工资，当地政府或劳动监察部门按相关规定要求发包人先予垫付的，视同发包人给承包人的借款，其本息（利息按月息2%计算）在下期工程进度款中全额扣除。如下期工程进度款不足扣除的，剩余借款应在下下期进度款中扣除，直至全额扣除完整。若为最后一期工程款扣除后仍不足的，则从履约保证金中扣除。如因发包人未及时足额支付工程款造成民工工资拖欠等问题的，由发包人负责。</w:t>
      </w:r>
    </w:p>
    <w:p w14:paraId="7352F660">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现场垂直运输提供原有大楼的电梯供承包人使用，要求承包人在使用过程中服从总包安排的专人负责管理。在施工过程中发包人逐步更换保留电梯时，承包人应自行考虑垂直运输问题，不得以此做为工期滞后的理由。</w:t>
      </w:r>
    </w:p>
    <w:p w14:paraId="5719343B">
      <w:pPr>
        <w:numPr>
          <w:ilvl w:val="0"/>
          <w:numId w:val="2"/>
        </w:numPr>
        <w:spacing w:line="500" w:lineRule="exact"/>
        <w:ind w:firstLine="480" w:firstLineChars="200"/>
        <w:contextualSpacing/>
        <w:rPr>
          <w:rFonts w:ascii="宋体" w:hAnsi="宋体" w:cs="仿宋"/>
          <w:sz w:val="24"/>
          <w:u w:val="single"/>
        </w:rPr>
      </w:pPr>
      <w:r>
        <w:rPr>
          <w:rFonts w:hint="eastAsia" w:ascii="宋体" w:hAnsi="宋体" w:cs="仿宋"/>
          <w:sz w:val="24"/>
          <w:u w:val="single"/>
        </w:rPr>
        <w:t>合同价已包含招标工程量清单编制说明相关报价要求的报价内容。</w:t>
      </w:r>
    </w:p>
    <w:p w14:paraId="70850964">
      <w:pPr>
        <w:numPr>
          <w:ilvl w:val="0"/>
          <w:numId w:val="2"/>
        </w:numPr>
        <w:spacing w:line="500" w:lineRule="exact"/>
        <w:ind w:firstLine="480" w:firstLineChars="200"/>
        <w:contextualSpacing/>
        <w:rPr>
          <w:rFonts w:ascii="宋体" w:hAnsi="宋体" w:cs="仿宋"/>
          <w:bCs/>
          <w:sz w:val="24"/>
          <w:u w:val="single"/>
        </w:rPr>
      </w:pPr>
      <w:r>
        <w:rPr>
          <w:rFonts w:hint="eastAsia" w:ascii="宋体" w:hAnsi="宋体" w:cs="仿宋"/>
          <w:bCs/>
          <w:sz w:val="24"/>
          <w:u w:val="single"/>
        </w:rPr>
        <w:t>给排水、电气、消防、空调、弱电管道等拆除后孔洞修补，墙体不平整补齐等零星工程内容，投标单位应仔细勘察现场及校对图纸，费用列入投标报价，结算时不予调整。</w:t>
      </w:r>
    </w:p>
    <w:p w14:paraId="4981B106">
      <w:pPr>
        <w:numPr>
          <w:ilvl w:val="0"/>
          <w:numId w:val="2"/>
        </w:numPr>
        <w:spacing w:line="500" w:lineRule="exact"/>
        <w:ind w:firstLine="480" w:firstLineChars="200"/>
        <w:contextualSpacing/>
        <w:rPr>
          <w:rFonts w:ascii="宋体" w:hAnsi="宋体" w:cs="仿宋"/>
          <w:bCs/>
          <w:sz w:val="24"/>
          <w:u w:val="single"/>
        </w:rPr>
      </w:pPr>
      <w:r>
        <w:rPr>
          <w:rFonts w:hint="eastAsia" w:ascii="宋体" w:hAnsi="宋体" w:cs="仿宋"/>
          <w:bCs/>
          <w:sz w:val="24"/>
          <w:u w:val="single"/>
        </w:rPr>
        <w:t>现场所有的保管费用和甲供安保设备的售后服务维保费用，费用列入投标报价，结算时不予调整。</w:t>
      </w:r>
    </w:p>
    <w:p w14:paraId="1708A9BA">
      <w:pPr>
        <w:numPr>
          <w:ilvl w:val="0"/>
          <w:numId w:val="2"/>
        </w:numPr>
        <w:spacing w:line="500" w:lineRule="exact"/>
        <w:ind w:firstLine="480" w:firstLineChars="200"/>
        <w:contextualSpacing/>
        <w:rPr>
          <w:rFonts w:ascii="宋体" w:hAnsi="宋体" w:cs="仿宋"/>
          <w:bCs/>
          <w:sz w:val="24"/>
          <w:u w:val="single"/>
        </w:rPr>
      </w:pPr>
      <w:r>
        <w:rPr>
          <w:rFonts w:hint="eastAsia" w:ascii="宋体" w:hAnsi="宋体" w:cs="仿宋"/>
          <w:bCs/>
          <w:sz w:val="24"/>
          <w:u w:val="single"/>
        </w:rPr>
        <w:t>承包人应根据发包人或监理人要求对现场所有的设施设备的封堵及所有设备的安装、调试、试运行及通过外部公安、住建等主管部门的验收，并取得验收合格证。费用列入投标报价，结算时不予调整。</w:t>
      </w:r>
    </w:p>
    <w:p w14:paraId="3D04C116">
      <w:pPr>
        <w:numPr>
          <w:ilvl w:val="0"/>
          <w:numId w:val="2"/>
        </w:numPr>
        <w:adjustRightInd w:val="0"/>
        <w:spacing w:line="500" w:lineRule="exact"/>
        <w:ind w:firstLine="480" w:firstLineChars="200"/>
        <w:contextualSpacing/>
        <w:rPr>
          <w:rFonts w:ascii="宋体" w:hAnsi="宋体" w:cs="仿宋"/>
          <w:bCs/>
          <w:sz w:val="24"/>
        </w:rPr>
      </w:pPr>
      <w:r>
        <w:rPr>
          <w:rFonts w:hint="eastAsia" w:ascii="宋体" w:hAnsi="宋体" w:cs="仿宋"/>
          <w:bCs/>
          <w:sz w:val="24"/>
          <w:u w:val="single"/>
        </w:rPr>
        <w:t>该工程在确定竣工日期及各项控制工期时，已充分考虑可能出现的节假日、扰民和民扰、施工交叉、道路交通影响及合同约定异常恶劣气候以外的气候条件等不利因素及发包人平行发包工程的合理工期。中高考、节假日、市内各类重大活动期间以及需要的时间段内，可能对施工做出某些限制及配合要求，承包人应予服从，并按照要求做出必要的配合，这可能降低承包人的工效，涉及相关的所有费用包含在投标总价内，不得以任何理由增加任何费用，工期也不得顺延。</w:t>
      </w:r>
    </w:p>
    <w:p w14:paraId="15E514EC">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3.2 项目经理</w:t>
      </w:r>
    </w:p>
    <w:p w14:paraId="73C2D7A4">
      <w:pPr>
        <w:adjustRightInd w:val="0"/>
        <w:spacing w:line="500" w:lineRule="exact"/>
        <w:ind w:firstLine="480" w:firstLineChars="200"/>
        <w:contextualSpacing/>
        <w:rPr>
          <w:rFonts w:ascii="宋体" w:hAnsi="宋体" w:cs="仿宋"/>
          <w:sz w:val="24"/>
        </w:rPr>
      </w:pPr>
      <w:r>
        <w:rPr>
          <w:rFonts w:hint="eastAsia" w:ascii="宋体" w:hAnsi="宋体" w:cs="仿宋"/>
          <w:sz w:val="24"/>
        </w:rPr>
        <w:t>3.2.1 项目经理：</w:t>
      </w:r>
    </w:p>
    <w:p w14:paraId="64E4774F">
      <w:pPr>
        <w:adjustRightInd w:val="0"/>
        <w:spacing w:line="500" w:lineRule="exact"/>
        <w:ind w:firstLine="480" w:firstLineChars="200"/>
        <w:contextualSpacing/>
        <w:rPr>
          <w:rFonts w:ascii="宋体" w:hAnsi="宋体" w:cs="仿宋"/>
          <w:sz w:val="24"/>
        </w:rPr>
      </w:pPr>
      <w:r>
        <w:rPr>
          <w:rFonts w:hint="eastAsia" w:ascii="宋体" w:hAnsi="宋体" w:cs="仿宋"/>
          <w:sz w:val="24"/>
        </w:rPr>
        <w:t>姓名：</w:t>
      </w:r>
      <w:r>
        <w:rPr>
          <w:rFonts w:hint="eastAsia" w:ascii="宋体" w:hAnsi="宋体" w:cs="仿宋"/>
          <w:sz w:val="24"/>
          <w:u w:val="single"/>
        </w:rPr>
        <w:t></w:t>
      </w:r>
      <w:r>
        <w:rPr>
          <w:rFonts w:hint="eastAsia" w:ascii="宋体" w:hAnsi="宋体" w:cs="仿宋"/>
          <w:sz w:val="24"/>
        </w:rPr>
        <w:t>。</w:t>
      </w:r>
    </w:p>
    <w:p w14:paraId="76CFA26D">
      <w:pPr>
        <w:adjustRightInd w:val="0"/>
        <w:spacing w:line="500" w:lineRule="exact"/>
        <w:ind w:firstLine="480" w:firstLineChars="200"/>
        <w:contextualSpacing/>
        <w:rPr>
          <w:rFonts w:ascii="宋体" w:hAnsi="宋体" w:cs="仿宋"/>
          <w:sz w:val="24"/>
        </w:rPr>
      </w:pPr>
      <w:r>
        <w:rPr>
          <w:rFonts w:hint="eastAsia" w:ascii="宋体" w:hAnsi="宋体" w:cs="仿宋"/>
          <w:sz w:val="24"/>
        </w:rPr>
        <w:t>身份证号：</w:t>
      </w:r>
      <w:r>
        <w:rPr>
          <w:rFonts w:hint="eastAsia" w:ascii="宋体" w:hAnsi="宋体" w:cs="仿宋"/>
          <w:sz w:val="24"/>
          <w:u w:val="single"/>
        </w:rPr>
        <w:t></w:t>
      </w:r>
      <w:r>
        <w:rPr>
          <w:rFonts w:hint="eastAsia" w:ascii="宋体" w:hAnsi="宋体" w:cs="仿宋"/>
          <w:sz w:val="24"/>
        </w:rPr>
        <w:t>。</w:t>
      </w:r>
    </w:p>
    <w:p w14:paraId="1E6080C4">
      <w:pPr>
        <w:adjustRightInd w:val="0"/>
        <w:spacing w:line="500" w:lineRule="exact"/>
        <w:ind w:firstLine="480" w:firstLineChars="200"/>
        <w:contextualSpacing/>
        <w:rPr>
          <w:rFonts w:ascii="宋体" w:hAnsi="宋体" w:cs="仿宋"/>
          <w:sz w:val="24"/>
        </w:rPr>
      </w:pPr>
      <w:r>
        <w:rPr>
          <w:rFonts w:hint="eastAsia" w:ascii="宋体" w:hAnsi="宋体" w:cs="仿宋"/>
          <w:sz w:val="24"/>
        </w:rPr>
        <w:t>建造师执业资格等级：</w:t>
      </w:r>
      <w:r>
        <w:rPr>
          <w:rFonts w:hint="eastAsia" w:ascii="宋体" w:hAnsi="宋体" w:cs="仿宋"/>
          <w:sz w:val="24"/>
          <w:u w:val="single"/>
        </w:rPr>
        <w:t></w:t>
      </w:r>
      <w:r>
        <w:rPr>
          <w:rFonts w:hint="eastAsia" w:ascii="宋体" w:hAnsi="宋体" w:cs="仿宋"/>
          <w:sz w:val="24"/>
        </w:rPr>
        <w:t>。</w:t>
      </w:r>
    </w:p>
    <w:p w14:paraId="356D60B7">
      <w:pPr>
        <w:adjustRightInd w:val="0"/>
        <w:spacing w:line="500" w:lineRule="exact"/>
        <w:ind w:right="-126" w:rightChars="-45" w:firstLine="480" w:firstLineChars="200"/>
        <w:contextualSpacing/>
        <w:rPr>
          <w:rFonts w:ascii="宋体" w:hAnsi="宋体" w:cs="仿宋"/>
          <w:sz w:val="24"/>
        </w:rPr>
      </w:pPr>
      <w:r>
        <w:rPr>
          <w:rFonts w:hint="eastAsia" w:ascii="宋体" w:hAnsi="宋体" w:cs="仿宋"/>
          <w:sz w:val="24"/>
        </w:rPr>
        <w:t>建造师注册证书号：</w:t>
      </w:r>
      <w:r>
        <w:rPr>
          <w:rFonts w:hint="eastAsia" w:ascii="宋体" w:hAnsi="宋体" w:cs="仿宋"/>
          <w:sz w:val="24"/>
          <w:u w:val="single"/>
        </w:rPr>
        <w:t></w:t>
      </w:r>
      <w:r>
        <w:rPr>
          <w:rFonts w:hint="eastAsia" w:ascii="宋体" w:hAnsi="宋体" w:cs="仿宋"/>
          <w:sz w:val="24"/>
        </w:rPr>
        <w:t>。</w:t>
      </w:r>
    </w:p>
    <w:p w14:paraId="2A2E0B5D">
      <w:pPr>
        <w:adjustRightInd w:val="0"/>
        <w:spacing w:line="500" w:lineRule="exact"/>
        <w:ind w:firstLine="480" w:firstLineChars="200"/>
        <w:contextualSpacing/>
        <w:rPr>
          <w:rFonts w:ascii="宋体" w:hAnsi="宋体" w:cs="仿宋"/>
          <w:sz w:val="24"/>
        </w:rPr>
      </w:pPr>
      <w:r>
        <w:rPr>
          <w:rFonts w:hint="eastAsia" w:ascii="宋体" w:hAnsi="宋体" w:cs="仿宋"/>
          <w:sz w:val="24"/>
        </w:rPr>
        <w:t>建造师执业印章号：</w:t>
      </w:r>
      <w:r>
        <w:rPr>
          <w:rFonts w:hint="eastAsia" w:ascii="宋体" w:hAnsi="宋体" w:cs="仿宋"/>
          <w:sz w:val="24"/>
          <w:u w:val="single"/>
        </w:rPr>
        <w:t></w:t>
      </w:r>
      <w:r>
        <w:rPr>
          <w:rFonts w:hint="eastAsia" w:ascii="宋体" w:hAnsi="宋体" w:cs="仿宋"/>
          <w:sz w:val="24"/>
        </w:rPr>
        <w:t>。</w:t>
      </w:r>
    </w:p>
    <w:p w14:paraId="20A32B74">
      <w:pPr>
        <w:adjustRightInd w:val="0"/>
        <w:spacing w:line="500" w:lineRule="exact"/>
        <w:ind w:firstLine="480" w:firstLineChars="200"/>
        <w:contextualSpacing/>
        <w:rPr>
          <w:rFonts w:ascii="宋体" w:hAnsi="宋体" w:cs="仿宋"/>
          <w:sz w:val="24"/>
        </w:rPr>
      </w:pPr>
      <w:r>
        <w:rPr>
          <w:rFonts w:hint="eastAsia" w:ascii="宋体" w:hAnsi="宋体" w:cs="仿宋"/>
          <w:sz w:val="24"/>
        </w:rPr>
        <w:t>安全生产考核合格证书号：</w:t>
      </w:r>
      <w:r>
        <w:rPr>
          <w:rFonts w:hint="eastAsia" w:ascii="宋体" w:hAnsi="宋体" w:cs="仿宋"/>
          <w:sz w:val="24"/>
          <w:u w:val="single"/>
        </w:rPr>
        <w:t></w:t>
      </w:r>
      <w:r>
        <w:rPr>
          <w:rFonts w:hint="eastAsia" w:ascii="宋体" w:hAnsi="宋体" w:cs="仿宋"/>
          <w:sz w:val="24"/>
        </w:rPr>
        <w:t>。</w:t>
      </w:r>
    </w:p>
    <w:p w14:paraId="4A29BE69">
      <w:pPr>
        <w:adjustRightInd w:val="0"/>
        <w:spacing w:line="500" w:lineRule="exact"/>
        <w:ind w:firstLine="480" w:firstLineChars="200"/>
        <w:contextualSpacing/>
        <w:rPr>
          <w:rFonts w:ascii="宋体" w:hAnsi="宋体" w:cs="仿宋"/>
          <w:sz w:val="24"/>
        </w:rPr>
      </w:pPr>
      <w:r>
        <w:rPr>
          <w:rFonts w:hint="eastAsia" w:ascii="宋体" w:hAnsi="宋体" w:cs="仿宋"/>
          <w:sz w:val="24"/>
        </w:rPr>
        <w:t>联系电话：</w:t>
      </w:r>
      <w:r>
        <w:rPr>
          <w:rFonts w:hint="eastAsia" w:ascii="宋体" w:hAnsi="宋体" w:cs="仿宋"/>
          <w:sz w:val="24"/>
          <w:u w:val="single"/>
        </w:rPr>
        <w:t></w:t>
      </w:r>
      <w:r>
        <w:rPr>
          <w:rFonts w:hint="eastAsia" w:ascii="宋体" w:hAnsi="宋体" w:cs="仿宋"/>
          <w:sz w:val="24"/>
        </w:rPr>
        <w:t>。</w:t>
      </w:r>
    </w:p>
    <w:p w14:paraId="7A499854">
      <w:pPr>
        <w:adjustRightInd w:val="0"/>
        <w:spacing w:line="500" w:lineRule="exact"/>
        <w:ind w:firstLine="480" w:firstLineChars="200"/>
        <w:contextualSpacing/>
        <w:rPr>
          <w:rFonts w:ascii="宋体" w:hAnsi="宋体" w:cs="仿宋"/>
          <w:sz w:val="24"/>
        </w:rPr>
      </w:pPr>
      <w:r>
        <w:rPr>
          <w:rFonts w:hint="eastAsia" w:ascii="宋体" w:hAnsi="宋体" w:cs="仿宋"/>
          <w:sz w:val="24"/>
        </w:rPr>
        <w:t>电子信箱：</w:t>
      </w:r>
      <w:r>
        <w:rPr>
          <w:rFonts w:hint="eastAsia" w:ascii="宋体" w:hAnsi="宋体" w:cs="仿宋"/>
          <w:sz w:val="24"/>
          <w:u w:val="single"/>
        </w:rPr>
        <w:t></w:t>
      </w:r>
      <w:r>
        <w:rPr>
          <w:rFonts w:hint="eastAsia" w:ascii="宋体" w:hAnsi="宋体" w:cs="仿宋"/>
          <w:sz w:val="24"/>
        </w:rPr>
        <w:t>。</w:t>
      </w:r>
    </w:p>
    <w:p w14:paraId="45F9DFAE">
      <w:pPr>
        <w:adjustRightInd w:val="0"/>
        <w:spacing w:line="500" w:lineRule="exact"/>
        <w:ind w:firstLine="480" w:firstLineChars="200"/>
        <w:contextualSpacing/>
        <w:rPr>
          <w:rFonts w:ascii="宋体" w:hAnsi="宋体" w:cs="仿宋"/>
          <w:sz w:val="24"/>
        </w:rPr>
      </w:pPr>
      <w:r>
        <w:rPr>
          <w:rFonts w:hint="eastAsia" w:ascii="宋体" w:hAnsi="宋体" w:cs="仿宋"/>
          <w:sz w:val="24"/>
        </w:rPr>
        <w:t>通信地址：</w:t>
      </w:r>
      <w:r>
        <w:rPr>
          <w:rFonts w:hint="eastAsia" w:ascii="宋体" w:hAnsi="宋体" w:cs="仿宋"/>
          <w:sz w:val="24"/>
          <w:u w:val="single"/>
        </w:rPr>
        <w:t></w:t>
      </w:r>
      <w:r>
        <w:rPr>
          <w:rFonts w:hint="eastAsia" w:ascii="宋体" w:hAnsi="宋体" w:cs="仿宋"/>
          <w:sz w:val="24"/>
        </w:rPr>
        <w:t>。</w:t>
      </w:r>
    </w:p>
    <w:p w14:paraId="563F7E40">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承包人对项目经理的授权范围如下：</w:t>
      </w:r>
      <w:r>
        <w:rPr>
          <w:rFonts w:hint="eastAsia" w:ascii="宋体" w:hAnsi="宋体" w:cs="仿宋"/>
          <w:sz w:val="24"/>
          <w:u w:val="single"/>
        </w:rPr>
        <w:t>按国家相应法规约定</w:t>
      </w:r>
      <w:r>
        <w:rPr>
          <w:rFonts w:hint="eastAsia" w:ascii="宋体" w:hAnsi="宋体" w:cs="仿宋"/>
          <w:sz w:val="24"/>
        </w:rPr>
        <w:t>。</w:t>
      </w:r>
    </w:p>
    <w:p w14:paraId="5BDBC28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关于项目经理每月在施工现场的时间要求：</w:t>
      </w:r>
      <w:r>
        <w:rPr>
          <w:rFonts w:hint="eastAsia" w:ascii="宋体" w:hAnsi="宋体" w:cs="仿宋"/>
          <w:sz w:val="24"/>
          <w:u w:val="single"/>
        </w:rPr>
        <w:t>到岗率95%以上（采用打卡考勤制，每天不少于8小时在工地）</w:t>
      </w:r>
      <w:r>
        <w:rPr>
          <w:rFonts w:hint="eastAsia" w:ascii="宋体" w:hAnsi="宋体" w:cs="仿宋"/>
          <w:sz w:val="24"/>
        </w:rPr>
        <w:t>。</w:t>
      </w:r>
    </w:p>
    <w:p w14:paraId="50C50ADC">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承包人未提交劳动合同，以及没有为项目经理缴纳社会保险证明的违约责任：</w:t>
      </w:r>
      <w:r>
        <w:rPr>
          <w:rFonts w:hint="eastAsia" w:ascii="宋体" w:hAnsi="宋体" w:cs="仿宋"/>
          <w:sz w:val="24"/>
          <w:u w:val="single"/>
        </w:rPr>
        <w:t>发包人有权要求更换项目经理，由此增加的费用和（或）延误的工期由承包人承担，并通报有关建设行政主管部门进行处罚</w:t>
      </w:r>
      <w:r>
        <w:rPr>
          <w:rFonts w:hint="eastAsia" w:ascii="宋体" w:hAnsi="宋体" w:cs="仿宋"/>
          <w:sz w:val="24"/>
        </w:rPr>
        <w:t>。</w:t>
      </w:r>
    </w:p>
    <w:p w14:paraId="49F7CA5F">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项目经理未经批准，擅自离开施工现场的违约责任：</w:t>
      </w:r>
      <w:r>
        <w:rPr>
          <w:rFonts w:hint="eastAsia" w:ascii="宋体" w:hAnsi="宋体" w:cs="仿宋"/>
          <w:sz w:val="24"/>
          <w:u w:val="single"/>
        </w:rPr>
        <w:t>缺岗每次扣罚1000 元，从工程款中同期扣除，累计缺岗 5 天及以上的，发包人及监理人给予警告；累计缺岗 10 天及以上，发包人有权终止合同并罚没全部项目班子人员到位履约保证金，由此引起的工程损失费用由承包人承担</w:t>
      </w:r>
      <w:r>
        <w:rPr>
          <w:rFonts w:hint="eastAsia" w:ascii="宋体" w:hAnsi="宋体" w:cs="仿宋"/>
          <w:sz w:val="24"/>
        </w:rPr>
        <w:t>。</w:t>
      </w:r>
    </w:p>
    <w:p w14:paraId="4D7D7003">
      <w:pPr>
        <w:adjustRightInd w:val="0"/>
        <w:spacing w:line="500" w:lineRule="exact"/>
        <w:ind w:firstLine="480" w:firstLineChars="200"/>
        <w:contextualSpacing/>
        <w:rPr>
          <w:rFonts w:ascii="宋体" w:hAnsi="宋体" w:cs="仿宋"/>
          <w:sz w:val="24"/>
        </w:rPr>
      </w:pPr>
      <w:r>
        <w:rPr>
          <w:rFonts w:hint="eastAsia" w:ascii="宋体" w:hAnsi="宋体" w:cs="仿宋"/>
          <w:sz w:val="24"/>
        </w:rPr>
        <w:t>3.2.2 承包人擅自更换项目经理的违约责任：</w:t>
      </w:r>
      <w:r>
        <w:rPr>
          <w:rFonts w:hint="eastAsia" w:ascii="宋体" w:hAnsi="宋体" w:cs="仿宋"/>
          <w:sz w:val="24"/>
          <w:u w:val="single"/>
        </w:rPr>
        <w:t>发包人通报有关建设行政主管部门进行处罚，发包人有权中止合同并同时扣罚全部项目班子人员到位履约保证金，由此引起的工程损失费用由承包人承担。</w:t>
      </w:r>
    </w:p>
    <w:p w14:paraId="6CB4E735">
      <w:pPr>
        <w:adjustRightInd w:val="0"/>
        <w:spacing w:line="500" w:lineRule="exact"/>
        <w:ind w:firstLine="480" w:firstLineChars="200"/>
        <w:contextualSpacing/>
        <w:rPr>
          <w:rFonts w:ascii="宋体" w:hAnsi="宋体" w:cs="仿宋"/>
          <w:sz w:val="24"/>
        </w:rPr>
      </w:pPr>
      <w:r>
        <w:rPr>
          <w:rFonts w:hint="eastAsia" w:ascii="宋体" w:hAnsi="宋体" w:cs="仿宋"/>
          <w:sz w:val="24"/>
        </w:rPr>
        <w:t xml:space="preserve">    3.2.3 承包人无正当理由拒绝更换项目经理的违约责任：</w:t>
      </w:r>
      <w:r>
        <w:rPr>
          <w:rFonts w:hint="eastAsia" w:ascii="宋体" w:hAnsi="宋体" w:cs="仿宋"/>
          <w:sz w:val="24"/>
          <w:u w:val="single"/>
        </w:rPr>
        <w:t>发包人通报有关建设行政主管部门进行处罚，发包人有权中止合同并同时扣罚全部项目班子人员到位履约保证金，由此引起的工程损失费用由承包人承担</w:t>
      </w:r>
      <w:r>
        <w:rPr>
          <w:rFonts w:hint="eastAsia" w:ascii="宋体" w:hAnsi="宋体" w:cs="仿宋"/>
          <w:sz w:val="24"/>
        </w:rPr>
        <w:t>。</w:t>
      </w:r>
    </w:p>
    <w:p w14:paraId="78563C4B">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3.3 承包人人员</w:t>
      </w:r>
    </w:p>
    <w:p w14:paraId="6C8A47E3">
      <w:pPr>
        <w:adjustRightInd w:val="0"/>
        <w:spacing w:line="500" w:lineRule="exact"/>
        <w:ind w:firstLine="480" w:firstLineChars="200"/>
        <w:contextualSpacing/>
        <w:rPr>
          <w:rFonts w:ascii="宋体" w:hAnsi="宋体" w:cs="仿宋"/>
          <w:sz w:val="24"/>
        </w:rPr>
      </w:pPr>
      <w:r>
        <w:rPr>
          <w:rFonts w:hint="eastAsia" w:ascii="宋体" w:hAnsi="宋体" w:cs="仿宋"/>
          <w:sz w:val="24"/>
        </w:rPr>
        <w:t>3.3.1 承包人提交项目管理机构及施工现场管理人员安排报告的期限：</w:t>
      </w:r>
      <w:r>
        <w:rPr>
          <w:rFonts w:hint="eastAsia" w:ascii="宋体" w:hAnsi="宋体" w:cs="仿宋"/>
          <w:sz w:val="24"/>
          <w:u w:val="single"/>
        </w:rPr>
        <w:t>接到开工通知后3天内</w:t>
      </w:r>
      <w:r>
        <w:rPr>
          <w:rFonts w:hint="eastAsia" w:ascii="宋体" w:hAnsi="宋体" w:cs="仿宋"/>
          <w:sz w:val="24"/>
        </w:rPr>
        <w:t>。</w:t>
      </w:r>
    </w:p>
    <w:p w14:paraId="00F311A5">
      <w:pPr>
        <w:adjustRightInd w:val="0"/>
        <w:spacing w:line="500" w:lineRule="exact"/>
        <w:ind w:firstLine="480" w:firstLineChars="200"/>
        <w:contextualSpacing/>
        <w:rPr>
          <w:rFonts w:ascii="宋体" w:hAnsi="宋体" w:cs="仿宋"/>
          <w:sz w:val="24"/>
        </w:rPr>
      </w:pPr>
      <w:r>
        <w:rPr>
          <w:rFonts w:hint="eastAsia" w:ascii="宋体" w:hAnsi="宋体" w:cs="仿宋"/>
          <w:sz w:val="24"/>
        </w:rPr>
        <w:t>3.3.2 承包人无正当理由拒绝撤换主要施工管理人员的违约责任：</w:t>
      </w:r>
      <w:r>
        <w:rPr>
          <w:rFonts w:hint="eastAsia" w:ascii="宋体" w:hAnsi="宋体" w:cs="仿宋"/>
          <w:sz w:val="24"/>
          <w:u w:val="single"/>
        </w:rPr>
        <w:t>向发包人交纳违约金1000元/人/日，并在工程进度款中扣除，如对工程造成损失的，损失由承包人承担，并在结算款中扣除</w:t>
      </w:r>
      <w:r>
        <w:rPr>
          <w:rFonts w:hint="eastAsia" w:ascii="宋体" w:hAnsi="宋体" w:cs="仿宋"/>
          <w:sz w:val="24"/>
        </w:rPr>
        <w:t>。</w:t>
      </w:r>
    </w:p>
    <w:p w14:paraId="263228FD">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3.3.3 承包人主要施工管理人员离开施工现场的批准要求：</w:t>
      </w:r>
      <w:r>
        <w:rPr>
          <w:rFonts w:hint="eastAsia" w:ascii="宋体" w:hAnsi="宋体" w:cs="仿宋"/>
          <w:sz w:val="24"/>
          <w:u w:val="single"/>
        </w:rPr>
        <w:t>承包人主要管理人员离开施工现场，应通知监理人及发包人，并征得监理人、发包人书面同意，主要施工管理人员离开施工现场前应指定一名有经验的管理人员临时代替其职责，该人员应具备履行相应职责的资格和能力，并征得监理人和发包人的同意</w:t>
      </w:r>
      <w:r>
        <w:rPr>
          <w:rFonts w:hint="eastAsia" w:ascii="宋体" w:hAnsi="宋体" w:cs="仿宋"/>
          <w:sz w:val="24"/>
        </w:rPr>
        <w:t>。</w:t>
      </w:r>
    </w:p>
    <w:p w14:paraId="19C04691">
      <w:pPr>
        <w:adjustRightInd w:val="0"/>
        <w:spacing w:line="500" w:lineRule="exact"/>
        <w:ind w:firstLine="480" w:firstLineChars="200"/>
        <w:contextualSpacing/>
        <w:rPr>
          <w:rFonts w:ascii="宋体" w:hAnsi="宋体" w:cs="仿宋"/>
          <w:sz w:val="24"/>
        </w:rPr>
      </w:pPr>
      <w:r>
        <w:rPr>
          <w:rFonts w:hint="eastAsia" w:ascii="宋体" w:hAnsi="宋体" w:cs="仿宋"/>
          <w:sz w:val="24"/>
        </w:rPr>
        <w:t>3.3.4承包人擅自更换主要施工管理人员的违约责任：</w:t>
      </w:r>
      <w:r>
        <w:rPr>
          <w:rFonts w:hint="eastAsia" w:ascii="宋体" w:hAnsi="宋体" w:cs="仿宋"/>
          <w:sz w:val="24"/>
          <w:u w:val="single"/>
        </w:rPr>
        <w:t>扣罚全部项目班子人员到位履约保证金，由此引起的工程损失费用由承包人承担</w:t>
      </w:r>
      <w:r>
        <w:rPr>
          <w:rFonts w:hint="eastAsia" w:ascii="宋体" w:hAnsi="宋体" w:cs="仿宋"/>
          <w:sz w:val="24"/>
        </w:rPr>
        <w:t>。</w:t>
      </w:r>
    </w:p>
    <w:p w14:paraId="358D6610">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承包人主要施工管理人员（除项目经理外）擅自离开施工现场的违约责任：</w:t>
      </w:r>
      <w:r>
        <w:rPr>
          <w:rFonts w:hint="eastAsia" w:ascii="宋体" w:hAnsi="宋体" w:cs="仿宋"/>
          <w:sz w:val="24"/>
          <w:u w:val="single"/>
        </w:rPr>
        <w:t>采用打卡考勤制，确保100%到位（每天不少于8 小时在工地且满足施工进度需要），由监理进行日常定期或不定期抽查，第一次发现予以警告处理，连续三次缺勤，项目技术负责人缺岗800元/人/天，其余项目管理人员缺岗400元/人/天，当月发现五次及以上，则当月工程款中按5000元/人/日扣罚。</w:t>
      </w:r>
    </w:p>
    <w:p w14:paraId="7BA78742">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3.4 分包</w:t>
      </w:r>
    </w:p>
    <w:p w14:paraId="5B5437AA">
      <w:pPr>
        <w:adjustRightInd w:val="0"/>
        <w:spacing w:line="500" w:lineRule="exact"/>
        <w:ind w:firstLine="480" w:firstLineChars="200"/>
        <w:contextualSpacing/>
        <w:rPr>
          <w:rFonts w:ascii="宋体" w:hAnsi="宋体" w:cs="仿宋"/>
          <w:sz w:val="24"/>
        </w:rPr>
      </w:pPr>
      <w:r>
        <w:rPr>
          <w:rFonts w:hint="eastAsia" w:ascii="宋体" w:hAnsi="宋体" w:cs="仿宋"/>
          <w:sz w:val="24"/>
        </w:rPr>
        <w:t>3.4.1 分包的一般约定</w:t>
      </w:r>
    </w:p>
    <w:p w14:paraId="1FCFE2A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禁止分包的工程包括：</w:t>
      </w:r>
      <w:r>
        <w:rPr>
          <w:rFonts w:hint="eastAsia" w:ascii="宋体" w:hAnsi="宋体" w:cs="仿宋"/>
          <w:sz w:val="24"/>
          <w:u w:val="single"/>
        </w:rPr>
        <w:t xml:space="preserve">          /                </w:t>
      </w:r>
      <w:r>
        <w:rPr>
          <w:rFonts w:hint="eastAsia" w:ascii="宋体" w:hAnsi="宋体" w:cs="仿宋"/>
          <w:sz w:val="24"/>
        </w:rPr>
        <w:t>。</w:t>
      </w:r>
    </w:p>
    <w:p w14:paraId="4BF72CD1">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主体结构、关键性工作的范围：</w:t>
      </w:r>
      <w:r>
        <w:rPr>
          <w:rFonts w:hint="eastAsia" w:ascii="宋体" w:hAnsi="宋体" w:cs="仿宋"/>
          <w:sz w:val="24"/>
          <w:u w:val="single"/>
        </w:rPr>
        <w:t xml:space="preserve">        /             </w:t>
      </w:r>
      <w:r>
        <w:rPr>
          <w:rFonts w:hint="eastAsia" w:ascii="宋体" w:hAnsi="宋体" w:cs="仿宋"/>
          <w:sz w:val="24"/>
        </w:rPr>
        <w:t>。</w:t>
      </w:r>
    </w:p>
    <w:p w14:paraId="1FAE4A80">
      <w:pPr>
        <w:adjustRightInd w:val="0"/>
        <w:spacing w:line="500" w:lineRule="exact"/>
        <w:ind w:firstLine="480" w:firstLineChars="200"/>
        <w:contextualSpacing/>
        <w:rPr>
          <w:rFonts w:ascii="宋体" w:hAnsi="宋体" w:cs="仿宋"/>
          <w:sz w:val="24"/>
        </w:rPr>
      </w:pPr>
      <w:r>
        <w:rPr>
          <w:rFonts w:hint="eastAsia" w:ascii="宋体" w:hAnsi="宋体" w:cs="仿宋"/>
          <w:sz w:val="24"/>
        </w:rPr>
        <w:t xml:space="preserve">    3.4.2分包的确定</w:t>
      </w:r>
    </w:p>
    <w:p w14:paraId="1B12F1AC">
      <w:pPr>
        <w:adjustRightInd w:val="0"/>
        <w:spacing w:line="500" w:lineRule="exact"/>
        <w:ind w:firstLine="480" w:firstLineChars="200"/>
        <w:contextualSpacing/>
        <w:rPr>
          <w:rFonts w:ascii="宋体" w:hAnsi="宋体" w:cs="仿宋"/>
          <w:sz w:val="24"/>
        </w:rPr>
      </w:pPr>
      <w:r>
        <w:rPr>
          <w:rFonts w:hint="eastAsia" w:ascii="宋体" w:hAnsi="宋体" w:cs="仿宋"/>
          <w:sz w:val="24"/>
        </w:rPr>
        <w:t>允许分包的专业工程包括：</w:t>
      </w:r>
      <w:r>
        <w:rPr>
          <w:rFonts w:hint="eastAsia" w:ascii="宋体" w:hAnsi="宋体" w:cs="仿宋"/>
          <w:sz w:val="24"/>
          <w:u w:val="single"/>
          <w:lang w:val="en-US" w:eastAsia="zh-CN"/>
        </w:rPr>
        <w:t xml:space="preserve">      </w:t>
      </w:r>
      <w:r>
        <w:rPr>
          <w:rFonts w:hint="eastAsia" w:ascii="宋体" w:hAnsi="宋体" w:cs="仿宋"/>
          <w:sz w:val="24"/>
        </w:rPr>
        <w:t>。</w:t>
      </w:r>
    </w:p>
    <w:p w14:paraId="4F58B00E">
      <w:pPr>
        <w:adjustRightInd w:val="0"/>
        <w:spacing w:line="500" w:lineRule="exact"/>
        <w:ind w:firstLine="480" w:firstLineChars="200"/>
        <w:contextualSpacing/>
        <w:rPr>
          <w:rFonts w:ascii="宋体" w:hAnsi="宋体" w:cs="仿宋"/>
          <w:sz w:val="24"/>
        </w:rPr>
      </w:pPr>
      <w:r>
        <w:rPr>
          <w:rFonts w:hint="eastAsia" w:ascii="宋体" w:hAnsi="宋体" w:cs="仿宋"/>
          <w:sz w:val="24"/>
        </w:rPr>
        <w:t>其他关于分包的约定：</w:t>
      </w:r>
      <w:r>
        <w:rPr>
          <w:rFonts w:hint="eastAsia" w:ascii="宋体" w:hAnsi="宋体" w:cs="仿宋"/>
          <w:sz w:val="24"/>
          <w:u w:val="single"/>
          <w:lang w:val="en-US" w:eastAsia="zh-CN"/>
        </w:rPr>
        <w:t xml:space="preserve">            </w:t>
      </w:r>
      <w:r>
        <w:rPr>
          <w:rFonts w:hint="eastAsia" w:ascii="宋体" w:hAnsi="宋体" w:cs="仿宋"/>
          <w:sz w:val="24"/>
        </w:rPr>
        <w:t>。</w:t>
      </w:r>
    </w:p>
    <w:p w14:paraId="66861FEE">
      <w:pPr>
        <w:adjustRightInd w:val="0"/>
        <w:spacing w:line="500" w:lineRule="exact"/>
        <w:ind w:firstLine="480" w:firstLineChars="200"/>
        <w:contextualSpacing/>
        <w:rPr>
          <w:rFonts w:ascii="宋体" w:hAnsi="宋体" w:cs="仿宋"/>
          <w:sz w:val="24"/>
        </w:rPr>
      </w:pPr>
      <w:r>
        <w:rPr>
          <w:rFonts w:hint="eastAsia" w:ascii="宋体" w:hAnsi="宋体" w:cs="仿宋"/>
          <w:sz w:val="24"/>
        </w:rPr>
        <w:t>3.4.3 分包合同价款</w:t>
      </w:r>
    </w:p>
    <w:p w14:paraId="0A017EBC">
      <w:pPr>
        <w:adjustRightInd w:val="0"/>
        <w:spacing w:line="500" w:lineRule="exact"/>
        <w:ind w:firstLine="480" w:firstLineChars="200"/>
        <w:contextualSpacing/>
        <w:rPr>
          <w:rFonts w:ascii="宋体" w:hAnsi="宋体" w:cs="仿宋"/>
          <w:sz w:val="24"/>
        </w:rPr>
      </w:pPr>
      <w:r>
        <w:rPr>
          <w:rFonts w:hint="eastAsia" w:ascii="宋体" w:hAnsi="宋体" w:cs="仿宋"/>
          <w:sz w:val="24"/>
        </w:rPr>
        <w:t>关于分包合同价款支付的约定：</w:t>
      </w:r>
      <w:r>
        <w:rPr>
          <w:rFonts w:hint="eastAsia" w:ascii="宋体" w:hAnsi="宋体" w:cs="仿宋"/>
          <w:sz w:val="24"/>
          <w:u w:val="single"/>
        </w:rPr>
        <w:t xml:space="preserve">         /             </w:t>
      </w:r>
      <w:r>
        <w:rPr>
          <w:rFonts w:hint="eastAsia" w:ascii="宋体" w:hAnsi="宋体" w:cs="仿宋"/>
          <w:sz w:val="24"/>
        </w:rPr>
        <w:t>。</w:t>
      </w:r>
    </w:p>
    <w:p w14:paraId="5A09D8E7">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3.5 工程照管与成品、半成品保护</w:t>
      </w:r>
    </w:p>
    <w:p w14:paraId="39DB648E">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承包人负责照管工程及工程相关的材料、工程设备的起始时间：</w:t>
      </w:r>
      <w:r>
        <w:rPr>
          <w:rFonts w:hint="eastAsia" w:ascii="宋体" w:hAnsi="宋体" w:cs="仿宋"/>
          <w:sz w:val="24"/>
          <w:u w:val="single"/>
        </w:rPr>
        <w:t xml:space="preserve">          /     </w:t>
      </w:r>
      <w:r>
        <w:rPr>
          <w:rFonts w:hint="eastAsia" w:ascii="宋体" w:hAnsi="宋体" w:cs="仿宋"/>
          <w:sz w:val="24"/>
        </w:rPr>
        <w:t>。</w:t>
      </w:r>
    </w:p>
    <w:p w14:paraId="554E3404">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3.6 履约担保</w:t>
      </w:r>
    </w:p>
    <w:p w14:paraId="0BA06CD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承包人是否提供履约担保：</w:t>
      </w:r>
      <w:r>
        <w:rPr>
          <w:rFonts w:hint="eastAsia" w:ascii="宋体" w:hAnsi="宋体" w:cs="仿宋"/>
          <w:sz w:val="24"/>
          <w:u w:val="single"/>
        </w:rPr>
        <w:t>是</w:t>
      </w:r>
      <w:r>
        <w:rPr>
          <w:rFonts w:hint="eastAsia" w:ascii="宋体" w:hAnsi="宋体" w:cs="仿宋"/>
          <w:sz w:val="24"/>
        </w:rPr>
        <w:t>。</w:t>
      </w:r>
    </w:p>
    <w:p w14:paraId="38DC495F">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承包人提供履约担保的形式、金额及期限的：</w:t>
      </w:r>
      <w:r>
        <w:rPr>
          <w:rFonts w:hint="eastAsia" w:ascii="宋体" w:hAnsi="宋体" w:cs="仿宋"/>
          <w:sz w:val="24"/>
          <w:u w:val="single"/>
        </w:rPr>
        <w:t>承包人签订工程承包合同后 7 日历天内应向发包人交纳合同价10%的履约保证金,即万元（采用银行保函形式）。履约保证金具体分摊比例：履约保证金分六部分，其中工期履约保证金50%，项目班子人员到位履约保证金15%，施工质量履约保证金 15%，安全文明履约保证金 10％,结算上报及时率履约保证金 5%,其它履约保证金5%。担保期限为自本施工合同签订之日至工程实际通过竣工验收后90日，工期延长的，履约担保的期限相应顺延。</w:t>
      </w:r>
    </w:p>
    <w:p w14:paraId="31391D8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u w:val="single"/>
        </w:rPr>
        <w:t>承包人在履约期间未出现违约行为，在工程竣工验收合格后退还低价中标风险担保保函（无息）。工程结算资料已上报且工程实际通过竣工验收后90天内退还履约保证金（无息）</w:t>
      </w:r>
      <w:r>
        <w:rPr>
          <w:rFonts w:hint="eastAsia" w:ascii="宋体" w:hAnsi="宋体" w:cs="仿宋"/>
          <w:sz w:val="24"/>
        </w:rPr>
        <w:t>。</w:t>
      </w:r>
    </w:p>
    <w:p w14:paraId="1A706C09">
      <w:pPr>
        <w:adjustRightInd w:val="0"/>
        <w:spacing w:line="500" w:lineRule="exact"/>
        <w:ind w:firstLine="480" w:firstLineChars="200"/>
        <w:contextualSpacing/>
        <w:rPr>
          <w:rFonts w:ascii="宋体" w:hAnsi="宋体" w:cs="仿宋"/>
          <w:sz w:val="24"/>
        </w:rPr>
      </w:pPr>
      <w:r>
        <w:rPr>
          <w:rFonts w:hint="eastAsia" w:ascii="宋体" w:hAnsi="宋体" w:cs="仿宋"/>
          <w:sz w:val="24"/>
        </w:rPr>
        <w:t>4. 监理人</w:t>
      </w:r>
    </w:p>
    <w:p w14:paraId="22E84BB7">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4.1监理人的一般规定</w:t>
      </w:r>
    </w:p>
    <w:p w14:paraId="6F857F8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关于监理人的监理内容：</w:t>
      </w:r>
      <w:r>
        <w:rPr>
          <w:rFonts w:hint="eastAsia" w:ascii="宋体" w:hAnsi="宋体" w:cs="仿宋"/>
          <w:sz w:val="24"/>
          <w:u w:val="single"/>
        </w:rPr>
        <w:t>本工程实施范围内的所有内容</w:t>
      </w:r>
      <w:r>
        <w:rPr>
          <w:rFonts w:hint="eastAsia" w:ascii="宋体" w:hAnsi="宋体" w:cs="仿宋"/>
          <w:sz w:val="24"/>
        </w:rPr>
        <w:t>。</w:t>
      </w:r>
    </w:p>
    <w:p w14:paraId="330430B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关于监理人的监理权限：</w:t>
      </w:r>
      <w:r>
        <w:rPr>
          <w:rFonts w:hint="eastAsia" w:ascii="宋体" w:hAnsi="宋体" w:cs="仿宋"/>
          <w:sz w:val="24"/>
          <w:u w:val="single"/>
        </w:rPr>
        <w:t>根据监理合同、施工承包合同和法律法规规定的事项代表发包人进行工程前期协调、施工现场协调、工程监理</w:t>
      </w:r>
      <w:r>
        <w:rPr>
          <w:rFonts w:hint="eastAsia" w:ascii="宋体" w:hAnsi="宋体" w:cs="仿宋"/>
          <w:sz w:val="24"/>
        </w:rPr>
        <w:t>。</w:t>
      </w:r>
    </w:p>
    <w:p w14:paraId="40B14A6C">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4.2 监理人员</w:t>
      </w:r>
    </w:p>
    <w:p w14:paraId="3F0D43E0">
      <w:pPr>
        <w:adjustRightInd w:val="0"/>
        <w:spacing w:line="500" w:lineRule="exact"/>
        <w:ind w:firstLine="480" w:firstLineChars="200"/>
        <w:contextualSpacing/>
        <w:rPr>
          <w:rFonts w:ascii="宋体" w:hAnsi="宋体" w:cs="仿宋"/>
          <w:sz w:val="24"/>
        </w:rPr>
      </w:pPr>
      <w:r>
        <w:rPr>
          <w:rFonts w:hint="eastAsia" w:ascii="宋体" w:hAnsi="宋体" w:cs="仿宋"/>
          <w:sz w:val="24"/>
        </w:rPr>
        <w:t>总监理工程师：</w:t>
      </w:r>
    </w:p>
    <w:p w14:paraId="7A222FBC">
      <w:pPr>
        <w:adjustRightInd w:val="0"/>
        <w:spacing w:line="500" w:lineRule="exact"/>
        <w:ind w:firstLine="480" w:firstLineChars="200"/>
        <w:contextualSpacing/>
        <w:rPr>
          <w:rFonts w:ascii="宋体" w:hAnsi="宋体" w:cs="仿宋"/>
          <w:sz w:val="24"/>
        </w:rPr>
      </w:pPr>
      <w:r>
        <w:rPr>
          <w:rFonts w:hint="eastAsia" w:ascii="宋体" w:hAnsi="宋体" w:cs="仿宋"/>
          <w:sz w:val="24"/>
        </w:rPr>
        <w:t>姓名：</w:t>
      </w:r>
      <w:r>
        <w:rPr>
          <w:rFonts w:hint="eastAsia" w:ascii="宋体" w:hAnsi="宋体" w:cs="仿宋"/>
          <w:sz w:val="24"/>
          <w:u w:val="single"/>
        </w:rPr>
        <w:t></w:t>
      </w:r>
      <w:r>
        <w:rPr>
          <w:rFonts w:hint="eastAsia" w:ascii="宋体" w:hAnsi="宋体" w:cs="仿宋"/>
          <w:sz w:val="24"/>
        </w:rPr>
        <w:t>。</w:t>
      </w:r>
    </w:p>
    <w:p w14:paraId="60D44256">
      <w:pPr>
        <w:adjustRightInd w:val="0"/>
        <w:spacing w:line="500" w:lineRule="exact"/>
        <w:ind w:firstLine="480" w:firstLineChars="200"/>
        <w:contextualSpacing/>
        <w:rPr>
          <w:rFonts w:ascii="宋体" w:hAnsi="宋体" w:cs="仿宋"/>
          <w:sz w:val="24"/>
        </w:rPr>
      </w:pPr>
      <w:r>
        <w:rPr>
          <w:rFonts w:hint="eastAsia" w:ascii="宋体" w:hAnsi="宋体" w:cs="仿宋"/>
          <w:sz w:val="24"/>
        </w:rPr>
        <w:t>职务：</w:t>
      </w:r>
      <w:r>
        <w:rPr>
          <w:rFonts w:hint="eastAsia" w:ascii="宋体" w:hAnsi="宋体" w:cs="仿宋"/>
          <w:sz w:val="24"/>
          <w:u w:val="single"/>
        </w:rPr>
        <w:t></w:t>
      </w:r>
      <w:r>
        <w:rPr>
          <w:rFonts w:hint="eastAsia" w:ascii="宋体" w:hAnsi="宋体" w:cs="仿宋"/>
          <w:sz w:val="24"/>
        </w:rPr>
        <w:t>。</w:t>
      </w:r>
    </w:p>
    <w:p w14:paraId="0110B6C1">
      <w:pPr>
        <w:adjustRightInd w:val="0"/>
        <w:spacing w:line="500" w:lineRule="exact"/>
        <w:ind w:firstLine="480" w:firstLineChars="200"/>
        <w:contextualSpacing/>
        <w:rPr>
          <w:rFonts w:ascii="宋体" w:hAnsi="宋体" w:cs="仿宋"/>
          <w:sz w:val="24"/>
        </w:rPr>
      </w:pPr>
      <w:r>
        <w:rPr>
          <w:rFonts w:hint="eastAsia" w:ascii="宋体" w:hAnsi="宋体" w:cs="仿宋"/>
          <w:sz w:val="24"/>
        </w:rPr>
        <w:t>监理工程师执业资格证书号：</w:t>
      </w:r>
      <w:r>
        <w:rPr>
          <w:rFonts w:hint="eastAsia" w:ascii="宋体" w:hAnsi="宋体" w:cs="仿宋"/>
          <w:sz w:val="24"/>
          <w:u w:val="single"/>
        </w:rPr>
        <w:t></w:t>
      </w:r>
      <w:r>
        <w:rPr>
          <w:rFonts w:hint="eastAsia" w:ascii="宋体" w:hAnsi="宋体" w:cs="仿宋"/>
          <w:sz w:val="24"/>
        </w:rPr>
        <w:t>。</w:t>
      </w:r>
    </w:p>
    <w:p w14:paraId="3620E6FB">
      <w:pPr>
        <w:adjustRightInd w:val="0"/>
        <w:spacing w:line="500" w:lineRule="exact"/>
        <w:ind w:firstLine="480" w:firstLineChars="200"/>
        <w:contextualSpacing/>
        <w:rPr>
          <w:rFonts w:ascii="宋体" w:hAnsi="宋体" w:cs="仿宋"/>
          <w:sz w:val="24"/>
        </w:rPr>
      </w:pPr>
      <w:r>
        <w:rPr>
          <w:rFonts w:hint="eastAsia" w:ascii="宋体" w:hAnsi="宋体" w:cs="仿宋"/>
          <w:sz w:val="24"/>
        </w:rPr>
        <w:t>联系电话：</w:t>
      </w:r>
      <w:r>
        <w:rPr>
          <w:rFonts w:hint="eastAsia" w:ascii="宋体" w:hAnsi="宋体" w:cs="仿宋"/>
          <w:sz w:val="24"/>
          <w:u w:val="single"/>
        </w:rPr>
        <w:t></w:t>
      </w:r>
      <w:r>
        <w:rPr>
          <w:rFonts w:hint="eastAsia" w:ascii="宋体" w:hAnsi="宋体" w:cs="仿宋"/>
          <w:sz w:val="24"/>
        </w:rPr>
        <w:t>。</w:t>
      </w:r>
    </w:p>
    <w:p w14:paraId="3E9EB155">
      <w:pPr>
        <w:adjustRightInd w:val="0"/>
        <w:spacing w:line="500" w:lineRule="exact"/>
        <w:ind w:firstLine="480" w:firstLineChars="200"/>
        <w:contextualSpacing/>
        <w:rPr>
          <w:rFonts w:ascii="宋体" w:hAnsi="宋体" w:cs="仿宋"/>
          <w:sz w:val="24"/>
        </w:rPr>
      </w:pPr>
      <w:r>
        <w:rPr>
          <w:rFonts w:hint="eastAsia" w:ascii="宋体" w:hAnsi="宋体" w:cs="仿宋"/>
          <w:sz w:val="24"/>
        </w:rPr>
        <w:t>电子信箱：</w:t>
      </w:r>
      <w:r>
        <w:rPr>
          <w:rFonts w:hint="eastAsia" w:ascii="宋体" w:hAnsi="宋体" w:cs="仿宋"/>
          <w:sz w:val="24"/>
          <w:u w:val="single"/>
        </w:rPr>
        <w:t></w:t>
      </w:r>
      <w:r>
        <w:rPr>
          <w:rFonts w:hint="eastAsia" w:ascii="宋体" w:hAnsi="宋体" w:cs="仿宋"/>
          <w:sz w:val="24"/>
        </w:rPr>
        <w:t>。</w:t>
      </w:r>
    </w:p>
    <w:p w14:paraId="460DA0FB">
      <w:pPr>
        <w:adjustRightInd w:val="0"/>
        <w:spacing w:line="500" w:lineRule="exact"/>
        <w:ind w:firstLine="480" w:firstLineChars="200"/>
        <w:contextualSpacing/>
        <w:rPr>
          <w:rFonts w:ascii="宋体" w:hAnsi="宋体" w:cs="仿宋"/>
          <w:sz w:val="24"/>
        </w:rPr>
      </w:pPr>
      <w:r>
        <w:rPr>
          <w:rFonts w:hint="eastAsia" w:ascii="宋体" w:hAnsi="宋体" w:cs="仿宋"/>
          <w:sz w:val="24"/>
        </w:rPr>
        <w:t>通信地址：</w:t>
      </w:r>
      <w:r>
        <w:rPr>
          <w:rFonts w:hint="eastAsia" w:ascii="宋体" w:hAnsi="宋体" w:cs="仿宋"/>
          <w:sz w:val="24"/>
          <w:u w:val="single"/>
        </w:rPr>
        <w:t></w:t>
      </w:r>
      <w:r>
        <w:rPr>
          <w:rFonts w:hint="eastAsia" w:ascii="宋体" w:hAnsi="宋体" w:cs="仿宋"/>
          <w:sz w:val="24"/>
        </w:rPr>
        <w:t>。</w:t>
      </w:r>
    </w:p>
    <w:p w14:paraId="759E7F61">
      <w:pPr>
        <w:adjustRightInd w:val="0"/>
        <w:spacing w:line="500" w:lineRule="exact"/>
        <w:ind w:firstLine="480" w:firstLineChars="200"/>
        <w:contextualSpacing/>
        <w:rPr>
          <w:rFonts w:ascii="宋体" w:hAnsi="宋体" w:cs="仿宋"/>
          <w:sz w:val="24"/>
        </w:rPr>
      </w:pPr>
      <w:r>
        <w:rPr>
          <w:rFonts w:hint="eastAsia" w:ascii="宋体" w:hAnsi="宋体" w:cs="仿宋"/>
          <w:sz w:val="24"/>
        </w:rPr>
        <w:t>关于监理人的其他约定：</w:t>
      </w:r>
      <w:r>
        <w:rPr>
          <w:rFonts w:hint="eastAsia" w:ascii="宋体" w:hAnsi="宋体" w:cs="仿宋"/>
          <w:sz w:val="24"/>
          <w:u w:val="single"/>
        </w:rPr>
        <w:t>总监理工程师签署的任何付款凭证需经发包人签署确认</w:t>
      </w:r>
      <w:r>
        <w:rPr>
          <w:rFonts w:hint="eastAsia" w:ascii="宋体" w:hAnsi="宋体" w:cs="仿宋"/>
          <w:sz w:val="24"/>
        </w:rPr>
        <w:t>。</w:t>
      </w:r>
    </w:p>
    <w:p w14:paraId="4182CE06">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4.3 商定或确定</w:t>
      </w:r>
    </w:p>
    <w:p w14:paraId="14ED4356">
      <w:pPr>
        <w:adjustRightInd w:val="0"/>
        <w:spacing w:line="500" w:lineRule="exact"/>
        <w:ind w:firstLine="480" w:firstLineChars="200"/>
        <w:contextualSpacing/>
        <w:rPr>
          <w:rFonts w:ascii="宋体" w:hAnsi="宋体" w:cs="仿宋"/>
          <w:sz w:val="24"/>
        </w:rPr>
      </w:pPr>
      <w:r>
        <w:rPr>
          <w:rFonts w:hint="eastAsia" w:ascii="宋体" w:hAnsi="宋体" w:cs="仿宋"/>
          <w:sz w:val="24"/>
        </w:rPr>
        <w:t>在发包人和承包人不能通过协商达成一致意见时，发包人授权监理人对以下事项进行确定：</w:t>
      </w:r>
    </w:p>
    <w:p w14:paraId="6D76EC4B">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w:t>
      </w:r>
      <w:r>
        <w:rPr>
          <w:rFonts w:hint="eastAsia" w:ascii="宋体" w:hAnsi="宋体" w:cs="仿宋"/>
          <w:sz w:val="24"/>
          <w:u w:val="single"/>
        </w:rPr>
        <w:t xml:space="preserve">                 /                  </w:t>
      </w:r>
      <w:r>
        <w:rPr>
          <w:rFonts w:hint="eastAsia" w:ascii="宋体" w:hAnsi="宋体" w:cs="仿宋"/>
          <w:sz w:val="24"/>
        </w:rPr>
        <w:t>。</w:t>
      </w:r>
    </w:p>
    <w:p w14:paraId="55F610DA">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w:t>
      </w:r>
      <w:r>
        <w:rPr>
          <w:rFonts w:hint="eastAsia" w:ascii="宋体" w:hAnsi="宋体" w:cs="仿宋"/>
          <w:sz w:val="24"/>
          <w:u w:val="single"/>
        </w:rPr>
        <w:t xml:space="preserve">                 /                  </w:t>
      </w:r>
      <w:r>
        <w:rPr>
          <w:rFonts w:hint="eastAsia" w:ascii="宋体" w:hAnsi="宋体" w:cs="仿宋"/>
          <w:sz w:val="24"/>
        </w:rPr>
        <w:t>。</w:t>
      </w:r>
    </w:p>
    <w:p w14:paraId="28295155">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w:t>
      </w:r>
      <w:r>
        <w:rPr>
          <w:rFonts w:hint="eastAsia" w:ascii="宋体" w:hAnsi="宋体" w:cs="仿宋"/>
          <w:sz w:val="24"/>
          <w:u w:val="single"/>
        </w:rPr>
        <w:t xml:space="preserve">                 /                  </w:t>
      </w:r>
      <w:r>
        <w:rPr>
          <w:rFonts w:hint="eastAsia" w:ascii="宋体" w:hAnsi="宋体" w:cs="仿宋"/>
          <w:sz w:val="24"/>
        </w:rPr>
        <w:t>。</w:t>
      </w:r>
    </w:p>
    <w:p w14:paraId="59E0B540">
      <w:pPr>
        <w:adjustRightInd w:val="0"/>
        <w:spacing w:line="500" w:lineRule="exact"/>
        <w:ind w:firstLine="480" w:firstLineChars="200"/>
        <w:contextualSpacing/>
        <w:rPr>
          <w:rFonts w:ascii="宋体" w:hAnsi="宋体" w:cs="仿宋"/>
          <w:sz w:val="24"/>
        </w:rPr>
      </w:pPr>
      <w:r>
        <w:rPr>
          <w:rFonts w:hint="eastAsia" w:ascii="宋体" w:hAnsi="宋体" w:cs="仿宋"/>
          <w:sz w:val="24"/>
        </w:rPr>
        <w:t>5. 工程质量</w:t>
      </w:r>
    </w:p>
    <w:p w14:paraId="7C06AB6D">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5.1 质量要求</w:t>
      </w:r>
    </w:p>
    <w:p w14:paraId="6F96E8C7">
      <w:pPr>
        <w:adjustRightInd w:val="0"/>
        <w:spacing w:line="500" w:lineRule="exact"/>
        <w:ind w:firstLine="480" w:firstLineChars="200"/>
        <w:contextualSpacing/>
        <w:rPr>
          <w:rFonts w:ascii="宋体" w:hAnsi="宋体" w:cs="仿宋"/>
          <w:sz w:val="24"/>
        </w:rPr>
      </w:pPr>
      <w:r>
        <w:rPr>
          <w:rFonts w:hint="eastAsia" w:ascii="宋体" w:hAnsi="宋体" w:cs="仿宋"/>
          <w:sz w:val="24"/>
        </w:rPr>
        <w:t>特殊质量标准和要求：</w:t>
      </w:r>
      <w:r>
        <w:rPr>
          <w:rFonts w:hint="eastAsia" w:ascii="宋体" w:hAnsi="宋体" w:cs="仿宋"/>
          <w:sz w:val="24"/>
          <w:u w:val="single"/>
        </w:rPr>
        <w:t xml:space="preserve">            /              </w:t>
      </w:r>
      <w:r>
        <w:rPr>
          <w:rFonts w:hint="eastAsia" w:ascii="宋体" w:hAnsi="宋体" w:cs="仿宋"/>
          <w:sz w:val="24"/>
        </w:rPr>
        <w:t>。</w:t>
      </w:r>
    </w:p>
    <w:p w14:paraId="5948245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关于工程奖项的约定：</w:t>
      </w:r>
      <w:r>
        <w:rPr>
          <w:rFonts w:hint="eastAsia" w:ascii="宋体" w:hAnsi="宋体" w:cs="仿宋"/>
          <w:sz w:val="24"/>
          <w:u w:val="single"/>
        </w:rPr>
        <w:t xml:space="preserve">             /                   </w:t>
      </w:r>
      <w:r>
        <w:rPr>
          <w:rFonts w:hint="eastAsia" w:ascii="宋体" w:hAnsi="宋体" w:cs="仿宋"/>
          <w:sz w:val="24"/>
        </w:rPr>
        <w:t>。</w:t>
      </w:r>
    </w:p>
    <w:p w14:paraId="27D25948">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5.2 隐蔽工程检查</w:t>
      </w:r>
    </w:p>
    <w:p w14:paraId="05840962">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承包人提前通知监理人隐蔽工程检查的期限的约定：</w:t>
      </w:r>
      <w:r>
        <w:rPr>
          <w:rFonts w:hint="eastAsia" w:ascii="宋体" w:hAnsi="宋体" w:cs="仿宋"/>
          <w:sz w:val="24"/>
          <w:u w:val="single"/>
        </w:rPr>
        <w:t>共同检查前48小时</w:t>
      </w:r>
      <w:r>
        <w:rPr>
          <w:rFonts w:hint="eastAsia" w:ascii="宋体" w:hAnsi="宋体" w:cs="仿宋"/>
          <w:sz w:val="24"/>
        </w:rPr>
        <w:t>。</w:t>
      </w:r>
    </w:p>
    <w:p w14:paraId="29DEE4F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监理人不能按时进行检查时，应提前</w:t>
      </w:r>
      <w:r>
        <w:rPr>
          <w:rFonts w:hint="eastAsia" w:ascii="宋体" w:hAnsi="宋体" w:cs="仿宋"/>
          <w:sz w:val="24"/>
          <w:u w:val="single"/>
        </w:rPr>
        <w:t>24</w:t>
      </w:r>
      <w:r>
        <w:rPr>
          <w:rFonts w:hint="eastAsia" w:ascii="宋体" w:hAnsi="宋体" w:cs="仿宋"/>
          <w:sz w:val="24"/>
        </w:rPr>
        <w:t>小时提交书面延期要求。</w:t>
      </w:r>
    </w:p>
    <w:p w14:paraId="51CD847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关于延期最长不得超过：</w:t>
      </w:r>
      <w:r>
        <w:rPr>
          <w:rFonts w:hint="eastAsia" w:ascii="宋体" w:hAnsi="宋体" w:cs="仿宋"/>
          <w:sz w:val="24"/>
          <w:u w:val="single"/>
        </w:rPr>
        <w:t>24</w:t>
      </w:r>
      <w:r>
        <w:rPr>
          <w:rFonts w:hint="eastAsia" w:ascii="宋体" w:hAnsi="宋体" w:cs="仿宋"/>
          <w:sz w:val="24"/>
        </w:rPr>
        <w:t>小时。</w:t>
      </w:r>
    </w:p>
    <w:p w14:paraId="76A9D025">
      <w:pPr>
        <w:adjustRightInd w:val="0"/>
        <w:spacing w:line="500" w:lineRule="exact"/>
        <w:ind w:firstLine="480" w:firstLineChars="200"/>
        <w:contextualSpacing/>
        <w:rPr>
          <w:rFonts w:ascii="宋体" w:hAnsi="宋体" w:cs="仿宋"/>
          <w:bCs/>
          <w:sz w:val="24"/>
        </w:rPr>
      </w:pPr>
      <w:r>
        <w:rPr>
          <w:rFonts w:ascii="宋体" w:hAnsi="宋体" w:cs="仿宋"/>
          <w:bCs/>
          <w:sz w:val="24"/>
        </w:rPr>
        <w:t>5.3</w:t>
      </w:r>
      <w:r>
        <w:rPr>
          <w:rFonts w:hint="eastAsia" w:ascii="宋体" w:hAnsi="宋体" w:cs="仿宋"/>
          <w:bCs/>
          <w:sz w:val="24"/>
        </w:rPr>
        <w:t>承包人私自覆盖</w:t>
      </w:r>
    </w:p>
    <w:p w14:paraId="289D3605">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承包人未通知监理人到场检查，私自将工程隐蔽部位覆盖的，监理人有权指示承包人揭开检查，无论工程隐蔽部位质量是否合格，由此增加的费用和（或）延误的工期均由承包人承担，且发包人有权视情节严重，对承包人处以</w:t>
      </w:r>
      <w:r>
        <w:rPr>
          <w:rFonts w:ascii="宋体" w:hAnsi="宋体" w:cs="仿宋"/>
          <w:bCs/>
          <w:sz w:val="24"/>
        </w:rPr>
        <w:t>1000-10000</w:t>
      </w:r>
      <w:r>
        <w:rPr>
          <w:rFonts w:hint="eastAsia" w:ascii="宋体" w:hAnsi="宋体" w:cs="仿宋"/>
          <w:bCs/>
          <w:sz w:val="24"/>
        </w:rPr>
        <w:t>元</w:t>
      </w:r>
      <w:r>
        <w:rPr>
          <w:rFonts w:ascii="宋体" w:hAnsi="宋体" w:cs="仿宋"/>
          <w:bCs/>
          <w:sz w:val="24"/>
        </w:rPr>
        <w:t>/</w:t>
      </w:r>
      <w:r>
        <w:rPr>
          <w:rFonts w:hint="eastAsia" w:ascii="宋体" w:hAnsi="宋体" w:cs="仿宋"/>
          <w:bCs/>
          <w:sz w:val="24"/>
        </w:rPr>
        <w:t>次的违约金。</w:t>
      </w:r>
    </w:p>
    <w:p w14:paraId="4E4F664C">
      <w:pPr>
        <w:adjustRightInd w:val="0"/>
        <w:spacing w:line="500" w:lineRule="exact"/>
        <w:ind w:firstLine="480" w:firstLineChars="200"/>
        <w:contextualSpacing/>
        <w:rPr>
          <w:rFonts w:ascii="宋体" w:hAnsi="宋体" w:cs="仿宋"/>
          <w:sz w:val="24"/>
        </w:rPr>
      </w:pPr>
      <w:r>
        <w:rPr>
          <w:rFonts w:hint="eastAsia" w:ascii="宋体" w:hAnsi="宋体" w:cs="仿宋"/>
          <w:sz w:val="24"/>
        </w:rPr>
        <w:t>6. 安全文明施工与环境保护</w:t>
      </w:r>
    </w:p>
    <w:p w14:paraId="003AED43">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6.1安全文明施工</w:t>
      </w:r>
    </w:p>
    <w:p w14:paraId="1223D001">
      <w:pPr>
        <w:adjustRightInd w:val="0"/>
        <w:spacing w:line="500" w:lineRule="exact"/>
        <w:ind w:firstLine="480" w:firstLineChars="200"/>
        <w:contextualSpacing/>
        <w:rPr>
          <w:rFonts w:ascii="宋体" w:hAnsi="宋体" w:cs="仿宋"/>
          <w:sz w:val="24"/>
        </w:rPr>
      </w:pPr>
      <w:r>
        <w:rPr>
          <w:rFonts w:hint="eastAsia" w:ascii="宋体" w:hAnsi="宋体" w:cs="仿宋"/>
          <w:sz w:val="24"/>
        </w:rPr>
        <w:t>6.1.1 项目安全生产的达标目标及相应事项的约定：</w:t>
      </w:r>
      <w:r>
        <w:rPr>
          <w:rFonts w:hint="eastAsia" w:ascii="宋体" w:hAnsi="宋体" w:cs="仿宋"/>
          <w:sz w:val="24"/>
          <w:u w:val="single"/>
        </w:rPr>
        <w:t>施工现场按照当地评定达到“合格”标准</w:t>
      </w:r>
      <w:r>
        <w:rPr>
          <w:rFonts w:hint="eastAsia" w:ascii="宋体" w:hAnsi="宋体" w:cs="仿宋"/>
          <w:sz w:val="24"/>
        </w:rPr>
        <w:t>。</w:t>
      </w:r>
    </w:p>
    <w:p w14:paraId="2D8B94F6">
      <w:pPr>
        <w:adjustRightInd w:val="0"/>
        <w:spacing w:line="500" w:lineRule="exact"/>
        <w:ind w:firstLine="480" w:firstLineChars="200"/>
        <w:contextualSpacing/>
        <w:rPr>
          <w:rFonts w:ascii="宋体" w:hAnsi="宋体" w:cs="仿宋"/>
          <w:sz w:val="24"/>
        </w:rPr>
      </w:pPr>
      <w:r>
        <w:rPr>
          <w:rFonts w:hint="eastAsia" w:ascii="宋体" w:hAnsi="宋体" w:cs="仿宋"/>
          <w:sz w:val="24"/>
        </w:rPr>
        <w:t>6.1.2 关于治安保卫的特别约定：</w:t>
      </w:r>
      <w:r>
        <w:rPr>
          <w:rFonts w:hint="eastAsia" w:ascii="宋体" w:hAnsi="宋体" w:cs="仿宋"/>
          <w:sz w:val="24"/>
          <w:u w:val="single"/>
        </w:rPr>
        <w:t xml:space="preserve">           /            </w:t>
      </w:r>
      <w:r>
        <w:rPr>
          <w:rFonts w:hint="eastAsia" w:ascii="宋体" w:hAnsi="宋体" w:cs="仿宋"/>
          <w:sz w:val="24"/>
        </w:rPr>
        <w:t>。</w:t>
      </w:r>
    </w:p>
    <w:p w14:paraId="1B798DAD">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关于编制施工场地治安管理计划的约定：</w:t>
      </w:r>
      <w:r>
        <w:rPr>
          <w:rFonts w:hint="eastAsia" w:ascii="宋体" w:hAnsi="宋体" w:cs="仿宋"/>
          <w:sz w:val="24"/>
          <w:u w:val="single"/>
        </w:rPr>
        <w:t xml:space="preserve">      /           </w:t>
      </w:r>
      <w:r>
        <w:rPr>
          <w:rFonts w:hint="eastAsia" w:ascii="宋体" w:hAnsi="宋体" w:cs="仿宋"/>
          <w:sz w:val="24"/>
        </w:rPr>
        <w:t>。</w:t>
      </w:r>
    </w:p>
    <w:p w14:paraId="76E0DAF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6.1.3 文明施工</w:t>
      </w:r>
    </w:p>
    <w:p w14:paraId="2F3DE77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合同当事人对文明施工的要求：</w:t>
      </w:r>
    </w:p>
    <w:p w14:paraId="45472089">
      <w:pPr>
        <w:adjustRightInd w:val="0"/>
        <w:spacing w:line="500" w:lineRule="exact"/>
        <w:ind w:firstLine="480" w:firstLineChars="200"/>
        <w:contextualSpacing/>
        <w:jc w:val="left"/>
        <w:rPr>
          <w:rFonts w:ascii="宋体" w:hAnsi="宋体" w:cs="仿宋"/>
          <w:sz w:val="24"/>
          <w:u w:val="single"/>
          <w:lang w:val="zh-CN"/>
        </w:rPr>
      </w:pPr>
      <w:r>
        <w:rPr>
          <w:rFonts w:hint="eastAsia" w:ascii="宋体" w:hAnsi="宋体" w:cs="仿宋"/>
          <w:sz w:val="24"/>
          <w:u w:val="single"/>
        </w:rPr>
        <w:t>（1）</w:t>
      </w:r>
      <w:r>
        <w:rPr>
          <w:rFonts w:hint="eastAsia" w:ascii="宋体" w:hAnsi="宋体" w:cs="仿宋"/>
          <w:sz w:val="24"/>
          <w:u w:val="single"/>
          <w:lang w:val="zh-CN"/>
        </w:rPr>
        <w:t>遵守地方政府和有关部门对施工场地交通、环卫、安全和施工噪音等管理规定，并办理相关审批手续</w:t>
      </w:r>
      <w:r>
        <w:rPr>
          <w:rFonts w:hint="eastAsia" w:ascii="宋体" w:hAnsi="宋体" w:cs="仿宋"/>
          <w:sz w:val="24"/>
          <w:lang w:val="zh-CN"/>
        </w:rPr>
        <w:t>。</w:t>
      </w:r>
    </w:p>
    <w:p w14:paraId="3DE32896">
      <w:pPr>
        <w:adjustRightInd w:val="0"/>
        <w:spacing w:line="500" w:lineRule="exact"/>
        <w:ind w:firstLine="480" w:firstLineChars="200"/>
        <w:contextualSpacing/>
        <w:jc w:val="left"/>
        <w:rPr>
          <w:rFonts w:ascii="宋体" w:hAnsi="宋体" w:cs="仿宋"/>
          <w:sz w:val="24"/>
          <w:lang w:val="zh-CN"/>
        </w:rPr>
      </w:pPr>
      <w:r>
        <w:rPr>
          <w:rFonts w:hint="eastAsia" w:ascii="宋体" w:hAnsi="宋体" w:cs="仿宋"/>
          <w:sz w:val="24"/>
          <w:u w:val="single"/>
          <w:lang w:val="zh-CN"/>
        </w:rPr>
        <w:t>（2）承包人应采取有效措施尽量减小尘土和噪音污染，需要进行夜间作业时应经有关部门批准</w:t>
      </w:r>
      <w:r>
        <w:rPr>
          <w:rFonts w:hint="eastAsia" w:ascii="宋体" w:hAnsi="宋体" w:cs="仿宋"/>
          <w:sz w:val="24"/>
          <w:lang w:val="zh-CN"/>
        </w:rPr>
        <w:t>。</w:t>
      </w:r>
    </w:p>
    <w:p w14:paraId="56B23519">
      <w:pPr>
        <w:adjustRightInd w:val="0"/>
        <w:spacing w:line="500" w:lineRule="exact"/>
        <w:ind w:firstLine="480" w:firstLineChars="200"/>
        <w:contextualSpacing/>
        <w:jc w:val="left"/>
        <w:rPr>
          <w:rFonts w:ascii="宋体" w:hAnsi="宋体" w:cs="仿宋"/>
          <w:sz w:val="24"/>
          <w:u w:val="single"/>
          <w:lang w:val="zh-CN"/>
        </w:rPr>
      </w:pPr>
      <w:r>
        <w:rPr>
          <w:rFonts w:hint="eastAsia" w:ascii="宋体" w:hAnsi="宋体" w:cs="仿宋"/>
          <w:sz w:val="24"/>
          <w:u w:val="single"/>
          <w:lang w:val="zh-CN"/>
        </w:rPr>
        <w:t>（3）承包人文明施工还需做的其他工作：</w:t>
      </w:r>
    </w:p>
    <w:p w14:paraId="6A5B783C">
      <w:pPr>
        <w:adjustRightInd w:val="0"/>
        <w:spacing w:line="500" w:lineRule="exact"/>
        <w:ind w:firstLine="480" w:firstLineChars="200"/>
        <w:contextualSpacing/>
        <w:jc w:val="left"/>
        <w:rPr>
          <w:rFonts w:ascii="宋体" w:hAnsi="宋体" w:cs="仿宋"/>
          <w:sz w:val="24"/>
          <w:u w:val="single"/>
          <w:lang w:val="zh-CN"/>
        </w:rPr>
      </w:pPr>
      <w:r>
        <w:rPr>
          <w:rFonts w:hint="eastAsia" w:ascii="宋体" w:hAnsi="宋体" w:cs="仿宋"/>
          <w:sz w:val="24"/>
          <w:u w:val="single"/>
          <w:lang w:val="zh-CN"/>
        </w:rPr>
        <w:t>①所有现场作业人员必须统一着装，后背印有施工企业名称，夜间施工必须穿着反光背心。</w:t>
      </w:r>
    </w:p>
    <w:p w14:paraId="688BD042">
      <w:pPr>
        <w:adjustRightInd w:val="0"/>
        <w:spacing w:line="500" w:lineRule="exact"/>
        <w:ind w:firstLine="480" w:firstLineChars="200"/>
        <w:contextualSpacing/>
        <w:jc w:val="left"/>
        <w:rPr>
          <w:rFonts w:ascii="宋体" w:hAnsi="宋体" w:cs="仿宋"/>
          <w:sz w:val="24"/>
          <w:u w:val="single"/>
          <w:lang w:val="zh-CN"/>
        </w:rPr>
      </w:pPr>
      <w:r>
        <w:rPr>
          <w:rFonts w:hint="eastAsia" w:ascii="宋体" w:hAnsi="宋体" w:cs="仿宋"/>
          <w:sz w:val="24"/>
          <w:u w:val="single"/>
          <w:lang w:val="zh-CN"/>
        </w:rPr>
        <w:t>②协调好其他分包单位的施工安排，配合做好相关的安全文明施工工作。</w:t>
      </w:r>
    </w:p>
    <w:p w14:paraId="6EB05D05">
      <w:pPr>
        <w:adjustRightInd w:val="0"/>
        <w:spacing w:line="500" w:lineRule="exact"/>
        <w:ind w:firstLine="480" w:firstLineChars="200"/>
        <w:contextualSpacing/>
        <w:jc w:val="left"/>
        <w:rPr>
          <w:rFonts w:ascii="宋体" w:hAnsi="宋体" w:cs="仿宋"/>
          <w:sz w:val="24"/>
          <w:u w:val="single"/>
          <w:lang w:val="zh-CN"/>
        </w:rPr>
      </w:pPr>
      <w:r>
        <w:rPr>
          <w:rFonts w:hint="eastAsia" w:ascii="宋体" w:hAnsi="宋体" w:cs="仿宋"/>
          <w:sz w:val="24"/>
          <w:u w:val="single"/>
          <w:lang w:val="zh-CN"/>
        </w:rPr>
        <w:t>③</w:t>
      </w:r>
      <w:r>
        <w:rPr>
          <w:rFonts w:hint="eastAsia" w:ascii="宋体" w:hAnsi="宋体" w:cs="仿宋"/>
          <w:sz w:val="24"/>
          <w:u w:val="single"/>
        </w:rPr>
        <w:t>施工现场垃圾运输、存放措施：施工现场应设置垃圾存放点,集中堆放并进行覆盖，施工垃圾、生活垃圾应分类存放，运输委托手续符合相关规定。建筑物内的施工垃圾清运应采用密闭式容器调运、小车推运等方式及时清运，清运时采取适当洒水等措施减少扬尘。严禁随意丢弃，严禁凌空抛掷，安全网内垃圾应及时清理。</w:t>
      </w:r>
    </w:p>
    <w:p w14:paraId="4D33F94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u w:val="single"/>
          <w:lang w:val="zh-CN"/>
        </w:rPr>
        <w:t>（4）上述手续办理费用约定如下：由承包人自行承担</w:t>
      </w:r>
      <w:r>
        <w:rPr>
          <w:rFonts w:hint="eastAsia" w:ascii="宋体" w:hAnsi="宋体" w:cs="仿宋"/>
          <w:sz w:val="24"/>
        </w:rPr>
        <w:t>。</w:t>
      </w:r>
    </w:p>
    <w:p w14:paraId="2D1AEB8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6.1.4 关于安全文明施工费支付比例和支付期限的约定：</w:t>
      </w:r>
      <w:r>
        <w:rPr>
          <w:rFonts w:hint="eastAsia" w:ascii="宋体" w:hAnsi="宋体" w:cs="仿宋"/>
          <w:sz w:val="24"/>
          <w:u w:val="single"/>
        </w:rPr>
        <w:t>预付费用为安全文明施工费总额的6</w:t>
      </w:r>
      <w:r>
        <w:rPr>
          <w:rFonts w:ascii="宋体" w:hAnsi="宋体" w:cs="仿宋"/>
          <w:sz w:val="24"/>
          <w:u w:val="single"/>
        </w:rPr>
        <w:t>0%</w:t>
      </w:r>
      <w:r>
        <w:rPr>
          <w:rFonts w:hint="eastAsia" w:ascii="宋体" w:hAnsi="宋体" w:cs="仿宋"/>
          <w:sz w:val="24"/>
          <w:u w:val="single"/>
        </w:rPr>
        <w:t>，其余部分视相关措施的落实情况与进度款同期支付</w:t>
      </w:r>
      <w:r>
        <w:rPr>
          <w:rFonts w:hint="eastAsia" w:ascii="宋体" w:hAnsi="宋体" w:cs="仿宋"/>
          <w:sz w:val="24"/>
        </w:rPr>
        <w:t>。</w:t>
      </w:r>
    </w:p>
    <w:p w14:paraId="17B5F5EE">
      <w:pPr>
        <w:adjustRightInd w:val="0"/>
        <w:spacing w:line="500" w:lineRule="exact"/>
        <w:ind w:firstLine="480" w:firstLineChars="200"/>
        <w:contextualSpacing/>
        <w:rPr>
          <w:rFonts w:ascii="宋体" w:hAnsi="宋体" w:cs="仿宋"/>
          <w:sz w:val="24"/>
        </w:rPr>
      </w:pPr>
      <w:r>
        <w:rPr>
          <w:rFonts w:hint="eastAsia" w:ascii="宋体" w:hAnsi="宋体" w:cs="仿宋"/>
          <w:sz w:val="24"/>
        </w:rPr>
        <w:t>7. 工期和进度</w:t>
      </w:r>
    </w:p>
    <w:p w14:paraId="50ACC2B5">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7.1 施工组织设计</w:t>
      </w:r>
    </w:p>
    <w:p w14:paraId="7A206A36">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7.1.1 合同当事人约定的施工组织设计应包括的其他内容：</w:t>
      </w:r>
      <w:r>
        <w:rPr>
          <w:rFonts w:hint="eastAsia" w:ascii="宋体" w:hAnsi="宋体" w:cs="仿宋"/>
          <w:sz w:val="24"/>
          <w:u w:val="single"/>
        </w:rPr>
        <w:t xml:space="preserve"> /  </w:t>
      </w:r>
      <w:r>
        <w:rPr>
          <w:rFonts w:hint="eastAsia" w:ascii="宋体" w:hAnsi="宋体" w:cs="仿宋"/>
          <w:sz w:val="24"/>
        </w:rPr>
        <w:t>。</w:t>
      </w:r>
    </w:p>
    <w:p w14:paraId="4B3DFE42">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7.1.2 施工组织设计的提交和修改</w:t>
      </w:r>
    </w:p>
    <w:p w14:paraId="00BE37E8">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承包人提交详细施工组织设计的期限的约定：</w:t>
      </w:r>
      <w:r>
        <w:rPr>
          <w:rFonts w:hint="eastAsia" w:ascii="宋体" w:hAnsi="宋体" w:cs="仿宋"/>
          <w:sz w:val="24"/>
          <w:u w:val="single"/>
        </w:rPr>
        <w:t>合同签订后7天内提供详细施工组织设计（施工方案）和进度计划</w:t>
      </w:r>
      <w:r>
        <w:rPr>
          <w:rFonts w:hint="eastAsia" w:ascii="宋体" w:hAnsi="宋体" w:cs="仿宋"/>
          <w:sz w:val="24"/>
        </w:rPr>
        <w:t>。</w:t>
      </w:r>
    </w:p>
    <w:p w14:paraId="6B5BE0B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发包人和监理人在收到详细的施工组织设计后确认或提出修改意见的期限：</w:t>
      </w:r>
      <w:r>
        <w:rPr>
          <w:rFonts w:hint="eastAsia" w:ascii="宋体" w:hAnsi="宋体" w:cs="仿宋"/>
          <w:sz w:val="24"/>
          <w:u w:val="single"/>
        </w:rPr>
        <w:t>收到详细的施工组织设计后7日内</w:t>
      </w:r>
      <w:r>
        <w:rPr>
          <w:rFonts w:hint="eastAsia" w:ascii="宋体" w:hAnsi="宋体" w:cs="仿宋"/>
          <w:sz w:val="24"/>
        </w:rPr>
        <w:t>。</w:t>
      </w:r>
    </w:p>
    <w:p w14:paraId="3B8D72DA">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7.2 施工进度计划</w:t>
      </w:r>
    </w:p>
    <w:p w14:paraId="5122C49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7.2.1 施工进度计划的修订</w:t>
      </w:r>
    </w:p>
    <w:p w14:paraId="65A32F2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发包人和监理人在收到修订的施工进度计划后确认或提出修改意见的期限：</w:t>
      </w:r>
      <w:r>
        <w:rPr>
          <w:rFonts w:hint="eastAsia" w:ascii="宋体" w:hAnsi="宋体" w:cs="仿宋"/>
          <w:sz w:val="24"/>
          <w:u w:val="single"/>
        </w:rPr>
        <w:t>收到修订的施工进度计划后7日内</w:t>
      </w:r>
      <w:r>
        <w:rPr>
          <w:rFonts w:hint="eastAsia" w:ascii="宋体" w:hAnsi="宋体" w:cs="仿宋"/>
          <w:sz w:val="24"/>
        </w:rPr>
        <w:t>。</w:t>
      </w:r>
    </w:p>
    <w:p w14:paraId="18C6D371">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7.3 开工</w:t>
      </w:r>
    </w:p>
    <w:p w14:paraId="6C96F1C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7.3.1 开工准备</w:t>
      </w:r>
    </w:p>
    <w:p w14:paraId="3D4E492F">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关于承包人提交工程开工报审表的期限：</w:t>
      </w:r>
      <w:r>
        <w:rPr>
          <w:rFonts w:hint="eastAsia" w:ascii="宋体" w:hAnsi="宋体" w:cs="仿宋"/>
          <w:sz w:val="24"/>
          <w:u w:val="single"/>
        </w:rPr>
        <w:t>按照第7.1款〔施工组织设计〕约定的期限</w:t>
      </w:r>
      <w:r>
        <w:rPr>
          <w:rFonts w:hint="eastAsia" w:ascii="宋体" w:hAnsi="宋体" w:cs="仿宋"/>
          <w:sz w:val="24"/>
        </w:rPr>
        <w:t>。</w:t>
      </w:r>
    </w:p>
    <w:p w14:paraId="268A7C1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关于发包人应完成的其他开工准备工作及期限：</w:t>
      </w:r>
      <w:r>
        <w:rPr>
          <w:rFonts w:hint="eastAsia" w:ascii="宋体" w:hAnsi="宋体" w:cs="仿宋"/>
          <w:sz w:val="24"/>
          <w:u w:val="single"/>
        </w:rPr>
        <w:t>按照第7.1款〔施工组织设计〕约定的期限</w:t>
      </w:r>
      <w:r>
        <w:rPr>
          <w:rFonts w:hint="eastAsia" w:ascii="宋体" w:hAnsi="宋体" w:cs="仿宋"/>
          <w:sz w:val="24"/>
        </w:rPr>
        <w:t>。</w:t>
      </w:r>
    </w:p>
    <w:p w14:paraId="73DE87D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关于承包人应完成的其他开工准备工作及期限：</w:t>
      </w:r>
      <w:r>
        <w:rPr>
          <w:rFonts w:hint="eastAsia" w:ascii="宋体" w:hAnsi="宋体" w:cs="仿宋"/>
          <w:sz w:val="24"/>
          <w:u w:val="single"/>
        </w:rPr>
        <w:t>按照第7.1款〔施工组织设计〕约定的期限</w:t>
      </w:r>
      <w:r>
        <w:rPr>
          <w:rFonts w:hint="eastAsia" w:ascii="宋体" w:hAnsi="宋体" w:cs="仿宋"/>
          <w:sz w:val="24"/>
        </w:rPr>
        <w:t>。</w:t>
      </w:r>
    </w:p>
    <w:p w14:paraId="62B4986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7.3.2开工通知</w:t>
      </w:r>
    </w:p>
    <w:p w14:paraId="08E275D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因发包人原因造成监理人未能在计划开工日期之日起</w:t>
      </w:r>
      <w:r>
        <w:rPr>
          <w:rFonts w:hint="eastAsia" w:ascii="宋体" w:hAnsi="宋体" w:cs="仿宋"/>
          <w:sz w:val="24"/>
          <w:u w:val="single"/>
        </w:rPr>
        <w:t xml:space="preserve"> / </w:t>
      </w:r>
      <w:r>
        <w:rPr>
          <w:rFonts w:hint="eastAsia" w:ascii="宋体" w:hAnsi="宋体" w:cs="仿宋"/>
          <w:sz w:val="24"/>
        </w:rPr>
        <w:t>天内发出开工通知的，承包人有权提出价格调整要求，或者解除合同。</w:t>
      </w:r>
    </w:p>
    <w:p w14:paraId="07D06AF0">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7.4 测量放线</w:t>
      </w:r>
    </w:p>
    <w:p w14:paraId="5A0A60A1">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7.4.1发包人通过监理人向承包人提供测量基准点、基准线和水准点及其书面资料的期限：</w:t>
      </w:r>
      <w:r>
        <w:rPr>
          <w:rFonts w:hint="eastAsia" w:ascii="宋体" w:hAnsi="宋体" w:cs="仿宋"/>
          <w:sz w:val="24"/>
          <w:u w:val="single"/>
        </w:rPr>
        <w:t xml:space="preserve">                 /                </w:t>
      </w:r>
      <w:r>
        <w:rPr>
          <w:rFonts w:hint="eastAsia" w:ascii="宋体" w:hAnsi="宋体" w:cs="仿宋"/>
          <w:sz w:val="24"/>
        </w:rPr>
        <w:t>。</w:t>
      </w:r>
    </w:p>
    <w:p w14:paraId="491092E3">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7.5 工期延误</w:t>
      </w:r>
    </w:p>
    <w:p w14:paraId="15BB662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7.5.1 因发包人原因导致工期延误</w:t>
      </w:r>
    </w:p>
    <w:p w14:paraId="2D125AD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因发包人原因导致工期延误的其他情形：</w:t>
      </w:r>
      <w:r>
        <w:rPr>
          <w:rFonts w:hint="eastAsia" w:ascii="宋体" w:hAnsi="宋体" w:cs="仿宋"/>
          <w:sz w:val="24"/>
          <w:u w:val="single"/>
        </w:rPr>
        <w:t>重大设计变更引起的工期延误</w:t>
      </w:r>
      <w:r>
        <w:rPr>
          <w:rFonts w:hint="eastAsia" w:ascii="宋体" w:hAnsi="宋体" w:cs="仿宋"/>
          <w:sz w:val="24"/>
        </w:rPr>
        <w:t>。</w:t>
      </w:r>
    </w:p>
    <w:p w14:paraId="55A8D09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7.5.2 因承包人原因导致工期延误</w:t>
      </w:r>
    </w:p>
    <w:p w14:paraId="1ED4BAA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因承包人原因造成工期延误，逾期竣工违约金的计算方法为：</w:t>
      </w:r>
      <w:r>
        <w:rPr>
          <w:rFonts w:hint="eastAsia" w:ascii="宋体" w:hAnsi="宋体" w:cs="仿宋"/>
          <w:sz w:val="24"/>
          <w:u w:val="single"/>
        </w:rPr>
        <w:t>每延误一天，扣罚1万元/天，扣除方式为在结算款中直接扣除</w:t>
      </w:r>
      <w:r>
        <w:rPr>
          <w:rFonts w:hint="eastAsia" w:ascii="宋体" w:hAnsi="宋体" w:cs="仿宋"/>
          <w:sz w:val="24"/>
        </w:rPr>
        <w:t>。</w:t>
      </w:r>
    </w:p>
    <w:p w14:paraId="52AD1CB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因承包人原因造成工期延误，逾期竣工违约金的上限：</w:t>
      </w:r>
      <w:r>
        <w:rPr>
          <w:rFonts w:hint="eastAsia" w:ascii="宋体" w:hAnsi="宋体" w:cs="仿宋"/>
          <w:sz w:val="24"/>
          <w:u w:val="single"/>
        </w:rPr>
        <w:t>最多不超过工期履约保证金，发包人按施工进度计划检查，确定承包人不能按期完成，也无能力采取措施完成的，发包人有权将该工程指定其他单位施工，其发生费用由承包人承担</w:t>
      </w:r>
      <w:r>
        <w:rPr>
          <w:rFonts w:hint="eastAsia" w:ascii="宋体" w:hAnsi="宋体" w:cs="仿宋"/>
          <w:sz w:val="24"/>
        </w:rPr>
        <w:t>。</w:t>
      </w:r>
    </w:p>
    <w:p w14:paraId="47F8541F">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7.6 不利物质条件</w:t>
      </w:r>
    </w:p>
    <w:p w14:paraId="6B9695D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不利物质条件的其他情形和有关约定：</w:t>
      </w:r>
      <w:r>
        <w:rPr>
          <w:rFonts w:hint="eastAsia" w:ascii="宋体" w:hAnsi="宋体" w:cs="仿宋"/>
          <w:sz w:val="24"/>
          <w:u w:val="single"/>
        </w:rPr>
        <w:t xml:space="preserve">  /  </w:t>
      </w:r>
      <w:r>
        <w:rPr>
          <w:rFonts w:hint="eastAsia" w:ascii="宋体" w:hAnsi="宋体" w:cs="仿宋"/>
          <w:sz w:val="24"/>
        </w:rPr>
        <w:t>。</w:t>
      </w:r>
    </w:p>
    <w:p w14:paraId="39058CB8">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7.7异常恶劣的气候条件</w:t>
      </w:r>
    </w:p>
    <w:p w14:paraId="346A358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发包人和承包人同意以下情形视为异常恶劣的气候条件：</w:t>
      </w:r>
    </w:p>
    <w:p w14:paraId="7C2ADA8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w:t>
      </w:r>
      <w:r>
        <w:rPr>
          <w:rFonts w:ascii="宋体" w:hAnsi="宋体" w:cs="仿宋"/>
          <w:sz w:val="24"/>
        </w:rPr>
        <w:t>1</w:t>
      </w:r>
      <w:r>
        <w:rPr>
          <w:rFonts w:hint="eastAsia" w:ascii="宋体" w:hAnsi="宋体" w:cs="仿宋"/>
          <w:sz w:val="24"/>
        </w:rPr>
        <w:t>）</w:t>
      </w:r>
      <w:r>
        <w:rPr>
          <w:rFonts w:hint="eastAsia" w:ascii="宋体" w:hAnsi="宋体" w:cs="仿宋"/>
          <w:sz w:val="24"/>
          <w:u w:val="single"/>
        </w:rPr>
        <w:t>启动台风橙色及以上预警的天气</w:t>
      </w:r>
      <w:r>
        <w:rPr>
          <w:rFonts w:hint="eastAsia" w:ascii="宋体" w:hAnsi="宋体" w:cs="仿宋"/>
          <w:sz w:val="24"/>
        </w:rPr>
        <w:t>。</w:t>
      </w:r>
    </w:p>
    <w:p w14:paraId="4805ED44">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w:t>
      </w:r>
      <w:r>
        <w:rPr>
          <w:rFonts w:ascii="宋体" w:hAnsi="宋体" w:cs="仿宋"/>
          <w:sz w:val="24"/>
        </w:rPr>
        <w:t>2</w:t>
      </w:r>
      <w:r>
        <w:rPr>
          <w:rFonts w:hint="eastAsia" w:ascii="宋体" w:hAnsi="宋体" w:cs="仿宋"/>
          <w:sz w:val="24"/>
        </w:rPr>
        <w:t>）</w:t>
      </w:r>
      <w:r>
        <w:rPr>
          <w:rFonts w:hint="eastAsia" w:ascii="宋体" w:hAnsi="宋体" w:cs="仿宋"/>
          <w:sz w:val="24"/>
          <w:u w:val="single"/>
        </w:rPr>
        <w:t>启动防汛预案一级响应的天气。</w:t>
      </w:r>
    </w:p>
    <w:p w14:paraId="7EA2793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w:t>
      </w:r>
      <w:r>
        <w:rPr>
          <w:rFonts w:ascii="宋体" w:hAnsi="宋体" w:cs="仿宋"/>
          <w:sz w:val="24"/>
        </w:rPr>
        <w:t>3</w:t>
      </w:r>
      <w:r>
        <w:rPr>
          <w:rFonts w:hint="eastAsia" w:ascii="宋体" w:hAnsi="宋体" w:cs="仿宋"/>
          <w:sz w:val="24"/>
        </w:rPr>
        <w:t>）</w:t>
      </w:r>
      <w:r>
        <w:rPr>
          <w:rFonts w:hint="eastAsia" w:ascii="宋体" w:hAnsi="宋体" w:cs="仿宋"/>
          <w:sz w:val="24"/>
          <w:u w:val="single"/>
        </w:rPr>
        <w:t>启动防冻预案一级响应的天气</w:t>
      </w:r>
      <w:r>
        <w:rPr>
          <w:rFonts w:hint="eastAsia" w:ascii="宋体" w:hAnsi="宋体" w:cs="仿宋"/>
          <w:sz w:val="24"/>
        </w:rPr>
        <w:t>。</w:t>
      </w:r>
    </w:p>
    <w:p w14:paraId="4D1ADD3E">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7.8 提前竣工的奖励</w:t>
      </w:r>
    </w:p>
    <w:p w14:paraId="7A265FA3">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提前竣工的奖励：</w:t>
      </w:r>
      <w:r>
        <w:rPr>
          <w:rFonts w:hint="eastAsia" w:ascii="宋体" w:hAnsi="宋体" w:cs="仿宋"/>
          <w:sz w:val="24"/>
          <w:u w:val="single"/>
        </w:rPr>
        <w:t xml:space="preserve">   /   </w:t>
      </w:r>
      <w:r>
        <w:rPr>
          <w:rFonts w:hint="eastAsia" w:ascii="宋体" w:hAnsi="宋体" w:cs="仿宋"/>
          <w:sz w:val="24"/>
        </w:rPr>
        <w:t>。</w:t>
      </w:r>
    </w:p>
    <w:p w14:paraId="224E001C">
      <w:pPr>
        <w:adjustRightInd w:val="0"/>
        <w:spacing w:line="500" w:lineRule="exact"/>
        <w:ind w:firstLine="480" w:firstLineChars="200"/>
        <w:contextualSpacing/>
        <w:rPr>
          <w:rFonts w:ascii="宋体" w:hAnsi="宋体" w:cs="仿宋"/>
          <w:sz w:val="24"/>
        </w:rPr>
      </w:pPr>
      <w:r>
        <w:rPr>
          <w:rFonts w:hint="eastAsia" w:ascii="宋体" w:hAnsi="宋体" w:cs="仿宋"/>
          <w:sz w:val="24"/>
        </w:rPr>
        <w:t>8. 材料与设备</w:t>
      </w:r>
    </w:p>
    <w:p w14:paraId="14BD39BD">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8.1材料与工程设备的保管与使用</w:t>
      </w:r>
    </w:p>
    <w:p w14:paraId="08F2607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发包人供应的材料设备的保管费用的承担：</w:t>
      </w:r>
      <w:r>
        <w:rPr>
          <w:rFonts w:hint="eastAsia" w:ascii="宋体" w:hAnsi="宋体" w:cs="仿宋"/>
          <w:sz w:val="24"/>
          <w:u w:val="single"/>
        </w:rPr>
        <w:fldChar w:fldCharType="begin"/>
      </w:r>
      <w:r>
        <w:rPr>
          <w:rFonts w:hint="eastAsia" w:ascii="宋体" w:hAnsi="宋体" w:cs="仿宋"/>
          <w:sz w:val="24"/>
          <w:u w:val="single"/>
        </w:rPr>
        <w:instrText xml:space="preserve"> = 1 \* GB3 </w:instrText>
      </w:r>
      <w:r>
        <w:rPr>
          <w:rFonts w:hint="eastAsia" w:ascii="宋体" w:hAnsi="宋体" w:cs="仿宋"/>
          <w:sz w:val="24"/>
          <w:u w:val="single"/>
        </w:rPr>
        <w:fldChar w:fldCharType="separate"/>
      </w:r>
      <w:r>
        <w:rPr>
          <w:rFonts w:hint="eastAsia" w:ascii="宋体" w:hAnsi="宋体" w:cs="仿宋"/>
          <w:sz w:val="24"/>
          <w:u w:val="single"/>
        </w:rPr>
        <w:t>①</w:t>
      </w:r>
      <w:r>
        <w:rPr>
          <w:rFonts w:hint="eastAsia" w:ascii="宋体" w:hAnsi="宋体" w:cs="仿宋"/>
          <w:sz w:val="24"/>
          <w:u w:val="single"/>
        </w:rPr>
        <w:fldChar w:fldCharType="end"/>
      </w:r>
      <w:r>
        <w:rPr>
          <w:rFonts w:hint="eastAsia" w:ascii="宋体" w:hAnsi="宋体" w:cs="仿宋"/>
          <w:sz w:val="24"/>
          <w:u w:val="single"/>
        </w:rPr>
        <w:t>招标时已明确由发包人供应的材料设备保管费用、安装过程中的二次搬运和设备就位费、检验试验费由承包人投标时报价包干；</w:t>
      </w:r>
      <w:r>
        <w:rPr>
          <w:rFonts w:hint="eastAsia" w:ascii="宋体" w:hAnsi="宋体" w:cs="仿宋"/>
          <w:sz w:val="24"/>
          <w:u w:val="single"/>
        </w:rPr>
        <w:fldChar w:fldCharType="begin"/>
      </w:r>
      <w:r>
        <w:rPr>
          <w:rFonts w:hint="eastAsia" w:ascii="宋体" w:hAnsi="宋体" w:cs="仿宋"/>
          <w:sz w:val="24"/>
          <w:u w:val="single"/>
        </w:rPr>
        <w:instrText xml:space="preserve"> = 2 \* GB3 </w:instrText>
      </w:r>
      <w:r>
        <w:rPr>
          <w:rFonts w:hint="eastAsia" w:ascii="宋体" w:hAnsi="宋体" w:cs="仿宋"/>
          <w:sz w:val="24"/>
          <w:u w:val="single"/>
        </w:rPr>
        <w:fldChar w:fldCharType="separate"/>
      </w:r>
      <w:r>
        <w:rPr>
          <w:rFonts w:hint="eastAsia" w:ascii="宋体" w:hAnsi="宋体" w:cs="仿宋"/>
          <w:sz w:val="24"/>
          <w:u w:val="single"/>
        </w:rPr>
        <w:t>②</w:t>
      </w:r>
      <w:r>
        <w:rPr>
          <w:rFonts w:hint="eastAsia" w:ascii="宋体" w:hAnsi="宋体" w:cs="仿宋"/>
          <w:sz w:val="24"/>
          <w:u w:val="single"/>
        </w:rPr>
        <w:fldChar w:fldCharType="end"/>
      </w:r>
      <w:r>
        <w:rPr>
          <w:rFonts w:hint="eastAsia" w:ascii="宋体" w:hAnsi="宋体" w:cs="仿宋"/>
          <w:sz w:val="24"/>
          <w:u w:val="single"/>
        </w:rPr>
        <w:t>在本工程实施过程中新增的由发包人供应，并由承包人保管（施工）的材料设备，由双方协商确定费用承担方式；</w:t>
      </w:r>
      <w:r>
        <w:rPr>
          <w:rFonts w:hint="eastAsia" w:ascii="宋体" w:hAnsi="宋体" w:cs="仿宋"/>
          <w:sz w:val="24"/>
          <w:u w:val="single"/>
        </w:rPr>
        <w:fldChar w:fldCharType="begin"/>
      </w:r>
      <w:r>
        <w:rPr>
          <w:rFonts w:hint="eastAsia" w:ascii="宋体" w:hAnsi="宋体" w:cs="仿宋"/>
          <w:sz w:val="24"/>
          <w:u w:val="single"/>
        </w:rPr>
        <w:instrText xml:space="preserve"> = 3 \* GB3 </w:instrText>
      </w:r>
      <w:r>
        <w:rPr>
          <w:rFonts w:hint="eastAsia" w:ascii="宋体" w:hAnsi="宋体" w:cs="仿宋"/>
          <w:sz w:val="24"/>
          <w:u w:val="single"/>
        </w:rPr>
        <w:fldChar w:fldCharType="separate"/>
      </w:r>
      <w:r>
        <w:rPr>
          <w:rFonts w:hint="eastAsia" w:ascii="宋体" w:hAnsi="宋体" w:cs="仿宋"/>
          <w:sz w:val="24"/>
          <w:u w:val="single"/>
        </w:rPr>
        <w:t>③</w:t>
      </w:r>
      <w:r>
        <w:rPr>
          <w:rFonts w:hint="eastAsia" w:ascii="宋体" w:hAnsi="宋体" w:cs="仿宋"/>
          <w:sz w:val="24"/>
          <w:u w:val="single"/>
        </w:rPr>
        <w:fldChar w:fldCharType="end"/>
      </w:r>
      <w:r>
        <w:rPr>
          <w:rFonts w:hint="eastAsia" w:ascii="宋体" w:hAnsi="宋体" w:cs="仿宋"/>
          <w:sz w:val="24"/>
          <w:u w:val="single"/>
        </w:rPr>
        <w:t>因承包人原因发生材料设备丢失损坏的，由承包人负责赔偿</w:t>
      </w:r>
      <w:r>
        <w:rPr>
          <w:rFonts w:ascii="宋体" w:hAnsi="宋体" w:cs="仿宋"/>
          <w:sz w:val="24"/>
          <w:u w:val="single"/>
        </w:rPr>
        <w:t>。</w:t>
      </w:r>
    </w:p>
    <w:p w14:paraId="03AC1DC3">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8.2 样品</w:t>
      </w:r>
    </w:p>
    <w:p w14:paraId="2E4C817D">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8.2.1样品的报送与封存</w:t>
      </w:r>
    </w:p>
    <w:p w14:paraId="6C883DAB">
      <w:pPr>
        <w:autoSpaceDE w:val="0"/>
        <w:autoSpaceDN w:val="0"/>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需要承包人报送工程使用的材料或工程设备，材料的种类、名称、规格、数量要求：</w:t>
      </w:r>
      <w:r>
        <w:rPr>
          <w:rFonts w:hint="eastAsia" w:ascii="宋体" w:hAnsi="宋体" w:cs="仿宋"/>
          <w:sz w:val="24"/>
          <w:u w:val="single"/>
        </w:rPr>
        <w:fldChar w:fldCharType="begin"/>
      </w:r>
      <w:r>
        <w:rPr>
          <w:rFonts w:hint="eastAsia" w:ascii="宋体" w:hAnsi="宋体" w:cs="仿宋"/>
          <w:sz w:val="24"/>
          <w:u w:val="single"/>
        </w:rPr>
        <w:instrText xml:space="preserve"> = 1 \* GB3 </w:instrText>
      </w:r>
      <w:r>
        <w:rPr>
          <w:rFonts w:hint="eastAsia" w:ascii="宋体" w:hAnsi="宋体" w:cs="仿宋"/>
          <w:sz w:val="24"/>
          <w:u w:val="single"/>
        </w:rPr>
        <w:fldChar w:fldCharType="separate"/>
      </w:r>
      <w:r>
        <w:rPr>
          <w:rFonts w:hint="eastAsia" w:ascii="宋体" w:hAnsi="宋体" w:cs="仿宋"/>
          <w:sz w:val="24"/>
          <w:u w:val="single"/>
        </w:rPr>
        <w:t>①</w:t>
      </w:r>
      <w:r>
        <w:rPr>
          <w:rFonts w:hint="eastAsia" w:ascii="宋体" w:hAnsi="宋体" w:cs="仿宋"/>
          <w:sz w:val="24"/>
          <w:u w:val="single"/>
        </w:rPr>
        <w:fldChar w:fldCharType="end"/>
      </w:r>
      <w:r>
        <w:rPr>
          <w:rFonts w:hint="eastAsia" w:ascii="宋体" w:hAnsi="宋体" w:cs="仿宋"/>
          <w:sz w:val="24"/>
          <w:u w:val="single"/>
        </w:rPr>
        <w:t>承包人应在工程开工后20天内提供所有材料设施设备的品牌、型号、规格要求。</w:t>
      </w:r>
      <w:r>
        <w:rPr>
          <w:rFonts w:hint="eastAsia" w:ascii="宋体" w:hAnsi="宋体" w:cs="仿宋"/>
          <w:sz w:val="24"/>
          <w:u w:val="single"/>
        </w:rPr>
        <w:fldChar w:fldCharType="begin"/>
      </w:r>
      <w:r>
        <w:rPr>
          <w:rFonts w:hint="eastAsia" w:ascii="宋体" w:hAnsi="宋体" w:cs="仿宋"/>
          <w:sz w:val="24"/>
          <w:u w:val="single"/>
        </w:rPr>
        <w:instrText xml:space="preserve"> = 2 \* GB3 </w:instrText>
      </w:r>
      <w:r>
        <w:rPr>
          <w:rFonts w:hint="eastAsia" w:ascii="宋体" w:hAnsi="宋体" w:cs="仿宋"/>
          <w:sz w:val="24"/>
          <w:u w:val="single"/>
        </w:rPr>
        <w:fldChar w:fldCharType="separate"/>
      </w:r>
      <w:r>
        <w:rPr>
          <w:rFonts w:hint="eastAsia" w:ascii="宋体" w:hAnsi="宋体" w:cs="仿宋"/>
          <w:sz w:val="24"/>
          <w:u w:val="single"/>
        </w:rPr>
        <w:t>②</w:t>
      </w:r>
      <w:r>
        <w:rPr>
          <w:rFonts w:hint="eastAsia" w:ascii="宋体" w:hAnsi="宋体" w:cs="仿宋"/>
          <w:sz w:val="24"/>
          <w:u w:val="single"/>
        </w:rPr>
        <w:fldChar w:fldCharType="end"/>
      </w:r>
      <w:r>
        <w:rPr>
          <w:rFonts w:hint="eastAsia" w:ascii="宋体" w:hAnsi="宋体" w:cs="仿宋"/>
          <w:sz w:val="24"/>
          <w:u w:val="single"/>
        </w:rPr>
        <w:t>承包人需按相关规范及发包人、监理人及设计有关要求，依据设施设备的品牌、型号、规格及其出厂合格证明（或原厂证明）作为工程验收材料的标准。</w:t>
      </w:r>
      <w:r>
        <w:rPr>
          <w:rFonts w:hint="eastAsia" w:ascii="宋体" w:hAnsi="宋体" w:cs="仿宋"/>
          <w:sz w:val="24"/>
          <w:u w:val="single"/>
        </w:rPr>
        <w:fldChar w:fldCharType="begin"/>
      </w:r>
      <w:r>
        <w:rPr>
          <w:rFonts w:hint="eastAsia" w:ascii="宋体" w:hAnsi="宋体" w:cs="仿宋"/>
          <w:sz w:val="24"/>
          <w:u w:val="single"/>
        </w:rPr>
        <w:instrText xml:space="preserve"> = 3 \* GB3 </w:instrText>
      </w:r>
      <w:r>
        <w:rPr>
          <w:rFonts w:hint="eastAsia" w:ascii="宋体" w:hAnsi="宋体" w:cs="仿宋"/>
          <w:sz w:val="24"/>
          <w:u w:val="single"/>
        </w:rPr>
        <w:fldChar w:fldCharType="separate"/>
      </w:r>
      <w:r>
        <w:rPr>
          <w:rFonts w:hint="eastAsia" w:ascii="宋体" w:hAnsi="宋体" w:cs="仿宋"/>
          <w:sz w:val="24"/>
          <w:u w:val="single"/>
        </w:rPr>
        <w:t>③</w:t>
      </w:r>
      <w:r>
        <w:rPr>
          <w:rFonts w:hint="eastAsia" w:ascii="宋体" w:hAnsi="宋体" w:cs="仿宋"/>
          <w:sz w:val="24"/>
          <w:u w:val="single"/>
        </w:rPr>
        <w:fldChar w:fldCharType="end"/>
      </w:r>
      <w:r>
        <w:rPr>
          <w:rFonts w:hint="eastAsia" w:ascii="宋体" w:hAnsi="宋体" w:cs="仿宋"/>
          <w:sz w:val="24"/>
          <w:u w:val="single"/>
        </w:rPr>
        <w:t>承包人所递交设备材料不满足发包人要求的，需无条件组织设计人、发包人及监理进行市场选样，选样期间各方发生的差旅费等均由承包人承担，直至符合发包人要求为止，材料费用不予调整，工期不予顺延。</w:t>
      </w:r>
    </w:p>
    <w:p w14:paraId="07F03453">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8.3 施工设备和临时设施</w:t>
      </w:r>
    </w:p>
    <w:p w14:paraId="0DBFA886">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8.3.1 承包人提供的施工设备和临时设施</w:t>
      </w:r>
    </w:p>
    <w:p w14:paraId="31A6385D">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关于修建临时设施费用承担的约定：</w:t>
      </w:r>
      <w:r>
        <w:rPr>
          <w:rFonts w:hint="eastAsia" w:ascii="宋体" w:hAnsi="宋体" w:cs="仿宋"/>
          <w:sz w:val="24"/>
          <w:u w:val="single"/>
        </w:rPr>
        <w:t>由承包人自行承担相应费用</w:t>
      </w:r>
      <w:r>
        <w:rPr>
          <w:rFonts w:hint="eastAsia" w:ascii="宋体" w:hAnsi="宋体" w:cs="仿宋"/>
          <w:sz w:val="24"/>
        </w:rPr>
        <w:t>。</w:t>
      </w:r>
    </w:p>
    <w:p w14:paraId="4B0CCF3A">
      <w:pPr>
        <w:adjustRightInd w:val="0"/>
        <w:spacing w:line="500" w:lineRule="exact"/>
        <w:ind w:firstLine="480" w:firstLineChars="200"/>
        <w:contextualSpacing/>
        <w:rPr>
          <w:rFonts w:ascii="宋体" w:hAnsi="宋体" w:cs="仿宋"/>
          <w:sz w:val="24"/>
        </w:rPr>
      </w:pPr>
      <w:r>
        <w:rPr>
          <w:rFonts w:hint="eastAsia" w:ascii="宋体" w:hAnsi="宋体" w:cs="仿宋"/>
          <w:sz w:val="24"/>
        </w:rPr>
        <w:t>9. 试验与检验</w:t>
      </w:r>
    </w:p>
    <w:p w14:paraId="7667BFC4">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9.1试验设备</w:t>
      </w:r>
    </w:p>
    <w:p w14:paraId="6236633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施工现场需要配置的试验场所：</w:t>
      </w:r>
      <w:r>
        <w:rPr>
          <w:rFonts w:hint="eastAsia" w:ascii="宋体" w:hAnsi="宋体" w:cs="仿宋"/>
          <w:sz w:val="24"/>
          <w:u w:val="single"/>
        </w:rPr>
        <w:t>配置符合相关规范要求的试验场所，由承包人提供并承担费用</w:t>
      </w:r>
      <w:r>
        <w:rPr>
          <w:rFonts w:hint="eastAsia" w:ascii="宋体" w:hAnsi="宋体" w:cs="仿宋"/>
          <w:sz w:val="24"/>
        </w:rPr>
        <w:t>。</w:t>
      </w:r>
    </w:p>
    <w:p w14:paraId="09E8612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施工现场需要配备的试验设备：</w:t>
      </w:r>
      <w:r>
        <w:rPr>
          <w:rFonts w:hint="eastAsia" w:ascii="宋体" w:hAnsi="宋体" w:cs="仿宋"/>
          <w:sz w:val="24"/>
          <w:u w:val="single"/>
        </w:rPr>
        <w:t>配置符合相关规范要求的试验设备，由承包人提供并承担费用</w:t>
      </w:r>
      <w:r>
        <w:rPr>
          <w:rFonts w:hint="eastAsia" w:ascii="宋体" w:hAnsi="宋体" w:cs="仿宋"/>
          <w:sz w:val="24"/>
        </w:rPr>
        <w:t>。</w:t>
      </w:r>
    </w:p>
    <w:p w14:paraId="5C415108">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施工现场需要具备的其他试验条件：</w:t>
      </w:r>
      <w:r>
        <w:rPr>
          <w:rFonts w:hint="eastAsia" w:ascii="宋体" w:hAnsi="宋体" w:cs="仿宋"/>
          <w:sz w:val="24"/>
          <w:u w:val="single"/>
        </w:rPr>
        <w:t>综合布线FLUK测试费用、第三方防雷检测费用由承包人承担，测试要求按照相关规定执行并符合《国家室内空气质量标准》(GB/T18883-2002)等相关规定标准。</w:t>
      </w:r>
    </w:p>
    <w:p w14:paraId="7026BF4F">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9.2 现场工艺试验</w:t>
      </w:r>
    </w:p>
    <w:p w14:paraId="2315602D">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现场工艺试验的有关约定：</w:t>
      </w:r>
      <w:r>
        <w:rPr>
          <w:rFonts w:hint="eastAsia" w:ascii="宋体" w:hAnsi="宋体" w:cs="仿宋"/>
          <w:sz w:val="24"/>
          <w:u w:val="single"/>
        </w:rPr>
        <w:t xml:space="preserve">        /           </w:t>
      </w:r>
      <w:r>
        <w:rPr>
          <w:rFonts w:hint="eastAsia" w:ascii="宋体" w:hAnsi="宋体" w:cs="仿宋"/>
          <w:sz w:val="24"/>
        </w:rPr>
        <w:t>。</w:t>
      </w:r>
    </w:p>
    <w:p w14:paraId="49D75139">
      <w:pPr>
        <w:adjustRightInd w:val="0"/>
        <w:spacing w:line="500" w:lineRule="exact"/>
        <w:ind w:firstLine="480" w:firstLineChars="200"/>
        <w:contextualSpacing/>
        <w:rPr>
          <w:rFonts w:ascii="宋体" w:hAnsi="宋体" w:cs="仿宋"/>
          <w:sz w:val="24"/>
        </w:rPr>
      </w:pPr>
      <w:r>
        <w:rPr>
          <w:rFonts w:hint="eastAsia" w:ascii="宋体" w:hAnsi="宋体" w:cs="仿宋"/>
          <w:sz w:val="24"/>
        </w:rPr>
        <w:t>10. 变更</w:t>
      </w:r>
    </w:p>
    <w:p w14:paraId="4D58F74F">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10.1变更的范围</w:t>
      </w:r>
    </w:p>
    <w:p w14:paraId="1D85154A">
      <w:pPr>
        <w:adjustRightInd w:val="0"/>
        <w:spacing w:line="500" w:lineRule="exact"/>
        <w:ind w:firstLine="480" w:firstLineChars="200"/>
        <w:contextualSpacing/>
        <w:rPr>
          <w:rFonts w:ascii="宋体" w:hAnsi="宋体" w:cs="仿宋"/>
          <w:sz w:val="24"/>
        </w:rPr>
      </w:pPr>
      <w:r>
        <w:rPr>
          <w:rFonts w:hint="eastAsia" w:ascii="宋体" w:hAnsi="宋体" w:cs="仿宋"/>
          <w:sz w:val="24"/>
        </w:rPr>
        <w:t>关于变更的范围的约定：</w:t>
      </w:r>
      <w:r>
        <w:rPr>
          <w:rFonts w:hint="eastAsia" w:ascii="宋体" w:hAnsi="宋体" w:cs="仿宋"/>
          <w:sz w:val="24"/>
          <w:u w:val="single"/>
        </w:rPr>
        <w:t>具体以相关法规及发包人基建工程变更管理办法要求为准</w:t>
      </w:r>
      <w:r>
        <w:rPr>
          <w:rFonts w:hint="eastAsia" w:ascii="宋体" w:hAnsi="宋体" w:cs="仿宋"/>
          <w:sz w:val="24"/>
        </w:rPr>
        <w:t>。</w:t>
      </w:r>
    </w:p>
    <w:p w14:paraId="51A38F0C">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10.2 变更估价</w:t>
      </w:r>
    </w:p>
    <w:p w14:paraId="4509393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变更估价原则</w:t>
      </w:r>
    </w:p>
    <w:p w14:paraId="0D858704">
      <w:pPr>
        <w:autoSpaceDE w:val="0"/>
        <w:autoSpaceDN w:val="0"/>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 xml:space="preserve">关于变更估价的约定: </w:t>
      </w:r>
      <w:r>
        <w:rPr>
          <w:rFonts w:ascii="宋体" w:hAnsi="宋体" w:cs="仿宋"/>
          <w:sz w:val="24"/>
          <w:u w:val="single"/>
        </w:rPr>
        <w:t>工程变更或工程设计变更，承包人应在收到发包人、设计单位签证的变更联系单5个工作日内，计算出相应的变更工程量和价款，报发包人审核确认。经发包人确认同意的工程变更，造成新增或减少工程量清单项目，其对应的综合单价按下列方法确定：</w:t>
      </w:r>
      <w:r>
        <w:rPr>
          <w:rFonts w:hint="eastAsia" w:ascii="宋体" w:hAnsi="宋体" w:cs="仿宋"/>
          <w:sz w:val="24"/>
          <w:u w:val="single"/>
        </w:rPr>
        <w:t>见专用条款12.1。</w:t>
      </w:r>
    </w:p>
    <w:p w14:paraId="5C5935B3">
      <w:pPr>
        <w:adjustRightInd w:val="0"/>
        <w:spacing w:line="500" w:lineRule="exact"/>
        <w:ind w:firstLine="480" w:firstLineChars="200"/>
        <w:contextualSpacing/>
        <w:rPr>
          <w:rFonts w:ascii="宋体" w:hAnsi="宋体" w:cs="仿宋"/>
          <w:sz w:val="24"/>
        </w:rPr>
      </w:pPr>
      <w:r>
        <w:rPr>
          <w:rFonts w:hint="eastAsia" w:ascii="宋体" w:hAnsi="宋体" w:cs="仿宋"/>
          <w:bCs/>
          <w:sz w:val="24"/>
        </w:rPr>
        <w:t>10.3承包人的合理化建议</w:t>
      </w:r>
    </w:p>
    <w:p w14:paraId="69650C6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监理人审查承包人合理化建议的期限：</w:t>
      </w:r>
      <w:r>
        <w:rPr>
          <w:rFonts w:hint="eastAsia" w:ascii="宋体" w:hAnsi="宋体" w:cs="仿宋"/>
          <w:sz w:val="24"/>
          <w:u w:val="single"/>
        </w:rPr>
        <w:t xml:space="preserve">         /           </w:t>
      </w:r>
      <w:r>
        <w:rPr>
          <w:rFonts w:hint="eastAsia" w:ascii="宋体" w:hAnsi="宋体" w:cs="仿宋"/>
          <w:sz w:val="24"/>
        </w:rPr>
        <w:t>。</w:t>
      </w:r>
    </w:p>
    <w:p w14:paraId="1A48708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发包人审批承包人合理化建议的期限：</w:t>
      </w:r>
      <w:r>
        <w:rPr>
          <w:rFonts w:hint="eastAsia" w:ascii="宋体" w:hAnsi="宋体" w:cs="仿宋"/>
          <w:sz w:val="24"/>
          <w:u w:val="single"/>
        </w:rPr>
        <w:t xml:space="preserve">        /            </w:t>
      </w:r>
      <w:r>
        <w:rPr>
          <w:rFonts w:hint="eastAsia" w:ascii="宋体" w:hAnsi="宋体" w:cs="仿宋"/>
          <w:sz w:val="24"/>
        </w:rPr>
        <w:t>。</w:t>
      </w:r>
    </w:p>
    <w:p w14:paraId="5DC3B4B5">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承包人提出的合理化建议降低了合同价格或者提高了工程经济效益的奖励的方法和金额为：</w:t>
      </w:r>
      <w:r>
        <w:rPr>
          <w:rFonts w:hint="eastAsia" w:ascii="宋体" w:hAnsi="宋体" w:cs="仿宋"/>
          <w:sz w:val="24"/>
          <w:u w:val="single"/>
        </w:rPr>
        <w:t xml:space="preserve">                /                </w:t>
      </w:r>
      <w:r>
        <w:rPr>
          <w:rFonts w:hint="eastAsia" w:ascii="宋体" w:hAnsi="宋体" w:cs="仿宋"/>
          <w:sz w:val="24"/>
        </w:rPr>
        <w:t>。</w:t>
      </w:r>
    </w:p>
    <w:p w14:paraId="443479A2">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10.4 暂估价</w:t>
      </w:r>
    </w:p>
    <w:p w14:paraId="454DD1C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暂估价材料和工程设备的明细详见附件9：《暂估价一览表》。</w:t>
      </w:r>
    </w:p>
    <w:p w14:paraId="781590E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10.4.1 依法必须招标的暂估价项目</w:t>
      </w:r>
    </w:p>
    <w:p w14:paraId="67A09E7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09CC2DA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10.4.2 对于不属于依法必须招标的暂估价项目，按本项约定确认和批准：</w:t>
      </w:r>
    </w:p>
    <w:p w14:paraId="09B3661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E45E1B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（2）发包人认为承包人确定的供应商、分包人无法满足工程质量或合同要求的，发包人可以要求承包人重新确定暂估价项目的供应商、分包人。</w:t>
      </w:r>
    </w:p>
    <w:p w14:paraId="5813289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（3）承包人应当在签订暂估价合同后7天内，将暂估价合同副本报送发包人留存。</w:t>
      </w:r>
    </w:p>
    <w:p w14:paraId="24881A2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10.4.3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34B8B1E0">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10.5 暂列金额</w:t>
      </w:r>
    </w:p>
    <w:p w14:paraId="0503033D">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合同当事人关于暂列金额使用的约定：。</w:t>
      </w:r>
    </w:p>
    <w:p w14:paraId="0A76831F">
      <w:pPr>
        <w:adjustRightInd w:val="0"/>
        <w:spacing w:line="500" w:lineRule="exact"/>
        <w:ind w:firstLine="480" w:firstLineChars="200"/>
        <w:contextualSpacing/>
        <w:rPr>
          <w:rFonts w:ascii="宋体" w:hAnsi="宋体" w:cs="仿宋"/>
          <w:sz w:val="24"/>
        </w:rPr>
      </w:pPr>
      <w:r>
        <w:rPr>
          <w:rFonts w:hint="eastAsia" w:ascii="宋体" w:hAnsi="宋体" w:cs="仿宋"/>
          <w:sz w:val="24"/>
        </w:rPr>
        <w:t>11. 价格调整</w:t>
      </w:r>
    </w:p>
    <w:p w14:paraId="756B0810">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11.1 市场价格波动引起的调整</w:t>
      </w:r>
    </w:p>
    <w:p w14:paraId="0840E43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市场价格波动是否调整合同价格的约定：</w:t>
      </w:r>
      <w:r>
        <w:rPr>
          <w:rFonts w:hint="eastAsia" w:ascii="宋体" w:hAnsi="宋体" w:cs="仿宋"/>
          <w:sz w:val="24"/>
          <w:u w:val="single"/>
        </w:rPr>
        <w:t>不予调整。</w:t>
      </w:r>
    </w:p>
    <w:p w14:paraId="5AA0E99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因市场价格波动调整合同价格，采用以下第</w:t>
      </w:r>
      <w:r>
        <w:rPr>
          <w:rFonts w:hint="eastAsia" w:ascii="宋体" w:hAnsi="宋体" w:cs="仿宋"/>
          <w:sz w:val="24"/>
          <w:u w:val="single"/>
        </w:rPr>
        <w:t xml:space="preserve">  /  </w:t>
      </w:r>
      <w:r>
        <w:rPr>
          <w:rFonts w:hint="eastAsia" w:ascii="宋体" w:hAnsi="宋体" w:cs="仿宋"/>
          <w:sz w:val="24"/>
        </w:rPr>
        <w:t>种方式对合同价格进行调整：</w:t>
      </w:r>
    </w:p>
    <w:p w14:paraId="4250A10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第1种方式：采用价格指数进行价格调整。</w:t>
      </w:r>
    </w:p>
    <w:p w14:paraId="4EE147FE">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关于各可调因子、定值和变值权重，以及基本价格指数及其来源的约定：</w:t>
      </w:r>
      <w:r>
        <w:rPr>
          <w:rFonts w:hint="eastAsia" w:ascii="宋体" w:hAnsi="宋体" w:cs="仿宋"/>
          <w:sz w:val="24"/>
          <w:u w:val="single"/>
        </w:rPr>
        <w:t xml:space="preserve">                      /                        </w:t>
      </w:r>
      <w:r>
        <w:rPr>
          <w:rFonts w:hint="eastAsia" w:ascii="宋体" w:hAnsi="宋体" w:cs="仿宋"/>
          <w:sz w:val="24"/>
        </w:rPr>
        <w:t>。</w:t>
      </w:r>
    </w:p>
    <w:p w14:paraId="54E8572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第2种方式：采用造价信息进行价格调整。</w:t>
      </w:r>
    </w:p>
    <w:p w14:paraId="2D21B5C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（2）关于基准价格的约定：</w:t>
      </w:r>
      <w:r>
        <w:rPr>
          <w:rFonts w:hint="eastAsia" w:ascii="宋体" w:hAnsi="宋体" w:cs="仿宋"/>
          <w:sz w:val="24"/>
          <w:u w:val="single"/>
        </w:rPr>
        <w:t xml:space="preserve">           /              </w:t>
      </w:r>
      <w:r>
        <w:rPr>
          <w:rFonts w:hint="eastAsia" w:ascii="宋体" w:hAnsi="宋体" w:cs="仿宋"/>
          <w:sz w:val="24"/>
        </w:rPr>
        <w:t>。</w:t>
      </w:r>
    </w:p>
    <w:p w14:paraId="611454B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专用合同条款①承包人在已标价工程量清单或预算书中载明的材料单价低于基准价格的：专用合同条款合同履行期间材料单价涨幅以基准价格为基础超过</w:t>
      </w:r>
      <w:r>
        <w:rPr>
          <w:rFonts w:hint="eastAsia" w:ascii="宋体" w:hAnsi="宋体" w:cs="仿宋"/>
          <w:sz w:val="24"/>
          <w:u w:val="single"/>
        </w:rPr>
        <w:t xml:space="preserve">  /  </w:t>
      </w:r>
      <w:r>
        <w:rPr>
          <w:rFonts w:hint="eastAsia" w:ascii="宋体" w:hAnsi="宋体" w:cs="仿宋"/>
          <w:sz w:val="24"/>
        </w:rPr>
        <w:t>%时，或材料单价跌幅以已标价工程量清单或预算书中载明材料单价为基础超过</w:t>
      </w:r>
      <w:r>
        <w:rPr>
          <w:rFonts w:hint="eastAsia" w:ascii="宋体" w:hAnsi="宋体" w:cs="仿宋"/>
          <w:sz w:val="24"/>
          <w:u w:val="single"/>
        </w:rPr>
        <w:t xml:space="preserve">  /  </w:t>
      </w:r>
      <w:r>
        <w:rPr>
          <w:rFonts w:hint="eastAsia" w:ascii="宋体" w:hAnsi="宋体" w:cs="仿宋"/>
          <w:sz w:val="24"/>
        </w:rPr>
        <w:t>%时，其超过部分据实调整。</w:t>
      </w:r>
    </w:p>
    <w:p w14:paraId="744AC03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②承包人在已标价工程量清单或预算书中载明的材料单价高于基准价格的：专用合同条款合同履行期间材料单价跌幅以基准价格为基础超过</w:t>
      </w:r>
      <w:r>
        <w:rPr>
          <w:rFonts w:hint="eastAsia" w:ascii="宋体" w:hAnsi="宋体" w:cs="仿宋"/>
          <w:sz w:val="24"/>
          <w:u w:val="single"/>
        </w:rPr>
        <w:t xml:space="preserve">  /  </w:t>
      </w:r>
      <w:r>
        <w:rPr>
          <w:rFonts w:hint="eastAsia" w:ascii="宋体" w:hAnsi="宋体" w:cs="仿宋"/>
          <w:sz w:val="24"/>
        </w:rPr>
        <w:t>%时，材料单价涨幅以已标价工程量清单或预算书中载明材料单价为基础超过</w:t>
      </w:r>
      <w:r>
        <w:rPr>
          <w:rFonts w:hint="eastAsia" w:ascii="宋体" w:hAnsi="宋体" w:cs="仿宋"/>
          <w:sz w:val="24"/>
          <w:u w:val="single"/>
        </w:rPr>
        <w:t xml:space="preserve">  /  </w:t>
      </w:r>
      <w:r>
        <w:rPr>
          <w:rFonts w:hint="eastAsia" w:ascii="宋体" w:hAnsi="宋体" w:cs="仿宋"/>
          <w:sz w:val="24"/>
        </w:rPr>
        <w:t>%时，其超过部分据实调整。</w:t>
      </w:r>
    </w:p>
    <w:p w14:paraId="0F92F1F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③承包人在已标价工程量清单或预算书中载明的材料单价等于基准单价的：专用合同条款合同履行期间材料单价涨跌幅以基准单价为基础超过±</w:t>
      </w:r>
      <w:r>
        <w:rPr>
          <w:rFonts w:hint="eastAsia" w:ascii="宋体" w:hAnsi="宋体" w:cs="仿宋"/>
          <w:sz w:val="24"/>
          <w:u w:val="single"/>
        </w:rPr>
        <w:t xml:space="preserve">  /  </w:t>
      </w:r>
      <w:r>
        <w:rPr>
          <w:rFonts w:hint="eastAsia" w:ascii="宋体" w:hAnsi="宋体" w:cs="仿宋"/>
          <w:sz w:val="24"/>
        </w:rPr>
        <w:t>%时，其超过部分据实调整。</w:t>
      </w:r>
    </w:p>
    <w:p w14:paraId="3A730F3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第3种方式：其他价格调整方式：采用政策性文件进行价格调整。</w:t>
      </w:r>
    </w:p>
    <w:p w14:paraId="5C804CD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因市场价格波动引起的调整按以下</w:t>
      </w:r>
      <w:r>
        <w:rPr>
          <w:rFonts w:hint="eastAsia" w:ascii="宋体" w:hAnsi="宋体" w:cs="仿宋"/>
          <w:sz w:val="24"/>
          <w:u w:val="single"/>
        </w:rPr>
        <w:t>第  /  种方式</w:t>
      </w:r>
      <w:r>
        <w:rPr>
          <w:rFonts w:hint="eastAsia" w:ascii="宋体" w:hAnsi="宋体" w:cs="仿宋"/>
          <w:sz w:val="24"/>
        </w:rPr>
        <w:t>约定执行：</w:t>
      </w:r>
    </w:p>
    <w:p w14:paraId="56F507D0">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（一）           /                                    。</w:t>
      </w:r>
    </w:p>
    <w:p w14:paraId="493C65D3">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 xml:space="preserve">（二）其他：       /                                   </w:t>
      </w:r>
      <w:r>
        <w:rPr>
          <w:rFonts w:hint="eastAsia" w:ascii="宋体" w:hAnsi="宋体" w:cs="仿宋"/>
          <w:sz w:val="24"/>
        </w:rPr>
        <w:t>。</w:t>
      </w:r>
    </w:p>
    <w:p w14:paraId="4188651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其中：</w:t>
      </w:r>
    </w:p>
    <w:p w14:paraId="473036AF">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1.风险范围及幅度的约定：</w:t>
      </w:r>
      <w:r>
        <w:rPr>
          <w:rFonts w:hint="eastAsia" w:ascii="宋体" w:hAnsi="宋体" w:cs="仿宋"/>
          <w:sz w:val="24"/>
          <w:u w:val="single"/>
        </w:rPr>
        <w:t xml:space="preserve">    /       </w:t>
      </w:r>
    </w:p>
    <w:p w14:paraId="2D4CCF9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2.材料价款动态调整结算方式采用以下</w:t>
      </w:r>
      <w:r>
        <w:rPr>
          <w:rFonts w:hint="eastAsia" w:ascii="宋体" w:hAnsi="宋体" w:cs="仿宋"/>
          <w:sz w:val="24"/>
          <w:u w:val="single"/>
        </w:rPr>
        <w:t>第（3）种方式</w:t>
      </w:r>
      <w:r>
        <w:rPr>
          <w:rFonts w:hint="eastAsia" w:ascii="宋体" w:hAnsi="宋体" w:cs="仿宋"/>
          <w:sz w:val="24"/>
        </w:rPr>
        <w:t>约定：</w:t>
      </w:r>
    </w:p>
    <w:p w14:paraId="05A3FD52">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（1）按时间进度分段结算：    /   。</w:t>
      </w:r>
    </w:p>
    <w:p w14:paraId="7298A1FB">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（2）按工程形象部位(目标)分段结算：  /  。</w:t>
      </w:r>
    </w:p>
    <w:p w14:paraId="1367F19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u w:val="single"/>
        </w:rPr>
        <w:t>（3）竣工后一次性结算</w:t>
      </w:r>
      <w:r>
        <w:rPr>
          <w:rFonts w:hint="eastAsia" w:ascii="宋体" w:hAnsi="宋体" w:cs="仿宋"/>
          <w:sz w:val="24"/>
        </w:rPr>
        <w:t>。</w:t>
      </w:r>
    </w:p>
    <w:p w14:paraId="37817732">
      <w:pPr>
        <w:adjustRightInd w:val="0"/>
        <w:spacing w:line="500" w:lineRule="exact"/>
        <w:ind w:firstLine="480" w:firstLineChars="200"/>
        <w:contextualSpacing/>
        <w:rPr>
          <w:rFonts w:ascii="宋体" w:hAnsi="宋体" w:cs="仿宋"/>
          <w:sz w:val="24"/>
        </w:rPr>
      </w:pPr>
      <w:r>
        <w:rPr>
          <w:rFonts w:hint="eastAsia" w:ascii="宋体" w:hAnsi="宋体" w:cs="仿宋"/>
          <w:sz w:val="24"/>
        </w:rPr>
        <w:t>12. 合同价格、计量与支付</w:t>
      </w:r>
    </w:p>
    <w:p w14:paraId="20EFD881">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12.1 合同价格形式</w:t>
      </w:r>
    </w:p>
    <w:p w14:paraId="61CE70A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（1）单价合同。</w:t>
      </w:r>
    </w:p>
    <w:p w14:paraId="6F36A3EE">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综合单价包含的风险范围：</w:t>
      </w:r>
      <w:r>
        <w:rPr>
          <w:rFonts w:ascii="宋体" w:hAnsi="宋体" w:cs="仿宋"/>
          <w:sz w:val="24"/>
          <w:u w:val="single"/>
        </w:rPr>
        <w:t>a.</w:t>
      </w:r>
      <w:r>
        <w:rPr>
          <w:rFonts w:hint="eastAsia" w:ascii="宋体" w:hAnsi="宋体" w:cs="仿宋"/>
          <w:sz w:val="24"/>
          <w:u w:val="single"/>
        </w:rPr>
        <w:t>人工、材料、机械市场价格的波动；</w:t>
      </w:r>
      <w:r>
        <w:rPr>
          <w:rFonts w:ascii="宋体" w:hAnsi="宋体" w:cs="仿宋"/>
          <w:sz w:val="24"/>
          <w:u w:val="single"/>
        </w:rPr>
        <w:t>b.</w:t>
      </w:r>
      <w:r>
        <w:rPr>
          <w:rFonts w:hint="eastAsia" w:ascii="宋体" w:hAnsi="宋体" w:cs="仿宋"/>
          <w:sz w:val="24"/>
          <w:u w:val="single"/>
        </w:rPr>
        <w:t>定额、标准、规范调整及各项费率政策性调整；</w:t>
      </w:r>
      <w:r>
        <w:rPr>
          <w:rFonts w:ascii="宋体" w:hAnsi="宋体" w:cs="仿宋"/>
          <w:sz w:val="24"/>
          <w:u w:val="single"/>
        </w:rPr>
        <w:t>c.</w:t>
      </w:r>
      <w:r>
        <w:rPr>
          <w:rFonts w:hint="eastAsia" w:ascii="宋体" w:hAnsi="宋体" w:cs="仿宋"/>
          <w:sz w:val="24"/>
          <w:u w:val="single"/>
        </w:rPr>
        <w:t>本合同条款中不允许调整的内容和由承包人承担的费用；</w:t>
      </w:r>
      <w:r>
        <w:rPr>
          <w:rFonts w:ascii="宋体" w:hAnsi="宋体" w:cs="仿宋"/>
          <w:sz w:val="24"/>
          <w:u w:val="single"/>
        </w:rPr>
        <w:t>d.</w:t>
      </w:r>
      <w:r>
        <w:rPr>
          <w:rFonts w:hint="eastAsia" w:ascii="宋体" w:hAnsi="宋体" w:cs="仿宋"/>
          <w:sz w:val="24"/>
          <w:u w:val="single"/>
        </w:rPr>
        <w:t>影响综合单价组成因素的组成比例变化；</w:t>
      </w:r>
      <w:r>
        <w:rPr>
          <w:rFonts w:ascii="宋体" w:hAnsi="宋体" w:cs="仿宋"/>
          <w:sz w:val="24"/>
          <w:u w:val="single"/>
        </w:rPr>
        <w:t>e.</w:t>
      </w:r>
      <w:r>
        <w:rPr>
          <w:rFonts w:hint="eastAsia" w:ascii="宋体" w:hAnsi="宋体" w:cs="仿宋"/>
          <w:sz w:val="24"/>
          <w:u w:val="single"/>
        </w:rPr>
        <w:t>非承包人原因引起的一周内累计</w:t>
      </w:r>
      <w:r>
        <w:rPr>
          <w:rFonts w:ascii="宋体" w:hAnsi="宋体" w:cs="仿宋"/>
          <w:sz w:val="24"/>
          <w:u w:val="single"/>
        </w:rPr>
        <w:t>8</w:t>
      </w:r>
      <w:r>
        <w:rPr>
          <w:rFonts w:hint="eastAsia" w:ascii="宋体" w:hAnsi="宋体" w:cs="仿宋"/>
          <w:sz w:val="24"/>
          <w:u w:val="single"/>
        </w:rPr>
        <w:t>小时以内停水、停电、停气，而引起的费用增加和工期延误；</w:t>
      </w:r>
      <w:r>
        <w:rPr>
          <w:rFonts w:ascii="宋体" w:hAnsi="宋体" w:cs="仿宋"/>
          <w:sz w:val="24"/>
          <w:u w:val="single"/>
        </w:rPr>
        <w:t>f.</w:t>
      </w:r>
      <w:r>
        <w:rPr>
          <w:rFonts w:hint="eastAsia" w:ascii="宋体" w:hAnsi="宋体" w:cs="仿宋"/>
          <w:sz w:val="24"/>
          <w:u w:val="single"/>
        </w:rPr>
        <w:t>国家政策变化以及一个有经验的承包人可以或应该预见的风险。</w:t>
      </w:r>
    </w:p>
    <w:p w14:paraId="3F5663D9">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风险费用的计算方法：</w:t>
      </w:r>
      <w:r>
        <w:rPr>
          <w:rFonts w:hint="eastAsia" w:ascii="宋体" w:hAnsi="宋体" w:cs="仿宋"/>
          <w:sz w:val="24"/>
          <w:u w:val="single"/>
        </w:rPr>
        <w:t>以上风险费用应在投标报价时考虑，不再另行计取。</w:t>
      </w:r>
    </w:p>
    <w:p w14:paraId="0AEE8C2D">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风险范围以外合同价格的调整方法：</w:t>
      </w:r>
      <w:r>
        <w:rPr>
          <w:rFonts w:hint="eastAsia" w:ascii="宋体" w:hAnsi="宋体" w:cs="仿宋"/>
          <w:sz w:val="24"/>
          <w:u w:val="single"/>
        </w:rPr>
        <w:t>a.设计变更；b.符合合同约定的工程洽商、变更等书面协议和文件；c.暂估价；d.工程量；以上4项内容发生时允许调整合同价款。</w:t>
      </w:r>
    </w:p>
    <w:p w14:paraId="562466E7">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具体调整方法如下：a.结算工程数量由承包人按《房屋建筑与装修工程工程量清单计算规范》(GB50854-2013)、《通用安装工程工程量清单计算规范》(GB50856-2013)的工程量计算规则计算，经发包人审定后，作为结算依据。</w:t>
      </w:r>
    </w:p>
    <w:p w14:paraId="168AB458">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b.发包人提供的分部分项工程量清单项目漏项或非承包人原因的设计变更，引起新增工程量清单项目的，其相应单价的确定方法为：</w:t>
      </w:r>
    </w:p>
    <w:p w14:paraId="4C6D5DA4">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①合同中已有适用于变更工程的价格，按合同已有的价格变更合同价款。</w:t>
      </w:r>
    </w:p>
    <w:p w14:paraId="33A55470">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②合同中没有适用但有类似工程项目单价的，可以在合理范围内参照合同中类似项目的单价计算确定。参照方法可按下列方式处理。</w:t>
      </w:r>
    </w:p>
    <w:p w14:paraId="691EEEC7">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某种材料（包括半成品或成品）等级、标准发生变化的，清单组合子目不变，仅调整不同的材料价格。</w:t>
      </w:r>
    </w:p>
    <w:p w14:paraId="0D752A06">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清单项目某一特征或工程内容变化，不影响其他特征及工程内容价格的，其他特征组合标准不变，仅调整发生变化的组合子目价格。</w:t>
      </w:r>
    </w:p>
    <w:p w14:paraId="1D412A37">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③合同中没有适用或类似工程项目单价的，则根据《建设工程工程量清单计价规范》</w:t>
      </w:r>
      <w:r>
        <w:rPr>
          <w:rFonts w:ascii="宋体" w:hAnsi="宋体" w:cs="仿宋"/>
          <w:sz w:val="24"/>
          <w:u w:val="single"/>
        </w:rPr>
        <w:t>(GB50500-2013)、</w:t>
      </w:r>
      <w:r>
        <w:rPr>
          <w:rFonts w:hint="eastAsia" w:ascii="宋体" w:hAnsi="宋体" w:cs="仿宋"/>
          <w:sz w:val="24"/>
          <w:u w:val="single"/>
        </w:rPr>
        <w:t>《山东省建筑工程消耗量定额》（2016）</w:t>
      </w:r>
      <w:r>
        <w:rPr>
          <w:rFonts w:ascii="宋体" w:hAnsi="宋体" w:cs="仿宋"/>
          <w:sz w:val="24"/>
          <w:u w:val="single"/>
        </w:rPr>
        <w:t>、</w:t>
      </w:r>
      <w:r>
        <w:rPr>
          <w:rFonts w:hint="eastAsia" w:ascii="宋体" w:hAnsi="宋体" w:cs="仿宋"/>
          <w:sz w:val="24"/>
          <w:u w:val="single"/>
        </w:rPr>
        <w:t>《山东省安装工程消耗量定额》（2016）、《山东省建设工程费用项目组成及计算规则》（2022）计价规则及定额标准计算工程量和单价；企业管理费、利润、规费、税金按投标口径计取；组价时，人工、材料、机械台班单价按照投标时人工、材料、机械台班单价的报价计算，暂估价按照签证价格计算，无投标报价的材料价格，按照签证价格计算，无投标报价的机械台班价格，按照《山东省建设工程施工机械台班费用定额》定额标准计取，定额不明确的由签证确认。</w:t>
      </w:r>
    </w:p>
    <w:p w14:paraId="14CC00D9">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c.施工组织措施项目费根据投标价包干使用，不予调整。</w:t>
      </w:r>
    </w:p>
    <w:p w14:paraId="3739AA4E">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d.因发包人要求或设计变更联系单引起的材料品种、规格、型号发生变化，其投标单价不变，计补主材价差及规费、税金，其他费用一律不得调整。</w:t>
      </w:r>
    </w:p>
    <w:p w14:paraId="09A72071">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e.暂估价调整：（1）材料暂估价仅调整材料价格，其他内容不予调整，具体如下：①材料的签证价与暂估价之差计补差价，差价仅计税金；（2）暂估综合单价调整按照</w:t>
      </w:r>
      <w:r>
        <w:rPr>
          <w:rFonts w:ascii="宋体" w:hAnsi="宋体" w:cs="仿宋"/>
          <w:sz w:val="24"/>
          <w:u w:val="single"/>
        </w:rPr>
        <w:t>12.1</w:t>
      </w:r>
      <w:r>
        <w:rPr>
          <w:rFonts w:hint="eastAsia" w:ascii="宋体" w:hAnsi="宋体" w:cs="仿宋"/>
          <w:sz w:val="24"/>
          <w:u w:val="single"/>
        </w:rPr>
        <w:t>条款中具体调整方法确定。</w:t>
      </w:r>
    </w:p>
    <w:p w14:paraId="29BCBEC1">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f</w:t>
      </w:r>
      <w:r>
        <w:rPr>
          <w:rFonts w:ascii="宋体" w:hAnsi="宋体" w:cs="仿宋"/>
          <w:sz w:val="24"/>
          <w:u w:val="single"/>
        </w:rPr>
        <w:t>.</w:t>
      </w:r>
      <w:r>
        <w:rPr>
          <w:rFonts w:hint="eastAsia" w:ascii="宋体" w:hAnsi="宋体" w:cs="仿宋"/>
          <w:sz w:val="24"/>
          <w:u w:val="single"/>
        </w:rPr>
        <w:t>清单列项及图纸范围以外的零星用工由发包人根据施工实际发生情况进行签证，价格按技工</w:t>
      </w:r>
      <w:r>
        <w:rPr>
          <w:rFonts w:ascii="宋体" w:hAnsi="宋体" w:cs="仿宋"/>
          <w:sz w:val="24"/>
          <w:u w:val="single"/>
        </w:rPr>
        <w:t>180</w:t>
      </w:r>
      <w:r>
        <w:rPr>
          <w:rFonts w:hint="eastAsia" w:ascii="宋体" w:hAnsi="宋体" w:cs="仿宋"/>
          <w:sz w:val="24"/>
          <w:u w:val="single"/>
        </w:rPr>
        <w:t>元</w:t>
      </w:r>
      <w:r>
        <w:rPr>
          <w:rFonts w:ascii="宋体" w:hAnsi="宋体" w:cs="仿宋"/>
          <w:sz w:val="24"/>
          <w:u w:val="single"/>
        </w:rPr>
        <w:t>/</w:t>
      </w:r>
      <w:r>
        <w:rPr>
          <w:rFonts w:hint="eastAsia" w:ascii="宋体" w:hAnsi="宋体" w:cs="仿宋"/>
          <w:sz w:val="24"/>
          <w:u w:val="single"/>
        </w:rPr>
        <w:t>工日，普工</w:t>
      </w:r>
      <w:r>
        <w:rPr>
          <w:rFonts w:ascii="宋体" w:hAnsi="宋体" w:cs="仿宋"/>
          <w:sz w:val="24"/>
          <w:u w:val="single"/>
        </w:rPr>
        <w:t>150</w:t>
      </w:r>
      <w:r>
        <w:rPr>
          <w:rFonts w:hint="eastAsia" w:ascii="宋体" w:hAnsi="宋体" w:cs="仿宋"/>
          <w:sz w:val="24"/>
          <w:u w:val="single"/>
        </w:rPr>
        <w:t>元</w:t>
      </w:r>
      <w:r>
        <w:rPr>
          <w:rFonts w:ascii="宋体" w:hAnsi="宋体" w:cs="仿宋"/>
          <w:sz w:val="24"/>
          <w:u w:val="single"/>
        </w:rPr>
        <w:t>/</w:t>
      </w:r>
      <w:r>
        <w:rPr>
          <w:rFonts w:hint="eastAsia" w:ascii="宋体" w:hAnsi="宋体" w:cs="仿宋"/>
          <w:sz w:val="24"/>
          <w:u w:val="single"/>
        </w:rPr>
        <w:t>工日计算</w:t>
      </w:r>
      <w:r>
        <w:rPr>
          <w:rFonts w:ascii="宋体" w:hAnsi="宋体" w:cs="仿宋"/>
          <w:sz w:val="24"/>
          <w:u w:val="single"/>
        </w:rPr>
        <w:t>,</w:t>
      </w:r>
      <w:r>
        <w:rPr>
          <w:rFonts w:hint="eastAsia" w:ascii="宋体" w:hAnsi="宋体" w:cs="仿宋"/>
          <w:sz w:val="24"/>
          <w:u w:val="single"/>
        </w:rPr>
        <w:t>结算时仅计取税金。</w:t>
      </w:r>
    </w:p>
    <w:p w14:paraId="18CEEF02">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g.设计变更</w:t>
      </w:r>
      <w:r>
        <w:rPr>
          <w:rFonts w:hint="eastAsia" w:ascii="宋体" w:hAnsi="宋体" w:cs="仿宋"/>
          <w:bCs/>
          <w:sz w:val="24"/>
          <w:u w:val="single"/>
        </w:rPr>
        <w:t>或发包人提供的工程量清单漏项或未列项的</w:t>
      </w:r>
      <w:r>
        <w:rPr>
          <w:rFonts w:hint="eastAsia" w:ascii="宋体" w:hAnsi="宋体" w:cs="仿宋"/>
          <w:sz w:val="24"/>
          <w:u w:val="single"/>
        </w:rPr>
        <w:t>项目由承包人上报组价，监理、造价咨询单位进行核定，承包人应按照核定后的组价无条件接受并执行。若在施工阶段，由发包人指定的合作生产商供应产品时，承包人必须执行，相应工程项目在竣工结算时，主材价（除税价）以发包人与合作供应商谈判确定价格计入组价单元。</w:t>
      </w:r>
    </w:p>
    <w:p w14:paraId="543BFB0B">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h.发包人有权增减工作内容及相应的工作量，取费标准按原投标口径不变，承包人不得提出额外费用要求。合价金额占合同总价2%（含）以上的分部分项清单项目，其工程量增加超过本项目工程数量15%（含）以上时，或合价金额占合同不到2%的分部分项清单项目，但其工程量增加超过本项目工程数量25%（含）以上时，其增加部分工程量的相应单价参照投标时的报价分析表对原单价重新组价，并按照合理的成本与利润构成的原则协商确定。其中“其增加部分工程量”指的是超过本项工程数量115%或125%的工程量。</w:t>
      </w:r>
    </w:p>
    <w:p w14:paraId="54AB5378">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分部分项清单项目工程量减少部分不论减少多少均执行投标单价。</w:t>
      </w:r>
    </w:p>
    <w:p w14:paraId="1A7F04E0">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i.承包人不得以工程签证未得到核定为由作为工期延期依据。</w:t>
      </w:r>
    </w:p>
    <w:p w14:paraId="14524057">
      <w:pPr>
        <w:tabs>
          <w:tab w:val="left" w:pos="0"/>
        </w:tabs>
        <w:adjustRightInd w:val="0"/>
        <w:spacing w:line="500" w:lineRule="exact"/>
        <w:ind w:firstLine="480" w:firstLineChars="200"/>
        <w:contextualSpacing/>
        <w:rPr>
          <w:rFonts w:ascii="宋体" w:hAnsi="宋体" w:cs="仿宋"/>
          <w:sz w:val="24"/>
          <w:u w:val="single"/>
        </w:rPr>
      </w:pPr>
      <w:r>
        <w:rPr>
          <w:rFonts w:hint="eastAsia" w:ascii="宋体" w:hAnsi="宋体" w:cs="仿宋"/>
          <w:sz w:val="24"/>
          <w:u w:val="single"/>
        </w:rPr>
        <w:t>j.发包人有权指定具有资质的第三方机构进行审计，并确定审计价格。</w:t>
      </w:r>
    </w:p>
    <w:p w14:paraId="11F5880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（2）总价合同。</w:t>
      </w:r>
    </w:p>
    <w:p w14:paraId="151735A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总价包含的风险范围：</w:t>
      </w:r>
      <w:r>
        <w:rPr>
          <w:rFonts w:hint="eastAsia" w:ascii="宋体" w:hAnsi="宋体" w:cs="仿宋"/>
          <w:sz w:val="24"/>
          <w:u w:val="single"/>
        </w:rPr>
        <w:t xml:space="preserve">             /               </w:t>
      </w:r>
      <w:r>
        <w:rPr>
          <w:rFonts w:hint="eastAsia" w:ascii="宋体" w:hAnsi="宋体" w:cs="仿宋"/>
          <w:sz w:val="24"/>
        </w:rPr>
        <w:t>。</w:t>
      </w:r>
    </w:p>
    <w:p w14:paraId="0B2DF83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风险费用的计算方法：</w:t>
      </w:r>
      <w:r>
        <w:rPr>
          <w:rFonts w:hint="eastAsia" w:ascii="宋体" w:hAnsi="宋体" w:cs="仿宋"/>
          <w:sz w:val="24"/>
          <w:u w:val="single"/>
        </w:rPr>
        <w:t xml:space="preserve">              /                   </w:t>
      </w:r>
      <w:r>
        <w:rPr>
          <w:rFonts w:hint="eastAsia" w:ascii="宋体" w:hAnsi="宋体" w:cs="仿宋"/>
          <w:sz w:val="24"/>
        </w:rPr>
        <w:t>。</w:t>
      </w:r>
    </w:p>
    <w:p w14:paraId="3972690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风险范围以外合同价格的调整方法：</w:t>
      </w:r>
      <w:r>
        <w:rPr>
          <w:rFonts w:hint="eastAsia" w:ascii="宋体" w:hAnsi="宋体" w:cs="仿宋"/>
          <w:sz w:val="24"/>
          <w:u w:val="single"/>
        </w:rPr>
        <w:t xml:space="preserve">         /            </w:t>
      </w:r>
      <w:r>
        <w:rPr>
          <w:rFonts w:hint="eastAsia" w:ascii="宋体" w:hAnsi="宋体" w:cs="仿宋"/>
          <w:sz w:val="24"/>
        </w:rPr>
        <w:t>。</w:t>
      </w:r>
    </w:p>
    <w:p w14:paraId="1ED7DA1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（3）其他价格方式：</w:t>
      </w:r>
      <w:r>
        <w:rPr>
          <w:rFonts w:hint="eastAsia" w:ascii="宋体" w:hAnsi="宋体" w:cs="仿宋"/>
          <w:sz w:val="24"/>
          <w:u w:val="single"/>
        </w:rPr>
        <w:t xml:space="preserve">          /              </w:t>
      </w:r>
      <w:r>
        <w:rPr>
          <w:rFonts w:hint="eastAsia" w:ascii="宋体" w:hAnsi="宋体" w:cs="仿宋"/>
          <w:sz w:val="24"/>
        </w:rPr>
        <w:t>。</w:t>
      </w:r>
    </w:p>
    <w:p w14:paraId="10E8B493">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12.2 预付款</w:t>
      </w:r>
    </w:p>
    <w:p w14:paraId="47A5DE6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12.2.1 预付款的支付</w:t>
      </w:r>
    </w:p>
    <w:p w14:paraId="20ECF49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预付款支付比例或金额：</w:t>
      </w:r>
      <w:r>
        <w:rPr>
          <w:rFonts w:hint="eastAsia" w:ascii="宋体" w:hAnsi="宋体" w:cs="仿宋"/>
          <w:sz w:val="24"/>
          <w:u w:val="single"/>
        </w:rPr>
        <w:t>合同价的30%(不含暂列金)</w:t>
      </w:r>
      <w:r>
        <w:rPr>
          <w:rFonts w:hint="eastAsia" w:ascii="宋体" w:hAnsi="宋体" w:cs="仿宋"/>
          <w:sz w:val="24"/>
        </w:rPr>
        <w:t>。</w:t>
      </w:r>
    </w:p>
    <w:p w14:paraId="668EB97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预付款支付期限：</w:t>
      </w:r>
      <w:r>
        <w:rPr>
          <w:rFonts w:hint="eastAsia" w:ascii="宋体" w:hAnsi="宋体" w:cs="仿宋"/>
          <w:sz w:val="24"/>
          <w:u w:val="single"/>
        </w:rPr>
        <w:t>提交履约担保后且经监理人签发工程开工令7日后，并经监理工程师核实、发包人批准后，发包人向承包人支付预付款</w:t>
      </w:r>
      <w:r>
        <w:rPr>
          <w:rFonts w:hint="eastAsia" w:ascii="宋体" w:hAnsi="宋体" w:cs="仿宋"/>
          <w:sz w:val="24"/>
        </w:rPr>
        <w:t>。</w:t>
      </w:r>
    </w:p>
    <w:p w14:paraId="4540ACB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预付款扣回的方式：</w:t>
      </w:r>
      <w:r>
        <w:rPr>
          <w:rFonts w:hint="eastAsia" w:ascii="宋体" w:hAnsi="宋体" w:cs="仿宋"/>
          <w:sz w:val="24"/>
          <w:u w:val="single"/>
        </w:rPr>
        <w:t>预付款自正式开工后当月开始起扣，比例为当期工程进度款的40%，直至预付款扣完为止。如果承包人按本合同约定解除合同前预付款尚未抵扣完，承包人应将当时未抵扣部分的全部余额归还给发包人，否则发包人有权从任何应该支付或将要支付给承包人的款项中扣回该偿还金额</w:t>
      </w:r>
      <w:r>
        <w:rPr>
          <w:rFonts w:hint="eastAsia" w:ascii="宋体" w:hAnsi="宋体" w:cs="仿宋"/>
          <w:sz w:val="24"/>
        </w:rPr>
        <w:t>。</w:t>
      </w:r>
    </w:p>
    <w:p w14:paraId="3A2DE68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12.2.2 预付款担保</w:t>
      </w:r>
    </w:p>
    <w:p w14:paraId="048268D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承包人提交预付款担保的期限：</w:t>
      </w:r>
      <w:r>
        <w:rPr>
          <w:rFonts w:hint="eastAsia" w:ascii="宋体" w:hAnsi="宋体" w:cs="仿宋"/>
          <w:sz w:val="24"/>
          <w:u w:val="single"/>
        </w:rPr>
        <w:t xml:space="preserve">           /               </w:t>
      </w:r>
      <w:r>
        <w:rPr>
          <w:rFonts w:hint="eastAsia" w:ascii="宋体" w:hAnsi="宋体" w:cs="仿宋"/>
          <w:sz w:val="24"/>
        </w:rPr>
        <w:t>。</w:t>
      </w:r>
    </w:p>
    <w:p w14:paraId="212DF2A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预付款担保的形式为：</w:t>
      </w:r>
      <w:r>
        <w:rPr>
          <w:rFonts w:hint="eastAsia" w:ascii="宋体" w:hAnsi="宋体" w:cs="仿宋"/>
          <w:sz w:val="24"/>
          <w:u w:val="single"/>
        </w:rPr>
        <w:t xml:space="preserve">          /                       </w:t>
      </w:r>
      <w:r>
        <w:rPr>
          <w:rFonts w:hint="eastAsia" w:ascii="宋体" w:hAnsi="宋体" w:cs="仿宋"/>
          <w:sz w:val="24"/>
        </w:rPr>
        <w:t>。</w:t>
      </w:r>
    </w:p>
    <w:p w14:paraId="4535F390">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12.3 计量</w:t>
      </w:r>
    </w:p>
    <w:p w14:paraId="340DDB0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12.3.1 计量原则</w:t>
      </w:r>
    </w:p>
    <w:p w14:paraId="720C4155">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工程量计算规则：</w:t>
      </w:r>
    </w:p>
    <w:p w14:paraId="23D06E5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u w:val="single"/>
        </w:rPr>
        <w:t>工程量的计算规则应按山东省、市行业主管部门颁布的各专业工程定额的工程量计算规则执行</w:t>
      </w:r>
      <w:r>
        <w:rPr>
          <w:rFonts w:hint="eastAsia" w:ascii="宋体" w:hAnsi="宋体" w:cs="仿宋"/>
          <w:sz w:val="24"/>
        </w:rPr>
        <w:t>。</w:t>
      </w:r>
    </w:p>
    <w:p w14:paraId="41A6F0E0">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12.3.2 计量周期</w:t>
      </w:r>
    </w:p>
    <w:p w14:paraId="1E23AC3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关于计量周期的约定：</w:t>
      </w:r>
      <w:r>
        <w:rPr>
          <w:rFonts w:hint="eastAsia" w:ascii="宋体" w:hAnsi="宋体" w:cs="仿宋"/>
          <w:sz w:val="24"/>
          <w:u w:val="single"/>
        </w:rPr>
        <w:t xml:space="preserve">           /             </w:t>
      </w:r>
      <w:r>
        <w:rPr>
          <w:rFonts w:hint="eastAsia" w:ascii="宋体" w:hAnsi="宋体" w:cs="仿宋"/>
          <w:sz w:val="24"/>
        </w:rPr>
        <w:t>。</w:t>
      </w:r>
    </w:p>
    <w:p w14:paraId="2168178D">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12.3.3 单价合同的计量</w:t>
      </w:r>
    </w:p>
    <w:p w14:paraId="3E5FD6A0">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关于单价合同计量的约定：</w:t>
      </w:r>
      <w:r>
        <w:rPr>
          <w:rFonts w:hint="eastAsia" w:ascii="宋体" w:hAnsi="宋体" w:cs="仿宋"/>
          <w:sz w:val="24"/>
          <w:u w:val="single"/>
        </w:rPr>
        <w:t xml:space="preserve">             /                 </w:t>
      </w:r>
      <w:r>
        <w:rPr>
          <w:rFonts w:hint="eastAsia" w:ascii="宋体" w:hAnsi="宋体" w:cs="仿宋"/>
          <w:sz w:val="24"/>
        </w:rPr>
        <w:t>。</w:t>
      </w:r>
    </w:p>
    <w:p w14:paraId="0AB77B4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12.3.4 总价合同的计量</w:t>
      </w:r>
    </w:p>
    <w:p w14:paraId="33A24B30">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关于总价合同计量的约定：</w:t>
      </w:r>
      <w:r>
        <w:rPr>
          <w:rFonts w:hint="eastAsia" w:ascii="宋体" w:hAnsi="宋体" w:cs="仿宋"/>
          <w:sz w:val="24"/>
          <w:u w:val="single"/>
        </w:rPr>
        <w:t xml:space="preserve">              /                </w:t>
      </w:r>
      <w:r>
        <w:rPr>
          <w:rFonts w:hint="eastAsia" w:ascii="宋体" w:hAnsi="宋体" w:cs="仿宋"/>
          <w:sz w:val="24"/>
        </w:rPr>
        <w:t>。</w:t>
      </w:r>
    </w:p>
    <w:p w14:paraId="438709E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12.3.5总价合同采用支付分解表计量支付的，是否适用第12.3.4 项〔总价合同的计量〕约定进行计量：</w:t>
      </w:r>
      <w:r>
        <w:rPr>
          <w:rFonts w:hint="eastAsia" w:ascii="宋体" w:hAnsi="宋体" w:cs="仿宋"/>
          <w:sz w:val="24"/>
          <w:u w:val="single"/>
        </w:rPr>
        <w:t xml:space="preserve">         /            </w:t>
      </w:r>
      <w:r>
        <w:rPr>
          <w:rFonts w:hint="eastAsia" w:ascii="宋体" w:hAnsi="宋体" w:cs="仿宋"/>
          <w:sz w:val="24"/>
        </w:rPr>
        <w:t>。</w:t>
      </w:r>
    </w:p>
    <w:p w14:paraId="71A9CDA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12.3.6 其他价格形式合同的计量</w:t>
      </w:r>
    </w:p>
    <w:p w14:paraId="78E04A5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其他价格形式的计量方式和程序：</w:t>
      </w:r>
      <w:r>
        <w:rPr>
          <w:rFonts w:hint="eastAsia" w:ascii="宋体" w:hAnsi="宋体" w:cs="仿宋"/>
          <w:sz w:val="24"/>
          <w:u w:val="single"/>
        </w:rPr>
        <w:t xml:space="preserve">       /           </w:t>
      </w:r>
      <w:r>
        <w:rPr>
          <w:rFonts w:hint="eastAsia" w:ascii="宋体" w:hAnsi="宋体" w:cs="仿宋"/>
          <w:sz w:val="24"/>
        </w:rPr>
        <w:t>。</w:t>
      </w:r>
    </w:p>
    <w:p w14:paraId="109575BD">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12.4 工程进度款支付</w:t>
      </w:r>
    </w:p>
    <w:p w14:paraId="52F9382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12.4.1 付款周期</w:t>
      </w:r>
    </w:p>
    <w:p w14:paraId="123F827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关于付款周期的约定：</w:t>
      </w:r>
      <w:r>
        <w:rPr>
          <w:rFonts w:hint="eastAsia" w:ascii="宋体" w:hAnsi="宋体" w:cs="仿宋"/>
          <w:sz w:val="24"/>
          <w:u w:val="single"/>
        </w:rPr>
        <w:t>承包人每月25日前提供上月20日至当月19日已完成工程量、工程价款表、相应进度报表等有关资料，报监理人（含代建）、造价咨询单位、发包人核定</w:t>
      </w:r>
      <w:r>
        <w:rPr>
          <w:rFonts w:hint="eastAsia" w:ascii="宋体" w:hAnsi="宋体" w:cs="仿宋"/>
          <w:sz w:val="24"/>
        </w:rPr>
        <w:t>。</w:t>
      </w:r>
    </w:p>
    <w:p w14:paraId="5EA35C5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12.4.2 进度付款申请单的编制</w:t>
      </w:r>
    </w:p>
    <w:p w14:paraId="62E4050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关于进度付款申请单编制的约定：</w:t>
      </w:r>
      <w:r>
        <w:rPr>
          <w:rFonts w:hint="eastAsia" w:ascii="宋体" w:hAnsi="宋体" w:cs="仿宋"/>
          <w:sz w:val="24"/>
          <w:u w:val="single"/>
        </w:rPr>
        <w:t xml:space="preserve">        /             </w:t>
      </w:r>
      <w:r>
        <w:rPr>
          <w:rFonts w:hint="eastAsia" w:ascii="宋体" w:hAnsi="宋体" w:cs="仿宋"/>
          <w:sz w:val="24"/>
        </w:rPr>
        <w:t>。</w:t>
      </w:r>
    </w:p>
    <w:p w14:paraId="72AAD15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12.4.3 进度付款申请单的提交</w:t>
      </w:r>
    </w:p>
    <w:p w14:paraId="4218435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（1）单价合同进度付款申请单提交的约定：</w:t>
      </w:r>
      <w:r>
        <w:rPr>
          <w:rFonts w:hint="eastAsia" w:ascii="宋体" w:hAnsi="宋体" w:cs="仿宋"/>
          <w:sz w:val="24"/>
          <w:u w:val="single"/>
        </w:rPr>
        <w:t xml:space="preserve">         /      </w:t>
      </w:r>
      <w:r>
        <w:rPr>
          <w:rFonts w:hint="eastAsia" w:ascii="宋体" w:hAnsi="宋体" w:cs="仿宋"/>
          <w:sz w:val="24"/>
        </w:rPr>
        <w:t>。</w:t>
      </w:r>
    </w:p>
    <w:p w14:paraId="342B4E6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（2）总价合同进度付款申请单提交的约定：</w:t>
      </w:r>
      <w:r>
        <w:rPr>
          <w:rFonts w:hint="eastAsia" w:ascii="宋体" w:hAnsi="宋体" w:cs="仿宋"/>
          <w:sz w:val="24"/>
          <w:u w:val="single"/>
        </w:rPr>
        <w:t xml:space="preserve">         /      </w:t>
      </w:r>
      <w:r>
        <w:rPr>
          <w:rFonts w:hint="eastAsia" w:ascii="宋体" w:hAnsi="宋体" w:cs="仿宋"/>
          <w:sz w:val="24"/>
        </w:rPr>
        <w:t>。</w:t>
      </w:r>
    </w:p>
    <w:p w14:paraId="6004E23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（3）其他价格形式合同进度付款申请单提交的约定：</w:t>
      </w:r>
      <w:r>
        <w:rPr>
          <w:rFonts w:hint="eastAsia" w:ascii="宋体" w:hAnsi="宋体" w:cs="仿宋"/>
          <w:sz w:val="24"/>
          <w:u w:val="single"/>
        </w:rPr>
        <w:t xml:space="preserve">  /    </w:t>
      </w:r>
      <w:r>
        <w:rPr>
          <w:rFonts w:hint="eastAsia" w:ascii="宋体" w:hAnsi="宋体" w:cs="仿宋"/>
          <w:sz w:val="24"/>
        </w:rPr>
        <w:t>。</w:t>
      </w:r>
    </w:p>
    <w:p w14:paraId="661F3DB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12.4.4 进度款审核和支付</w:t>
      </w:r>
    </w:p>
    <w:p w14:paraId="2D0670E0">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（1）监理人审查并报送发包人的期限：</w:t>
      </w:r>
      <w:r>
        <w:rPr>
          <w:rFonts w:hint="eastAsia" w:ascii="宋体" w:hAnsi="宋体" w:cs="仿宋"/>
          <w:sz w:val="24"/>
          <w:u w:val="single"/>
        </w:rPr>
        <w:t xml:space="preserve">         /        </w:t>
      </w:r>
      <w:r>
        <w:rPr>
          <w:rFonts w:hint="eastAsia" w:ascii="宋体" w:hAnsi="宋体" w:cs="仿宋"/>
          <w:sz w:val="24"/>
        </w:rPr>
        <w:t>。</w:t>
      </w:r>
    </w:p>
    <w:p w14:paraId="7808CC8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（2）发包人完成审批并签发进度款支付证书的期限：</w:t>
      </w:r>
    </w:p>
    <w:p w14:paraId="34B94BE8">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fldChar w:fldCharType="begin"/>
      </w:r>
      <w:r>
        <w:rPr>
          <w:rFonts w:hint="eastAsia" w:ascii="宋体" w:hAnsi="宋体" w:cs="仿宋"/>
          <w:sz w:val="24"/>
          <w:u w:val="single"/>
        </w:rPr>
        <w:instrText xml:space="preserve"> = 1 \* GB3 </w:instrText>
      </w:r>
      <w:r>
        <w:rPr>
          <w:rFonts w:hint="eastAsia" w:ascii="宋体" w:hAnsi="宋体" w:cs="仿宋"/>
          <w:sz w:val="24"/>
          <w:u w:val="single"/>
        </w:rPr>
        <w:fldChar w:fldCharType="separate"/>
      </w:r>
      <w:r>
        <w:rPr>
          <w:rFonts w:hint="eastAsia" w:ascii="宋体" w:hAnsi="宋体" w:cs="仿宋"/>
          <w:sz w:val="24"/>
          <w:u w:val="single"/>
        </w:rPr>
        <w:t>①</w:t>
      </w:r>
      <w:r>
        <w:rPr>
          <w:rFonts w:hint="eastAsia" w:ascii="宋体" w:hAnsi="宋体" w:cs="仿宋"/>
          <w:sz w:val="24"/>
          <w:u w:val="single"/>
        </w:rPr>
        <w:fldChar w:fldCharType="end"/>
      </w:r>
      <w:r>
        <w:rPr>
          <w:rFonts w:hint="eastAsia" w:ascii="宋体" w:hAnsi="宋体" w:cs="仿宋"/>
          <w:sz w:val="24"/>
          <w:u w:val="single"/>
        </w:rPr>
        <w:t>每个月报送一次工程款，工程款以实际完成每个月的工程量计量，并经监理（代建）、造价咨询单位和发包人审定的已完工程量的80%作为本期进度款，本期进度应于发包人审定完毕且收到承包人出具的增值税发票后15个工作日内支付。</w:t>
      </w:r>
    </w:p>
    <w:p w14:paraId="3589FE65">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fldChar w:fldCharType="begin"/>
      </w:r>
      <w:r>
        <w:rPr>
          <w:rFonts w:hint="eastAsia" w:ascii="宋体" w:hAnsi="宋体" w:cs="仿宋"/>
          <w:sz w:val="24"/>
          <w:u w:val="single"/>
        </w:rPr>
        <w:instrText xml:space="preserve"> = 2 \* GB3 </w:instrText>
      </w:r>
      <w:r>
        <w:rPr>
          <w:rFonts w:hint="eastAsia" w:ascii="宋体" w:hAnsi="宋体" w:cs="仿宋"/>
          <w:sz w:val="24"/>
          <w:u w:val="single"/>
        </w:rPr>
        <w:fldChar w:fldCharType="separate"/>
      </w:r>
      <w:r>
        <w:rPr>
          <w:rFonts w:hint="eastAsia" w:ascii="宋体" w:hAnsi="宋体" w:cs="仿宋"/>
          <w:sz w:val="24"/>
          <w:u w:val="single"/>
        </w:rPr>
        <w:t>②</w:t>
      </w:r>
      <w:r>
        <w:rPr>
          <w:rFonts w:hint="eastAsia" w:ascii="宋体" w:hAnsi="宋体" w:cs="仿宋"/>
          <w:sz w:val="24"/>
          <w:u w:val="single"/>
        </w:rPr>
        <w:fldChar w:fldCharType="end"/>
      </w:r>
      <w:r>
        <w:rPr>
          <w:rFonts w:hint="eastAsia" w:ascii="宋体" w:hAnsi="宋体" w:cs="仿宋"/>
          <w:sz w:val="24"/>
          <w:u w:val="single"/>
        </w:rPr>
        <w:t>工程进度款支付至已完成工程量的80%时，停止支付。</w:t>
      </w:r>
    </w:p>
    <w:p w14:paraId="39D86835">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fldChar w:fldCharType="begin"/>
      </w:r>
      <w:r>
        <w:rPr>
          <w:rFonts w:hint="eastAsia" w:ascii="宋体" w:hAnsi="宋体" w:cs="仿宋"/>
          <w:sz w:val="24"/>
          <w:u w:val="single"/>
        </w:rPr>
        <w:instrText xml:space="preserve"> = 3 \* GB3 </w:instrText>
      </w:r>
      <w:r>
        <w:rPr>
          <w:rFonts w:hint="eastAsia" w:ascii="宋体" w:hAnsi="宋体" w:cs="仿宋"/>
          <w:sz w:val="24"/>
          <w:u w:val="single"/>
        </w:rPr>
        <w:fldChar w:fldCharType="separate"/>
      </w:r>
      <w:r>
        <w:rPr>
          <w:rFonts w:hint="eastAsia" w:ascii="宋体" w:hAnsi="宋体" w:cs="仿宋"/>
          <w:sz w:val="24"/>
          <w:u w:val="single"/>
        </w:rPr>
        <w:t>③</w:t>
      </w:r>
      <w:r>
        <w:rPr>
          <w:rFonts w:hint="eastAsia" w:ascii="宋体" w:hAnsi="宋体" w:cs="仿宋"/>
          <w:sz w:val="24"/>
          <w:u w:val="single"/>
        </w:rPr>
        <w:fldChar w:fldCharType="end"/>
      </w:r>
      <w:r>
        <w:rPr>
          <w:rFonts w:hint="eastAsia" w:ascii="宋体" w:hAnsi="宋体" w:cs="仿宋"/>
          <w:sz w:val="24"/>
          <w:u w:val="single"/>
        </w:rPr>
        <w:t>待竣工验收合格且收到承包人提供的增值税发票后15个工作日内支付至合同总价（不含暂列金）的85%。</w:t>
      </w:r>
    </w:p>
    <w:p w14:paraId="401453B3">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fldChar w:fldCharType="begin"/>
      </w:r>
      <w:r>
        <w:rPr>
          <w:rFonts w:hint="eastAsia" w:ascii="宋体" w:hAnsi="宋体" w:cs="仿宋"/>
          <w:sz w:val="24"/>
          <w:u w:val="single"/>
        </w:rPr>
        <w:instrText xml:space="preserve"> = 4 \* GB3 </w:instrText>
      </w:r>
      <w:r>
        <w:rPr>
          <w:rFonts w:hint="eastAsia" w:ascii="宋体" w:hAnsi="宋体" w:cs="仿宋"/>
          <w:sz w:val="24"/>
          <w:u w:val="single"/>
        </w:rPr>
        <w:fldChar w:fldCharType="separate"/>
      </w:r>
      <w:r>
        <w:rPr>
          <w:rFonts w:hint="eastAsia" w:ascii="宋体" w:hAnsi="宋体" w:cs="仿宋"/>
          <w:sz w:val="24"/>
          <w:u w:val="single"/>
        </w:rPr>
        <w:t>④</w:t>
      </w:r>
      <w:r>
        <w:rPr>
          <w:rFonts w:hint="eastAsia" w:ascii="宋体" w:hAnsi="宋体" w:cs="仿宋"/>
          <w:sz w:val="24"/>
          <w:u w:val="single"/>
        </w:rPr>
        <w:fldChar w:fldCharType="end"/>
      </w:r>
      <w:r>
        <w:rPr>
          <w:rFonts w:hint="eastAsia" w:ascii="宋体" w:hAnsi="宋体" w:cs="仿宋"/>
          <w:sz w:val="24"/>
          <w:u w:val="single"/>
        </w:rPr>
        <w:t>履约保证金在工程结算资料已上报且工程实际通过竣工验收后90日内无息退还给承包人。</w:t>
      </w:r>
    </w:p>
    <w:p w14:paraId="7FE7016A">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fldChar w:fldCharType="begin"/>
      </w:r>
      <w:r>
        <w:rPr>
          <w:rFonts w:hint="eastAsia" w:ascii="宋体" w:hAnsi="宋体" w:cs="仿宋"/>
          <w:sz w:val="24"/>
          <w:u w:val="single"/>
        </w:rPr>
        <w:instrText xml:space="preserve"> = 5 \* GB3 </w:instrText>
      </w:r>
      <w:r>
        <w:rPr>
          <w:rFonts w:hint="eastAsia" w:ascii="宋体" w:hAnsi="宋体" w:cs="仿宋"/>
          <w:sz w:val="24"/>
          <w:u w:val="single"/>
        </w:rPr>
        <w:fldChar w:fldCharType="separate"/>
      </w:r>
      <w:r>
        <w:rPr>
          <w:rFonts w:hint="eastAsia" w:ascii="宋体" w:hAnsi="宋体" w:cs="仿宋"/>
          <w:sz w:val="24"/>
          <w:u w:val="single"/>
        </w:rPr>
        <w:t>⑤</w:t>
      </w:r>
      <w:r>
        <w:rPr>
          <w:rFonts w:hint="eastAsia" w:ascii="宋体" w:hAnsi="宋体" w:cs="仿宋"/>
          <w:sz w:val="24"/>
          <w:u w:val="single"/>
        </w:rPr>
        <w:fldChar w:fldCharType="end"/>
      </w:r>
      <w:r>
        <w:rPr>
          <w:rFonts w:hint="eastAsia" w:ascii="宋体" w:hAnsi="宋体" w:cs="仿宋"/>
          <w:sz w:val="24"/>
          <w:u w:val="single"/>
        </w:rPr>
        <w:t>按时完成竣工结算审计，出具相应的增值税发票后15个工作日内支付至审定价的97%，工程结算审定价的3%作为工程质量保证金。</w:t>
      </w:r>
    </w:p>
    <w:p w14:paraId="2A784EDD">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fldChar w:fldCharType="begin"/>
      </w:r>
      <w:r>
        <w:rPr>
          <w:rFonts w:hint="eastAsia" w:ascii="宋体" w:hAnsi="宋体" w:cs="仿宋"/>
          <w:sz w:val="24"/>
          <w:u w:val="single"/>
        </w:rPr>
        <w:instrText xml:space="preserve"> = 6 \* GB3 </w:instrText>
      </w:r>
      <w:r>
        <w:rPr>
          <w:rFonts w:hint="eastAsia" w:ascii="宋体" w:hAnsi="宋体" w:cs="仿宋"/>
          <w:sz w:val="24"/>
          <w:u w:val="single"/>
        </w:rPr>
        <w:fldChar w:fldCharType="separate"/>
      </w:r>
      <w:r>
        <w:rPr>
          <w:rFonts w:hint="eastAsia" w:ascii="宋体" w:hAnsi="宋体" w:cs="仿宋"/>
          <w:sz w:val="24"/>
          <w:u w:val="single"/>
        </w:rPr>
        <w:t>⑥</w:t>
      </w:r>
      <w:r>
        <w:rPr>
          <w:rFonts w:hint="eastAsia" w:ascii="宋体" w:hAnsi="宋体" w:cs="仿宋"/>
          <w:sz w:val="24"/>
          <w:u w:val="single"/>
        </w:rPr>
        <w:fldChar w:fldCharType="end"/>
      </w:r>
      <w:r>
        <w:rPr>
          <w:rFonts w:hint="eastAsia" w:ascii="宋体" w:hAnsi="宋体" w:cs="仿宋"/>
          <w:sz w:val="24"/>
          <w:u w:val="single"/>
        </w:rPr>
        <w:t>竣工验收后一年期满后15天内返回2%的质量保证金，竣工验收后两年期满后，无质量问题，15天内全部返还质量保证金，但须扣除各项罚款（不计利息）。</w:t>
      </w:r>
    </w:p>
    <w:p w14:paraId="39304E44">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⑦暂列项工程支付方式参照上述①-⑥条约定。</w:t>
      </w:r>
    </w:p>
    <w:p w14:paraId="0C94BFEE">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⑧造价咨询单位由发包人指定具有资质的第三方机构进行，并确定审计工程量及价格。</w:t>
      </w:r>
    </w:p>
    <w:p w14:paraId="4E6D037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（3）发包人支付进度款的期限：</w:t>
      </w:r>
      <w:r>
        <w:rPr>
          <w:rFonts w:hint="eastAsia" w:ascii="宋体" w:hAnsi="宋体" w:cs="仿宋"/>
          <w:sz w:val="24"/>
          <w:u w:val="single"/>
        </w:rPr>
        <w:t>承包人每月25日前提供上月20日至当月19日已完成工程量、工程价款表、相应进度报表等有关资料，报监理人、发包人核定，监理出具支付证书，承包人提供符合发包人要求的发票（增值税专用发票）后15日内支付</w:t>
      </w:r>
      <w:r>
        <w:rPr>
          <w:rFonts w:hint="eastAsia" w:ascii="宋体" w:hAnsi="宋体" w:cs="仿宋"/>
          <w:sz w:val="24"/>
        </w:rPr>
        <w:t>。</w:t>
      </w:r>
    </w:p>
    <w:p w14:paraId="58B234E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发包人逾期支付进度款的违约金的计算方式：</w:t>
      </w:r>
      <w:r>
        <w:rPr>
          <w:rFonts w:hint="eastAsia" w:ascii="宋体" w:hAnsi="宋体" w:cs="仿宋"/>
          <w:sz w:val="24"/>
          <w:u w:val="single"/>
        </w:rPr>
        <w:t xml:space="preserve"> /    </w:t>
      </w:r>
      <w:r>
        <w:rPr>
          <w:rFonts w:hint="eastAsia" w:ascii="宋体" w:hAnsi="宋体" w:cs="仿宋"/>
          <w:sz w:val="24"/>
        </w:rPr>
        <w:t>。</w:t>
      </w:r>
    </w:p>
    <w:p w14:paraId="610E550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12.4.5 支付分解表的编制</w:t>
      </w:r>
    </w:p>
    <w:p w14:paraId="757C11A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（1）总价合同支付分解表的编制与审批：</w:t>
      </w:r>
      <w:r>
        <w:rPr>
          <w:rFonts w:hint="eastAsia" w:ascii="宋体" w:hAnsi="宋体" w:cs="仿宋"/>
          <w:sz w:val="24"/>
          <w:u w:val="single"/>
        </w:rPr>
        <w:t xml:space="preserve">    /    </w:t>
      </w:r>
      <w:r>
        <w:rPr>
          <w:rFonts w:hint="eastAsia" w:ascii="宋体" w:hAnsi="宋体" w:cs="仿宋"/>
          <w:sz w:val="24"/>
        </w:rPr>
        <w:t>。</w:t>
      </w:r>
    </w:p>
    <w:p w14:paraId="19CF3F3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（2）单价合同的总价项目支付分解表的编制与审批：</w:t>
      </w:r>
      <w:r>
        <w:rPr>
          <w:rFonts w:hint="eastAsia" w:ascii="宋体" w:hAnsi="宋体" w:cs="仿宋"/>
          <w:sz w:val="24"/>
          <w:u w:val="single"/>
        </w:rPr>
        <w:t xml:space="preserve">  /    </w:t>
      </w:r>
      <w:r>
        <w:rPr>
          <w:rFonts w:hint="eastAsia" w:ascii="宋体" w:hAnsi="宋体" w:cs="仿宋"/>
          <w:sz w:val="24"/>
        </w:rPr>
        <w:t>。</w:t>
      </w:r>
    </w:p>
    <w:p w14:paraId="073C1450">
      <w:pPr>
        <w:adjustRightInd w:val="0"/>
        <w:spacing w:line="500" w:lineRule="exact"/>
        <w:ind w:firstLine="480" w:firstLineChars="200"/>
        <w:contextualSpacing/>
        <w:rPr>
          <w:rFonts w:ascii="宋体" w:hAnsi="宋体" w:cs="仿宋"/>
          <w:bCs/>
          <w:sz w:val="24"/>
        </w:rPr>
      </w:pPr>
      <w:r>
        <w:rPr>
          <w:rFonts w:hint="eastAsia" w:ascii="宋体" w:hAnsi="宋体" w:cs="仿宋"/>
          <w:sz w:val="24"/>
        </w:rPr>
        <w:t>13. 验收和工程试车</w:t>
      </w:r>
    </w:p>
    <w:p w14:paraId="76DCD478">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13.1 分部分项工程验收</w:t>
      </w:r>
    </w:p>
    <w:p w14:paraId="1558279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13.1.1监理人不能按时进行验收时，应提前</w:t>
      </w:r>
      <w:r>
        <w:rPr>
          <w:rFonts w:hint="eastAsia" w:ascii="宋体" w:hAnsi="宋体" w:cs="仿宋"/>
          <w:sz w:val="24"/>
          <w:u w:val="single"/>
        </w:rPr>
        <w:t>24</w:t>
      </w:r>
      <w:r>
        <w:rPr>
          <w:rFonts w:hint="eastAsia" w:ascii="宋体" w:hAnsi="宋体" w:cs="仿宋"/>
          <w:sz w:val="24"/>
        </w:rPr>
        <w:t>小时提交书面延期要求。</w:t>
      </w:r>
    </w:p>
    <w:p w14:paraId="66B4BAA0">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关于延期最长不得超过：</w:t>
      </w:r>
      <w:r>
        <w:rPr>
          <w:rFonts w:hint="eastAsia" w:ascii="宋体" w:hAnsi="宋体" w:cs="仿宋"/>
          <w:sz w:val="24"/>
          <w:u w:val="single"/>
        </w:rPr>
        <w:t>24</w:t>
      </w:r>
      <w:r>
        <w:rPr>
          <w:rFonts w:hint="eastAsia" w:ascii="宋体" w:hAnsi="宋体" w:cs="仿宋"/>
          <w:sz w:val="24"/>
        </w:rPr>
        <w:t>小时。</w:t>
      </w:r>
    </w:p>
    <w:p w14:paraId="70E0B323">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13.2 竣工验收</w:t>
      </w:r>
    </w:p>
    <w:p w14:paraId="40844FA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13.2.1竣工验收程序</w:t>
      </w:r>
    </w:p>
    <w:p w14:paraId="3BE67DF8">
      <w:pPr>
        <w:adjustRightInd w:val="0"/>
        <w:spacing w:line="500" w:lineRule="exact"/>
        <w:ind w:left="700" w:leftChars="250" w:firstLine="480" w:firstLineChars="200"/>
        <w:contextualSpacing/>
        <w:jc w:val="left"/>
        <w:rPr>
          <w:rFonts w:ascii="宋体" w:hAnsi="宋体" w:cs="仿宋"/>
          <w:sz w:val="24"/>
        </w:rPr>
      </w:pPr>
      <w:r>
        <w:rPr>
          <w:rFonts w:hint="eastAsia" w:ascii="宋体" w:hAnsi="宋体" w:cs="仿宋"/>
          <w:sz w:val="24"/>
        </w:rPr>
        <w:t>关于竣工验收程序的约定：</w:t>
      </w:r>
      <w:r>
        <w:rPr>
          <w:rFonts w:hint="eastAsia" w:ascii="宋体" w:hAnsi="宋体" w:cs="仿宋"/>
          <w:sz w:val="24"/>
          <w:u w:val="single"/>
        </w:rPr>
        <w:t>具体程序按国家规范标准实施</w:t>
      </w:r>
      <w:r>
        <w:rPr>
          <w:rFonts w:hint="eastAsia" w:ascii="宋体" w:hAnsi="宋体" w:cs="仿宋"/>
          <w:sz w:val="24"/>
        </w:rPr>
        <w:t>。</w:t>
      </w:r>
    </w:p>
    <w:p w14:paraId="18583B9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发包人不按照本项约定组织竣工验收、颁发工程接收证书的违约金的计算方法：</w:t>
      </w:r>
      <w:r>
        <w:rPr>
          <w:rFonts w:hint="eastAsia" w:ascii="宋体" w:hAnsi="宋体" w:cs="仿宋"/>
          <w:sz w:val="24"/>
          <w:u w:val="single"/>
        </w:rPr>
        <w:t xml:space="preserve">            /                    </w:t>
      </w:r>
      <w:r>
        <w:rPr>
          <w:rFonts w:hint="eastAsia" w:ascii="宋体" w:hAnsi="宋体" w:cs="仿宋"/>
          <w:sz w:val="24"/>
        </w:rPr>
        <w:t>。</w:t>
      </w:r>
    </w:p>
    <w:p w14:paraId="3A1BD65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13.2.2移交、接收全部与部分工程</w:t>
      </w:r>
    </w:p>
    <w:p w14:paraId="016D59F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承包人向发包人移交工程的期限：</w:t>
      </w:r>
      <w:r>
        <w:rPr>
          <w:rFonts w:hint="eastAsia" w:ascii="宋体" w:hAnsi="宋体" w:cs="仿宋"/>
          <w:sz w:val="24"/>
          <w:u w:val="single"/>
        </w:rPr>
        <w:t xml:space="preserve">     /       </w:t>
      </w:r>
      <w:r>
        <w:rPr>
          <w:rFonts w:hint="eastAsia" w:ascii="宋体" w:hAnsi="宋体" w:cs="仿宋"/>
          <w:sz w:val="24"/>
        </w:rPr>
        <w:t>。</w:t>
      </w:r>
    </w:p>
    <w:p w14:paraId="66451050">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发包人未按本合同约定接收全部或部分工程的，违约金的计算方法为：</w:t>
      </w:r>
      <w:r>
        <w:rPr>
          <w:rFonts w:hint="eastAsia" w:ascii="宋体" w:hAnsi="宋体" w:cs="仿宋"/>
          <w:sz w:val="24"/>
          <w:u w:val="single"/>
        </w:rPr>
        <w:t xml:space="preserve">                        /                        </w:t>
      </w:r>
      <w:r>
        <w:rPr>
          <w:rFonts w:hint="eastAsia" w:ascii="宋体" w:hAnsi="宋体" w:cs="仿宋"/>
          <w:sz w:val="24"/>
        </w:rPr>
        <w:t>。</w:t>
      </w:r>
    </w:p>
    <w:p w14:paraId="49ACB98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承包人未按时移交工程的，违约金的计算方法为：</w:t>
      </w:r>
      <w:r>
        <w:rPr>
          <w:rFonts w:hint="eastAsia" w:ascii="宋体" w:hAnsi="宋体" w:cs="仿宋"/>
          <w:sz w:val="24"/>
          <w:u w:val="single"/>
        </w:rPr>
        <w:t>因承包人原因未按时移交工程的，每延误一天，扣罚1万/天，同期工程款直接扣除</w:t>
      </w:r>
      <w:r>
        <w:rPr>
          <w:rFonts w:hint="eastAsia" w:ascii="宋体" w:hAnsi="宋体" w:cs="仿宋"/>
          <w:sz w:val="24"/>
        </w:rPr>
        <w:t>。</w:t>
      </w:r>
    </w:p>
    <w:p w14:paraId="7F27B70A">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13.3 工程试车</w:t>
      </w:r>
    </w:p>
    <w:p w14:paraId="3AE5A8D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13.3.1 试车程序</w:t>
      </w:r>
    </w:p>
    <w:p w14:paraId="188715E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工程试车内容：</w:t>
      </w:r>
      <w:r>
        <w:rPr>
          <w:rFonts w:hint="eastAsia" w:ascii="宋体" w:hAnsi="宋体" w:cs="仿宋"/>
          <w:sz w:val="24"/>
          <w:u w:val="single"/>
        </w:rPr>
        <w:t xml:space="preserve">                /                </w:t>
      </w:r>
      <w:r>
        <w:rPr>
          <w:rFonts w:hint="eastAsia" w:ascii="宋体" w:hAnsi="宋体" w:cs="仿宋"/>
          <w:sz w:val="24"/>
        </w:rPr>
        <w:t>。</w:t>
      </w:r>
    </w:p>
    <w:p w14:paraId="68DBF63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（1）单机无负荷试车费用由</w:t>
      </w:r>
      <w:r>
        <w:rPr>
          <w:rFonts w:hint="eastAsia" w:ascii="宋体" w:hAnsi="宋体" w:cs="仿宋"/>
          <w:sz w:val="24"/>
          <w:u w:val="single"/>
        </w:rPr>
        <w:t>承包人</w:t>
      </w:r>
      <w:r>
        <w:rPr>
          <w:rFonts w:hint="eastAsia" w:ascii="宋体" w:hAnsi="宋体" w:cs="仿宋"/>
          <w:sz w:val="24"/>
        </w:rPr>
        <w:t>承担；</w:t>
      </w:r>
    </w:p>
    <w:p w14:paraId="1D23DF1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（2）无负荷联动试车费用由</w:t>
      </w:r>
      <w:r>
        <w:rPr>
          <w:rFonts w:hint="eastAsia" w:ascii="宋体" w:hAnsi="宋体" w:cs="仿宋"/>
          <w:sz w:val="24"/>
          <w:u w:val="single"/>
        </w:rPr>
        <w:t>承包人</w:t>
      </w:r>
      <w:r>
        <w:rPr>
          <w:rFonts w:hint="eastAsia" w:ascii="宋体" w:hAnsi="宋体" w:cs="仿宋"/>
          <w:sz w:val="24"/>
        </w:rPr>
        <w:t>承担。</w:t>
      </w:r>
    </w:p>
    <w:p w14:paraId="0340457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13.3.2 投料试车</w:t>
      </w:r>
    </w:p>
    <w:p w14:paraId="09AF15B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关于投料试车相关事项的约定：</w:t>
      </w:r>
      <w:r>
        <w:rPr>
          <w:rFonts w:hint="eastAsia" w:ascii="宋体" w:hAnsi="宋体" w:cs="仿宋"/>
          <w:sz w:val="24"/>
          <w:u w:val="single"/>
        </w:rPr>
        <w:t xml:space="preserve">            /           </w:t>
      </w:r>
      <w:r>
        <w:rPr>
          <w:rFonts w:hint="eastAsia" w:ascii="宋体" w:hAnsi="宋体" w:cs="仿宋"/>
          <w:sz w:val="24"/>
        </w:rPr>
        <w:t>。</w:t>
      </w:r>
    </w:p>
    <w:p w14:paraId="390EED68">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13.4 竣工退场</w:t>
      </w:r>
    </w:p>
    <w:p w14:paraId="3A5FB72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13.4.1 竣工退场</w:t>
      </w:r>
    </w:p>
    <w:p w14:paraId="47EB032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承包人完成竣工退场的期限：</w:t>
      </w:r>
      <w:r>
        <w:rPr>
          <w:rFonts w:hint="eastAsia" w:ascii="宋体" w:hAnsi="宋体" w:cs="仿宋"/>
          <w:sz w:val="24"/>
          <w:u w:val="single"/>
        </w:rPr>
        <w:t>竣工验收合格后10日内</w:t>
      </w:r>
      <w:r>
        <w:rPr>
          <w:rFonts w:hint="eastAsia" w:ascii="宋体" w:hAnsi="宋体" w:cs="仿宋"/>
          <w:sz w:val="24"/>
        </w:rPr>
        <w:t>。</w:t>
      </w:r>
    </w:p>
    <w:p w14:paraId="31BEC78B">
      <w:pPr>
        <w:adjustRightInd w:val="0"/>
        <w:spacing w:line="500" w:lineRule="exact"/>
        <w:ind w:firstLine="480" w:firstLineChars="200"/>
        <w:contextualSpacing/>
        <w:rPr>
          <w:rFonts w:ascii="宋体" w:hAnsi="宋体" w:cs="仿宋"/>
          <w:sz w:val="24"/>
        </w:rPr>
      </w:pPr>
      <w:r>
        <w:rPr>
          <w:rFonts w:hint="eastAsia" w:ascii="宋体" w:hAnsi="宋体" w:cs="仿宋"/>
          <w:sz w:val="24"/>
        </w:rPr>
        <w:t>14. 竣工结算</w:t>
      </w:r>
    </w:p>
    <w:p w14:paraId="43B71B71">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14.1 竣工付款申请</w:t>
      </w:r>
    </w:p>
    <w:p w14:paraId="5166DA4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承包人提交竣工付款申请单的期限：</w:t>
      </w:r>
      <w:r>
        <w:rPr>
          <w:rFonts w:hint="eastAsia" w:ascii="宋体" w:hAnsi="宋体" w:cs="仿宋"/>
          <w:sz w:val="24"/>
          <w:u w:val="single"/>
        </w:rPr>
        <w:t>承包人应在工程竣工验收合格后28天内向发包人和监理人提交竣工结算申请单（含送审结算电子版），并提交完整的结算资料。无正当理由延期或经发包人催促14日内仍未提供或明确答复的，发包人有权根据已有资料进行结算审核，责任由承包人自负。承包人应及时提供竣工结算过程中所需补充的资料</w:t>
      </w:r>
      <w:r>
        <w:rPr>
          <w:rFonts w:hint="eastAsia" w:ascii="宋体" w:hAnsi="宋体" w:cs="仿宋"/>
          <w:sz w:val="24"/>
        </w:rPr>
        <w:t>。</w:t>
      </w:r>
    </w:p>
    <w:p w14:paraId="00F1739D">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竣工付款申请单应包括的内容：</w:t>
      </w:r>
      <w:r>
        <w:rPr>
          <w:rFonts w:hint="eastAsia" w:ascii="宋体" w:hAnsi="宋体" w:cs="仿宋"/>
          <w:sz w:val="24"/>
          <w:u w:val="single"/>
        </w:rPr>
        <w:t xml:space="preserve">         /           </w:t>
      </w:r>
      <w:r>
        <w:rPr>
          <w:rFonts w:hint="eastAsia" w:ascii="宋体" w:hAnsi="宋体" w:cs="仿宋"/>
          <w:sz w:val="24"/>
        </w:rPr>
        <w:t>。</w:t>
      </w:r>
    </w:p>
    <w:p w14:paraId="5C17EA7C">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14.2 竣工结算审核</w:t>
      </w:r>
    </w:p>
    <w:p w14:paraId="40DBE03F">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发包人审批竣工付款申请单的期限：</w:t>
      </w:r>
      <w:r>
        <w:rPr>
          <w:rFonts w:hint="eastAsia" w:ascii="宋体" w:hAnsi="宋体" w:cs="仿宋"/>
          <w:sz w:val="24"/>
          <w:u w:val="single"/>
        </w:rPr>
        <w:t xml:space="preserve">         /          。</w:t>
      </w:r>
    </w:p>
    <w:p w14:paraId="4426D04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发包人完成竣工付款的期限：</w:t>
      </w:r>
      <w:r>
        <w:rPr>
          <w:rFonts w:hint="eastAsia" w:ascii="宋体" w:hAnsi="宋体" w:cs="仿宋"/>
          <w:sz w:val="24"/>
          <w:u w:val="single"/>
        </w:rPr>
        <w:t xml:space="preserve">             /             </w:t>
      </w:r>
      <w:r>
        <w:rPr>
          <w:rFonts w:hint="eastAsia" w:ascii="宋体" w:hAnsi="宋体" w:cs="仿宋"/>
          <w:sz w:val="24"/>
        </w:rPr>
        <w:t>。</w:t>
      </w:r>
    </w:p>
    <w:p w14:paraId="6E6929D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关于竣工付款证书异议部分复核的方式和程序：</w:t>
      </w:r>
      <w:r>
        <w:rPr>
          <w:rFonts w:hint="eastAsia" w:ascii="宋体" w:hAnsi="宋体" w:cs="仿宋"/>
          <w:sz w:val="24"/>
          <w:u w:val="single"/>
        </w:rPr>
        <w:t xml:space="preserve">    /          </w:t>
      </w:r>
      <w:r>
        <w:rPr>
          <w:rFonts w:hint="eastAsia" w:ascii="宋体" w:hAnsi="宋体" w:cs="仿宋"/>
          <w:sz w:val="24"/>
        </w:rPr>
        <w:t>。</w:t>
      </w:r>
    </w:p>
    <w:p w14:paraId="5650D390">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14.3 最终结清</w:t>
      </w:r>
    </w:p>
    <w:p w14:paraId="448996A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14.3.1 最终结清申请单</w:t>
      </w:r>
    </w:p>
    <w:p w14:paraId="3C237E8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承包人提交最终结清申请单的份数：</w:t>
      </w:r>
      <w:r>
        <w:rPr>
          <w:rFonts w:hint="eastAsia" w:ascii="宋体" w:hAnsi="宋体" w:cs="仿宋"/>
          <w:sz w:val="24"/>
          <w:u w:val="single"/>
        </w:rPr>
        <w:t>4份</w:t>
      </w:r>
      <w:r>
        <w:rPr>
          <w:rFonts w:hint="eastAsia" w:ascii="宋体" w:hAnsi="宋体" w:cs="仿宋"/>
          <w:sz w:val="24"/>
        </w:rPr>
        <w:t>。</w:t>
      </w:r>
    </w:p>
    <w:p w14:paraId="758DF0E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承包人提交最终结算申请单的期限：</w:t>
      </w:r>
      <w:r>
        <w:rPr>
          <w:rFonts w:hint="eastAsia" w:ascii="宋体" w:hAnsi="宋体" w:cs="仿宋"/>
          <w:sz w:val="24"/>
          <w:u w:val="single"/>
        </w:rPr>
        <w:t>审计定案完成14日内</w:t>
      </w:r>
      <w:r>
        <w:rPr>
          <w:rFonts w:hint="eastAsia" w:ascii="宋体" w:hAnsi="宋体" w:cs="仿宋"/>
          <w:sz w:val="24"/>
        </w:rPr>
        <w:t>。</w:t>
      </w:r>
    </w:p>
    <w:p w14:paraId="0B1112D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14.3.2 最终结清证书和支付</w:t>
      </w:r>
    </w:p>
    <w:p w14:paraId="2DFC50F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（1）发包人完成最终结清申请单的审批并颁发最终结清证书的期限：</w:t>
      </w:r>
      <w:r>
        <w:rPr>
          <w:rFonts w:hint="eastAsia" w:ascii="宋体" w:hAnsi="宋体" w:cs="仿宋"/>
          <w:sz w:val="24"/>
          <w:u w:val="single"/>
        </w:rPr>
        <w:t xml:space="preserve"> /                       </w:t>
      </w:r>
      <w:r>
        <w:rPr>
          <w:rFonts w:hint="eastAsia" w:ascii="宋体" w:hAnsi="宋体" w:cs="仿宋"/>
          <w:sz w:val="24"/>
        </w:rPr>
        <w:t>。</w:t>
      </w:r>
    </w:p>
    <w:p w14:paraId="2C4814D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（2）发包人完成支付的期限：</w:t>
      </w:r>
      <w:r>
        <w:rPr>
          <w:rFonts w:hint="eastAsia" w:ascii="宋体" w:hAnsi="宋体" w:cs="仿宋"/>
          <w:sz w:val="24"/>
          <w:u w:val="single"/>
        </w:rPr>
        <w:t xml:space="preserve">                /         </w:t>
      </w:r>
      <w:r>
        <w:rPr>
          <w:rFonts w:hint="eastAsia" w:ascii="宋体" w:hAnsi="宋体" w:cs="仿宋"/>
          <w:sz w:val="24"/>
        </w:rPr>
        <w:t>。</w:t>
      </w:r>
    </w:p>
    <w:p w14:paraId="6D08C4D3">
      <w:pPr>
        <w:adjustRightInd w:val="0"/>
        <w:spacing w:line="500" w:lineRule="exact"/>
        <w:ind w:firstLine="480" w:firstLineChars="200"/>
        <w:contextualSpacing/>
        <w:rPr>
          <w:rFonts w:ascii="宋体" w:hAnsi="宋体" w:cs="仿宋"/>
          <w:sz w:val="24"/>
        </w:rPr>
      </w:pPr>
      <w:r>
        <w:rPr>
          <w:rFonts w:hint="eastAsia" w:ascii="宋体" w:hAnsi="宋体" w:cs="仿宋"/>
          <w:sz w:val="24"/>
        </w:rPr>
        <w:t>15. 缺陷责任期与保修</w:t>
      </w:r>
    </w:p>
    <w:p w14:paraId="6BA5DF92">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15.1缺陷责任期</w:t>
      </w:r>
    </w:p>
    <w:p w14:paraId="66B8739D">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缺陷责任期的具体期限：</w:t>
      </w:r>
      <w:r>
        <w:rPr>
          <w:rFonts w:hint="eastAsia" w:ascii="宋体" w:hAnsi="宋体" w:cs="仿宋"/>
          <w:sz w:val="24"/>
          <w:u w:val="single"/>
        </w:rPr>
        <w:t>以工程质量保修书约定为准</w:t>
      </w:r>
      <w:r>
        <w:rPr>
          <w:rFonts w:hint="eastAsia" w:ascii="宋体" w:hAnsi="宋体" w:cs="仿宋"/>
          <w:sz w:val="24"/>
        </w:rPr>
        <w:t>。</w:t>
      </w:r>
    </w:p>
    <w:p w14:paraId="11FCB4BE">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15.2 质量保证金</w:t>
      </w:r>
    </w:p>
    <w:p w14:paraId="495156B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关于是否扣留质量保证金的约定：</w:t>
      </w:r>
      <w:r>
        <w:rPr>
          <w:rFonts w:hint="eastAsia" w:ascii="宋体" w:hAnsi="宋体" w:cs="仿宋"/>
          <w:sz w:val="24"/>
          <w:u w:val="single"/>
        </w:rPr>
        <w:t>是</w:t>
      </w:r>
      <w:r>
        <w:rPr>
          <w:rFonts w:hint="eastAsia" w:ascii="宋体" w:hAnsi="宋体" w:cs="仿宋"/>
          <w:sz w:val="24"/>
        </w:rPr>
        <w:t>。</w:t>
      </w:r>
    </w:p>
    <w:p w14:paraId="7817A6D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15.2.1 承包人提供质量保证金的方式</w:t>
      </w:r>
    </w:p>
    <w:p w14:paraId="1E602B7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质量保证金采用以下第</w:t>
      </w:r>
      <w:r>
        <w:rPr>
          <w:rFonts w:hint="eastAsia" w:ascii="宋体" w:hAnsi="宋体" w:cs="仿宋"/>
          <w:sz w:val="24"/>
          <w:u w:val="single"/>
        </w:rPr>
        <w:t>（2）</w:t>
      </w:r>
      <w:r>
        <w:rPr>
          <w:rFonts w:hint="eastAsia" w:ascii="宋体" w:hAnsi="宋体" w:cs="仿宋"/>
          <w:sz w:val="24"/>
        </w:rPr>
        <w:t>种方式：</w:t>
      </w:r>
    </w:p>
    <w:p w14:paraId="4768C6C2">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（1）质量保证金保函，保证金额为：。</w:t>
      </w:r>
    </w:p>
    <w:p w14:paraId="07E79EA8">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w:t>
      </w:r>
      <w:r>
        <w:rPr>
          <w:rFonts w:hint="eastAsia" w:ascii="宋体" w:hAnsi="宋体" w:cs="仿宋"/>
          <w:sz w:val="24"/>
          <w:u w:val="single"/>
        </w:rPr>
        <w:t>3</w:t>
      </w:r>
      <w:r>
        <w:rPr>
          <w:rFonts w:hint="eastAsia" w:ascii="宋体" w:hAnsi="宋体" w:cs="仿宋"/>
          <w:sz w:val="24"/>
        </w:rPr>
        <w:t>%的工程款。</w:t>
      </w:r>
    </w:p>
    <w:p w14:paraId="7795305E">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（3）其他方式:</w:t>
      </w:r>
      <w:r>
        <w:rPr>
          <w:rFonts w:hint="eastAsia" w:ascii="宋体" w:hAnsi="宋体" w:cs="仿宋"/>
          <w:sz w:val="24"/>
          <w:u w:val="single"/>
        </w:rPr>
        <w:t xml:space="preserve">       /   </w:t>
      </w:r>
      <w:r>
        <w:rPr>
          <w:rFonts w:hint="eastAsia" w:ascii="宋体" w:hAnsi="宋体" w:cs="仿宋"/>
          <w:sz w:val="24"/>
        </w:rPr>
        <w:t>。</w:t>
      </w:r>
    </w:p>
    <w:p w14:paraId="424AD90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15.2.2 质量保证金的扣留</w:t>
      </w:r>
    </w:p>
    <w:p w14:paraId="36F1AAF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质量保证金的扣留采取以下第</w:t>
      </w:r>
      <w:r>
        <w:rPr>
          <w:rFonts w:hint="eastAsia" w:ascii="宋体" w:hAnsi="宋体" w:cs="仿宋"/>
          <w:sz w:val="24"/>
          <w:u w:val="single"/>
        </w:rPr>
        <w:t>（2）</w:t>
      </w:r>
      <w:r>
        <w:rPr>
          <w:rFonts w:hint="eastAsia" w:ascii="宋体" w:hAnsi="宋体" w:cs="仿宋"/>
          <w:sz w:val="24"/>
        </w:rPr>
        <w:t>种方式：</w:t>
      </w:r>
    </w:p>
    <w:p w14:paraId="57DB0FD1">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（1）在支付工程进度款时逐次扣留，在此情形下，质量保证金的计算基数不包括预付款的支付、扣回以及价格调整的金额。</w:t>
      </w:r>
    </w:p>
    <w:p w14:paraId="653CA89A">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（2）工程竣工结算时一次性扣留质量保证金。</w:t>
      </w:r>
    </w:p>
    <w:p w14:paraId="4C8FFED8">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（3）其他扣留方式:</w:t>
      </w:r>
      <w:r>
        <w:rPr>
          <w:rFonts w:hint="eastAsia" w:ascii="宋体" w:hAnsi="宋体" w:cs="仿宋"/>
          <w:sz w:val="24"/>
          <w:u w:val="single"/>
        </w:rPr>
        <w:t xml:space="preserve">                  /                  </w:t>
      </w:r>
      <w:r>
        <w:rPr>
          <w:rFonts w:hint="eastAsia" w:ascii="宋体" w:hAnsi="宋体" w:cs="仿宋"/>
          <w:sz w:val="24"/>
        </w:rPr>
        <w:t>。</w:t>
      </w:r>
    </w:p>
    <w:p w14:paraId="26B600F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关于质量保证金的补充约定：</w:t>
      </w:r>
      <w:r>
        <w:rPr>
          <w:rFonts w:hint="eastAsia" w:ascii="宋体" w:hAnsi="宋体" w:cs="仿宋"/>
          <w:sz w:val="24"/>
          <w:u w:val="single"/>
        </w:rPr>
        <w:t xml:space="preserve">           /               </w:t>
      </w:r>
      <w:r>
        <w:rPr>
          <w:rFonts w:hint="eastAsia" w:ascii="宋体" w:hAnsi="宋体" w:cs="仿宋"/>
          <w:sz w:val="24"/>
        </w:rPr>
        <w:t>。</w:t>
      </w:r>
    </w:p>
    <w:p w14:paraId="1B7DD7F8">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15.3保修</w:t>
      </w:r>
    </w:p>
    <w:p w14:paraId="0D2EE0E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15.3.1 保修责任</w:t>
      </w:r>
    </w:p>
    <w:p w14:paraId="602C4BA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工程保修期为：</w:t>
      </w:r>
      <w:r>
        <w:rPr>
          <w:rFonts w:hint="eastAsia" w:ascii="宋体" w:hAnsi="宋体" w:cs="仿宋"/>
          <w:sz w:val="24"/>
          <w:u w:val="single"/>
        </w:rPr>
        <w:t>以工程质量保修书约定为准</w:t>
      </w:r>
      <w:r>
        <w:rPr>
          <w:rFonts w:hint="eastAsia" w:ascii="宋体" w:hAnsi="宋体" w:cs="仿宋"/>
          <w:sz w:val="24"/>
        </w:rPr>
        <w:t>。</w:t>
      </w:r>
    </w:p>
    <w:p w14:paraId="776A57A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15.3.2 修复通知</w:t>
      </w:r>
    </w:p>
    <w:p w14:paraId="76B0C64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承包人收到保修通知并到达工程现场的合理时间：</w:t>
      </w:r>
      <w:r>
        <w:rPr>
          <w:rFonts w:hint="eastAsia" w:ascii="宋体" w:hAnsi="宋体" w:cs="仿宋"/>
          <w:sz w:val="24"/>
          <w:u w:val="single"/>
        </w:rPr>
        <w:t>24小时</w:t>
      </w:r>
      <w:r>
        <w:rPr>
          <w:rFonts w:hint="eastAsia" w:ascii="宋体" w:hAnsi="宋体" w:cs="仿宋"/>
          <w:sz w:val="24"/>
        </w:rPr>
        <w:t>。</w:t>
      </w:r>
    </w:p>
    <w:p w14:paraId="23C243E8">
      <w:pPr>
        <w:adjustRightInd w:val="0"/>
        <w:spacing w:line="500" w:lineRule="exact"/>
        <w:ind w:firstLine="480" w:firstLineChars="200"/>
        <w:contextualSpacing/>
        <w:rPr>
          <w:rFonts w:ascii="宋体" w:hAnsi="宋体" w:cs="仿宋"/>
          <w:sz w:val="24"/>
        </w:rPr>
      </w:pPr>
      <w:r>
        <w:rPr>
          <w:rFonts w:hint="eastAsia" w:ascii="宋体" w:hAnsi="宋体" w:cs="仿宋"/>
          <w:sz w:val="24"/>
        </w:rPr>
        <w:t>16. 违约</w:t>
      </w:r>
    </w:p>
    <w:p w14:paraId="42484615">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16.1 发包人违约</w:t>
      </w:r>
    </w:p>
    <w:p w14:paraId="6181990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16.1.1发包人违约的情形</w:t>
      </w:r>
    </w:p>
    <w:p w14:paraId="3947892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发包人违约的其他情形：</w:t>
      </w:r>
      <w:r>
        <w:rPr>
          <w:rFonts w:hint="eastAsia" w:ascii="宋体" w:hAnsi="宋体" w:cs="仿宋"/>
          <w:sz w:val="24"/>
          <w:u w:val="single"/>
        </w:rPr>
        <w:t xml:space="preserve">            /                  </w:t>
      </w:r>
      <w:r>
        <w:rPr>
          <w:rFonts w:hint="eastAsia" w:ascii="宋体" w:hAnsi="宋体" w:cs="仿宋"/>
          <w:sz w:val="24"/>
        </w:rPr>
        <w:t>。</w:t>
      </w:r>
    </w:p>
    <w:p w14:paraId="719406D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 xml:space="preserve">    16.1.2 发包人违约的责任</w:t>
      </w:r>
    </w:p>
    <w:p w14:paraId="1B65043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发包人违约责任的承担方式和计算方法：</w:t>
      </w:r>
    </w:p>
    <w:p w14:paraId="6F5852B1">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（1）因发包人原因未能在计划开工日期前7天内下达开工通知的违约责任：</w:t>
      </w:r>
      <w:r>
        <w:rPr>
          <w:rFonts w:hint="eastAsia" w:ascii="宋体" w:hAnsi="宋体" w:cs="仿宋"/>
          <w:sz w:val="24"/>
          <w:u w:val="single"/>
        </w:rPr>
        <w:t xml:space="preserve">   /  </w:t>
      </w:r>
      <w:r>
        <w:rPr>
          <w:rFonts w:hint="eastAsia" w:ascii="宋体" w:hAnsi="宋体" w:cs="仿宋"/>
          <w:sz w:val="24"/>
        </w:rPr>
        <w:t>。</w:t>
      </w:r>
    </w:p>
    <w:p w14:paraId="0DC1BCB0">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（2）因发包人原因未能按合同约定支付合同价款的违约责任：</w:t>
      </w:r>
      <w:r>
        <w:rPr>
          <w:rFonts w:hint="eastAsia" w:ascii="宋体" w:hAnsi="宋体" w:cs="仿宋"/>
          <w:sz w:val="24"/>
          <w:u w:val="single"/>
        </w:rPr>
        <w:t xml:space="preserve">   /    </w:t>
      </w:r>
      <w:r>
        <w:rPr>
          <w:rFonts w:hint="eastAsia" w:ascii="宋体" w:hAnsi="宋体" w:cs="仿宋"/>
          <w:sz w:val="24"/>
        </w:rPr>
        <w:t>。</w:t>
      </w:r>
    </w:p>
    <w:p w14:paraId="6FE1C48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（3）发包人违反第10.1款〔变更的范围〕第（2）项约定，自行实施被取消的工作或转由他人实施的违约责任：</w:t>
      </w:r>
      <w:r>
        <w:rPr>
          <w:rFonts w:hint="eastAsia" w:ascii="宋体" w:hAnsi="宋体" w:cs="仿宋"/>
          <w:sz w:val="24"/>
          <w:u w:val="single"/>
        </w:rPr>
        <w:t xml:space="preserve">     /    </w:t>
      </w:r>
      <w:r>
        <w:rPr>
          <w:rFonts w:hint="eastAsia" w:ascii="宋体" w:hAnsi="宋体" w:cs="仿宋"/>
          <w:sz w:val="24"/>
        </w:rPr>
        <w:t>。</w:t>
      </w:r>
    </w:p>
    <w:p w14:paraId="6622CC0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（4）发包人提供的材料、工程设备的规格、数量或质量不符合合同约定，或因发包人原因导致交货日期延误或交货地点变更等情况的违约责任：</w:t>
      </w:r>
      <w:r>
        <w:rPr>
          <w:rFonts w:hint="eastAsia" w:ascii="宋体" w:hAnsi="宋体" w:cs="仿宋"/>
          <w:sz w:val="24"/>
          <w:u w:val="single"/>
        </w:rPr>
        <w:t xml:space="preserve">     /   </w:t>
      </w:r>
      <w:r>
        <w:rPr>
          <w:rFonts w:hint="eastAsia" w:ascii="宋体" w:hAnsi="宋体" w:cs="仿宋"/>
          <w:sz w:val="24"/>
        </w:rPr>
        <w:t>。</w:t>
      </w:r>
    </w:p>
    <w:p w14:paraId="2D714AD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（5）因发包人违反合同约定造成暂停施工的违约责任：</w:t>
      </w:r>
      <w:r>
        <w:rPr>
          <w:rFonts w:hint="eastAsia" w:ascii="宋体" w:hAnsi="宋体" w:cs="仿宋"/>
          <w:sz w:val="24"/>
          <w:u w:val="single"/>
        </w:rPr>
        <w:t xml:space="preserve">   /   </w:t>
      </w:r>
      <w:r>
        <w:rPr>
          <w:rFonts w:hint="eastAsia" w:ascii="宋体" w:hAnsi="宋体" w:cs="仿宋"/>
          <w:sz w:val="24"/>
        </w:rPr>
        <w:t>。</w:t>
      </w:r>
    </w:p>
    <w:p w14:paraId="4C1369B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（6）发包人无正当理由没有在约定期限内发出复工指示，导致承包人无法复工的违约责任：</w:t>
      </w:r>
      <w:r>
        <w:rPr>
          <w:rFonts w:hint="eastAsia" w:ascii="宋体" w:hAnsi="宋体" w:cs="仿宋"/>
          <w:sz w:val="24"/>
          <w:u w:val="single"/>
        </w:rPr>
        <w:t xml:space="preserve">    /        </w:t>
      </w:r>
      <w:r>
        <w:rPr>
          <w:rFonts w:hint="eastAsia" w:ascii="宋体" w:hAnsi="宋体" w:cs="仿宋"/>
          <w:sz w:val="24"/>
        </w:rPr>
        <w:t>。</w:t>
      </w:r>
    </w:p>
    <w:p w14:paraId="4B7169A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（7）其他：</w:t>
      </w:r>
      <w:r>
        <w:rPr>
          <w:rFonts w:hint="eastAsia" w:ascii="宋体" w:hAnsi="宋体" w:cs="仿宋"/>
          <w:sz w:val="24"/>
          <w:u w:val="single"/>
        </w:rPr>
        <w:t xml:space="preserve">                  /                      </w:t>
      </w:r>
      <w:r>
        <w:rPr>
          <w:rFonts w:hint="eastAsia" w:ascii="宋体" w:hAnsi="宋体" w:cs="仿宋"/>
          <w:sz w:val="24"/>
        </w:rPr>
        <w:t>。</w:t>
      </w:r>
    </w:p>
    <w:p w14:paraId="08A506D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16.1.3 因发包人违约解除合同</w:t>
      </w:r>
    </w:p>
    <w:p w14:paraId="564E4970">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承包人按16.1.1项〔发包人违约的情形〕约定暂停施工满</w:t>
      </w:r>
      <w:r>
        <w:rPr>
          <w:rFonts w:hint="eastAsia" w:ascii="宋体" w:hAnsi="宋体" w:cs="仿宋"/>
          <w:sz w:val="24"/>
          <w:u w:val="single"/>
        </w:rPr>
        <w:t xml:space="preserve">  / </w:t>
      </w:r>
      <w:r>
        <w:rPr>
          <w:rFonts w:hint="eastAsia" w:ascii="宋体" w:hAnsi="宋体" w:cs="仿宋"/>
          <w:sz w:val="24"/>
        </w:rPr>
        <w:t>天后发包人仍不纠正其违约行为并致使合同目的不能实现的，承包人有权解除合同。</w:t>
      </w:r>
    </w:p>
    <w:p w14:paraId="1E193FFA">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16.2 承包人违约</w:t>
      </w:r>
    </w:p>
    <w:p w14:paraId="092F8D2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16.2.1 承包人违约的情形</w:t>
      </w:r>
    </w:p>
    <w:p w14:paraId="27ACB1F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承包人违约的其他情形：</w:t>
      </w:r>
      <w:r>
        <w:rPr>
          <w:rFonts w:hint="eastAsia" w:ascii="宋体" w:hAnsi="宋体" w:cs="仿宋"/>
          <w:sz w:val="24"/>
          <w:u w:val="single"/>
        </w:rPr>
        <w:t xml:space="preserve">           /                 </w:t>
      </w:r>
      <w:r>
        <w:rPr>
          <w:rFonts w:hint="eastAsia" w:ascii="宋体" w:hAnsi="宋体" w:cs="仿宋"/>
          <w:sz w:val="24"/>
        </w:rPr>
        <w:t>。</w:t>
      </w:r>
    </w:p>
    <w:p w14:paraId="4D16515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16.2.2承包人违约的责任</w:t>
      </w:r>
    </w:p>
    <w:p w14:paraId="2A919EF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承包人违约责任的承担方式和计算方法：</w:t>
      </w:r>
    </w:p>
    <w:p w14:paraId="27BC7CA8">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1）承包人违反合同约定进行转包或违法分包的：发包人有权将该工程指令分包或另择其他单位施工，其发生的费用由承包人承担。发包人有权扣罚全部履约保证金，并向有关行政主管部门通报有关情况，由行政主管部门进行处罚。</w:t>
      </w:r>
    </w:p>
    <w:p w14:paraId="7F5D929A">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承包人违反合同约定采购和使用不合格的材料和工程设备的：由承包人根据监理人、发包人及设计要求重新采购合格的材料和工程设备，由此引起的损失由承包人承担，由此引起的工期延误按第（5）条执行。</w:t>
      </w:r>
    </w:p>
    <w:p w14:paraId="304DFD8D">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3）因承包人原因导致工程质量不符合合同要求的：发包人、监理人随时检查工程质量，若发现不符合相关质量验收评定标准及施工规范，每次将扣罚施工质量履约保证金的10%，待竣工验收时，质量未达到招标文件要求或无法通过竣工验收的，承包人负责返修，直至达到要求，并扣罚全部施工质量履约保证金，且发包人保留采取其他制约措施的权利。</w:t>
      </w:r>
    </w:p>
    <w:p w14:paraId="77C81A9B">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（4）承包人违反通用条款第8.9 款[材料与设备专用要求]的约定，未经批准，私自将已按照合同约定进入施工现场的材料或设备撤离施工现场的：造成工程损失的由承包人承担，造成工期延误的按（5）执行，相应违约金从履约保证金中扣除。</w:t>
      </w:r>
    </w:p>
    <w:p w14:paraId="1FB50FE0">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5）承包人未能按施工进度计划及时完成合同约定的工作，造成工期延误的：每延误一天，缴纳违约金1万元/天。发包人按施工进度计划检查，确定承包人不能按期完成，也无能力采取措施完成的，发包人有权将该工程指定其它单位施工，其发生费用由承包人承担。发包人有权扣除全部工期履约保证金，并向有关行政主管部门通报有关情况，由行政主管部门进行处罚。</w:t>
      </w:r>
    </w:p>
    <w:p w14:paraId="6B9503BE">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6）承包人在缺陷责任期及保修期内，未能在合理期限对工程缺陷进行修复，或拒绝发包人要求进行修复的：发包人有权将该工程指定其也单位施工，其发生费用由承包人承担。发包人将向有关行政管理部门通报有关情况，由行政管理部门进行处罚，相应违约金从履约保证金中扣除。</w:t>
      </w:r>
    </w:p>
    <w:p w14:paraId="0D11188E">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7）承包人明确表示或者以其行为表明不履行合同主要义务的：发包人有权将该工程指定其它单位施工，其发生费用由承包人承担。发包人有权扣罚全部履约保证金，并向有关行政主管部门通报有关情况，由行政主管部门进行处罚。</w:t>
      </w:r>
    </w:p>
    <w:p w14:paraId="5A8D9547">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（8）承包人未能按照合同约定履行其他义务的：扣罚其它履约保证金。</w:t>
      </w:r>
    </w:p>
    <w:p w14:paraId="34A20415">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（9）承包人未能按时上报工程结算报告的，每逾期一天扣罚1000元（工程结算上报及时率履约保证金为扣罚上限，在结算款中扣除，发包人原因导致结算上报延缓的除外）。</w:t>
      </w:r>
    </w:p>
    <w:p w14:paraId="71E9A21D">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10）在签订本施工合同时，发包人、承包人将签订《安全文明施工责任书》，发包人将不定期地进行安全、文明施工及扬尘控制检查，若被发包人发现有违约现象，每发生一次将由监理单位直接扣罚承包人现金5000元整，同时承包人无条件即时进行整改，若未及时按要求进行整改的，加倍扣罚；后期施工过程中若能做到有效改善的罚款予以退还。若有被建设行政主管部门、质量安全监督部门或其它监管部门抄告、通报批评、处罚等情况或被新闻媒体曝光等，每发生一次扣罚安全文明履约保证金50000元整，同时无条件即时进行整改，若未及时按要求进行整改的，加倍扣罚；若被发包人扣罚安全文明履约保证金累计超过三次以上（含三次）且整改态度不端正的，发包人有权将该工程指令分包或另择其他单位施工，其发生的费用由承包人承担，同时根据情况扣罚部分或全部安全文明履约保证金。</w:t>
      </w:r>
    </w:p>
    <w:p w14:paraId="55640F2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u w:val="single"/>
        </w:rPr>
        <w:t>（11）从工程开工起到工程移交止，安排专人配合发包人处理工程范围内所有投诉、在工程开工至移交前数字城管及时解决率达到98%以上，解决率100%。承包单位须在相关数字城管投诉要求期间内完成相关整改内容，费用由承包人自行承担，未在规定时间内整改的，每次扣罚安全文明履约保证金的15%</w:t>
      </w:r>
      <w:r>
        <w:rPr>
          <w:rFonts w:hint="eastAsia" w:ascii="宋体" w:hAnsi="宋体" w:cs="仿宋"/>
          <w:sz w:val="24"/>
        </w:rPr>
        <w:t>。</w:t>
      </w:r>
    </w:p>
    <w:p w14:paraId="6A4BB321">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（12）当对应部分履约保证金全部扣减，承包人违约扣款将从工程进度款中抵扣。</w:t>
      </w:r>
    </w:p>
    <w:p w14:paraId="1E34CA0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16.2.3 因承包人违约解除合同</w:t>
      </w:r>
    </w:p>
    <w:p w14:paraId="7580DBB2">
      <w:pPr>
        <w:adjustRightInd w:val="0"/>
        <w:spacing w:line="500" w:lineRule="exact"/>
        <w:ind w:firstLine="480" w:firstLineChars="200"/>
        <w:contextualSpacing/>
        <w:rPr>
          <w:rFonts w:ascii="宋体" w:hAnsi="宋体" w:cs="仿宋"/>
          <w:sz w:val="24"/>
        </w:rPr>
      </w:pPr>
      <w:r>
        <w:rPr>
          <w:rFonts w:hint="eastAsia" w:ascii="宋体" w:hAnsi="宋体" w:cs="仿宋"/>
          <w:sz w:val="24"/>
        </w:rPr>
        <w:t>关于承包人违约解除合同的特别约定：</w:t>
      </w:r>
      <w:r>
        <w:rPr>
          <w:rFonts w:hint="eastAsia" w:ascii="宋体" w:hAnsi="宋体" w:cs="仿宋"/>
          <w:sz w:val="24"/>
          <w:u w:val="single"/>
        </w:rPr>
        <w:t>因承包人原因中止或终止履行合同的，发包人扣除全部履约保证金，并就额外的损失保留索赔权利</w:t>
      </w:r>
      <w:r>
        <w:rPr>
          <w:rFonts w:hint="eastAsia" w:ascii="宋体" w:hAnsi="宋体" w:cs="仿宋"/>
          <w:sz w:val="24"/>
        </w:rPr>
        <w:t>。</w:t>
      </w:r>
    </w:p>
    <w:p w14:paraId="13A0B7C8">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发包人继续使用承包人在施工现场的材料、设备、临时工程、承包人文件和由承包人或以其名义编制的其他文件的费用承担方式：</w:t>
      </w:r>
      <w:r>
        <w:rPr>
          <w:rFonts w:hint="eastAsia" w:ascii="宋体" w:hAnsi="宋体" w:cs="仿宋"/>
          <w:sz w:val="24"/>
          <w:u w:val="single"/>
        </w:rPr>
        <w:t>由承包人承担</w:t>
      </w:r>
      <w:r>
        <w:rPr>
          <w:rFonts w:hint="eastAsia" w:ascii="宋体" w:hAnsi="宋体" w:cs="仿宋"/>
          <w:sz w:val="24"/>
        </w:rPr>
        <w:t>。</w:t>
      </w:r>
    </w:p>
    <w:p w14:paraId="3D3E7798">
      <w:pPr>
        <w:adjustRightInd w:val="0"/>
        <w:spacing w:line="500" w:lineRule="exact"/>
        <w:ind w:firstLine="480" w:firstLineChars="200"/>
        <w:contextualSpacing/>
        <w:rPr>
          <w:rFonts w:ascii="宋体" w:hAnsi="宋体" w:cs="仿宋"/>
          <w:sz w:val="24"/>
        </w:rPr>
      </w:pPr>
      <w:r>
        <w:rPr>
          <w:rFonts w:hint="eastAsia" w:ascii="宋体" w:hAnsi="宋体" w:cs="仿宋"/>
          <w:sz w:val="24"/>
        </w:rPr>
        <w:t>17. 不可抗力</w:t>
      </w:r>
    </w:p>
    <w:p w14:paraId="0A3794DA">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17.1 不可抗力的确认</w:t>
      </w:r>
    </w:p>
    <w:p w14:paraId="4C43730C">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除通用合同条款约定的不可抗力事件之外，视为不可抗力的其他情形：</w:t>
      </w:r>
      <w:r>
        <w:rPr>
          <w:rFonts w:hint="eastAsia" w:ascii="宋体" w:hAnsi="宋体" w:cs="仿宋"/>
          <w:sz w:val="24"/>
          <w:u w:val="single"/>
        </w:rPr>
        <w:t xml:space="preserve">                         /                      </w:t>
      </w:r>
      <w:r>
        <w:rPr>
          <w:rFonts w:hint="eastAsia" w:ascii="宋体" w:hAnsi="宋体" w:cs="仿宋"/>
          <w:sz w:val="24"/>
        </w:rPr>
        <w:t>。</w:t>
      </w:r>
    </w:p>
    <w:p w14:paraId="119C4C22">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17.2 因不可抗力解除合同</w:t>
      </w:r>
    </w:p>
    <w:p w14:paraId="0374781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合同解除后，发包人应在商定或确定发包人应支付款项后</w:t>
      </w:r>
      <w:r>
        <w:rPr>
          <w:rFonts w:hint="eastAsia" w:ascii="宋体" w:hAnsi="宋体" w:cs="仿宋"/>
          <w:sz w:val="24"/>
          <w:u w:val="single"/>
        </w:rPr>
        <w:t>28</w:t>
      </w:r>
      <w:r>
        <w:rPr>
          <w:rFonts w:hint="eastAsia" w:ascii="宋体" w:hAnsi="宋体" w:cs="仿宋"/>
          <w:sz w:val="24"/>
        </w:rPr>
        <w:t>天内完成款项的支付。</w:t>
      </w:r>
    </w:p>
    <w:p w14:paraId="63F1AF89">
      <w:pPr>
        <w:adjustRightInd w:val="0"/>
        <w:spacing w:line="500" w:lineRule="exact"/>
        <w:ind w:firstLine="480" w:firstLineChars="200"/>
        <w:contextualSpacing/>
        <w:rPr>
          <w:rFonts w:ascii="宋体" w:hAnsi="宋体" w:cs="仿宋"/>
          <w:sz w:val="24"/>
        </w:rPr>
      </w:pPr>
      <w:r>
        <w:rPr>
          <w:rFonts w:hint="eastAsia" w:ascii="宋体" w:hAnsi="宋体" w:cs="仿宋"/>
          <w:sz w:val="24"/>
        </w:rPr>
        <w:t>18. 保险</w:t>
      </w:r>
    </w:p>
    <w:p w14:paraId="14E9FECE">
      <w:pPr>
        <w:adjustRightInd w:val="0"/>
        <w:spacing w:line="500" w:lineRule="exact"/>
        <w:ind w:firstLine="480" w:firstLineChars="200"/>
        <w:contextualSpacing/>
        <w:rPr>
          <w:rFonts w:ascii="宋体" w:hAnsi="宋体" w:cs="仿宋"/>
          <w:bCs/>
          <w:sz w:val="24"/>
        </w:rPr>
      </w:pPr>
      <w:r>
        <w:rPr>
          <w:rFonts w:ascii="宋体" w:hAnsi="宋体" w:cs="仿宋"/>
          <w:bCs/>
          <w:sz w:val="24"/>
        </w:rPr>
        <w:t xml:space="preserve">18.1 </w:t>
      </w:r>
      <w:r>
        <w:rPr>
          <w:rFonts w:hint="eastAsia" w:ascii="宋体" w:hAnsi="宋体" w:cs="仿宋"/>
          <w:bCs/>
          <w:sz w:val="24"/>
        </w:rPr>
        <w:t>工程保险</w:t>
      </w:r>
    </w:p>
    <w:p w14:paraId="5589B4A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关于工程保险的特别约定：</w:t>
      </w:r>
      <w:r>
        <w:rPr>
          <w:rFonts w:ascii="宋体" w:hAnsi="宋体" w:cs="仿宋"/>
          <w:sz w:val="24"/>
          <w:u w:val="single"/>
        </w:rPr>
        <w:t xml:space="preserve">     /    </w:t>
      </w:r>
      <w:r>
        <w:rPr>
          <w:rFonts w:hint="eastAsia" w:ascii="宋体" w:hAnsi="宋体" w:cs="仿宋"/>
          <w:sz w:val="24"/>
          <w:u w:val="single"/>
        </w:rPr>
        <w:t>。</w:t>
      </w:r>
    </w:p>
    <w:p w14:paraId="652EF43A">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18.2 其他保险</w:t>
      </w:r>
    </w:p>
    <w:p w14:paraId="3FAFE7C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关于其他保险的约定：</w:t>
      </w:r>
      <w:r>
        <w:rPr>
          <w:rFonts w:hint="eastAsia" w:ascii="宋体" w:hAnsi="宋体" w:cs="仿宋"/>
          <w:sz w:val="24"/>
          <w:u w:val="single"/>
        </w:rPr>
        <w:t>按通用条款执行</w:t>
      </w:r>
      <w:r>
        <w:rPr>
          <w:rFonts w:hint="eastAsia" w:ascii="宋体" w:hAnsi="宋体" w:cs="仿宋"/>
          <w:sz w:val="24"/>
        </w:rPr>
        <w:t>。</w:t>
      </w:r>
    </w:p>
    <w:p w14:paraId="3E8138E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承包人是否应为其施工设备等办理财产保险：</w:t>
      </w:r>
      <w:r>
        <w:rPr>
          <w:rFonts w:hint="eastAsia" w:ascii="宋体" w:hAnsi="宋体" w:cs="仿宋"/>
          <w:sz w:val="24"/>
          <w:u w:val="single"/>
        </w:rPr>
        <w:t>是</w:t>
      </w:r>
      <w:r>
        <w:rPr>
          <w:rFonts w:hint="eastAsia" w:ascii="宋体" w:hAnsi="宋体" w:cs="仿宋"/>
          <w:sz w:val="24"/>
        </w:rPr>
        <w:t>。</w:t>
      </w:r>
    </w:p>
    <w:p w14:paraId="32A65AE3">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18.3 通知义务</w:t>
      </w:r>
    </w:p>
    <w:p w14:paraId="1876F4F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关于变更保险合同时的通知义务的约定：</w:t>
      </w:r>
      <w:r>
        <w:rPr>
          <w:rFonts w:hint="eastAsia" w:ascii="宋体" w:hAnsi="宋体" w:cs="仿宋"/>
          <w:sz w:val="24"/>
          <w:u w:val="single"/>
        </w:rPr>
        <w:t>承包人报监理及发包人</w:t>
      </w:r>
      <w:r>
        <w:rPr>
          <w:rFonts w:hint="eastAsia" w:ascii="宋体" w:hAnsi="宋体" w:cs="仿宋"/>
          <w:sz w:val="24"/>
        </w:rPr>
        <w:t>。</w:t>
      </w:r>
    </w:p>
    <w:p w14:paraId="26D32145">
      <w:pPr>
        <w:adjustRightInd w:val="0"/>
        <w:spacing w:line="500" w:lineRule="exact"/>
        <w:ind w:firstLine="480" w:firstLineChars="200"/>
        <w:contextualSpacing/>
        <w:rPr>
          <w:rFonts w:ascii="宋体" w:hAnsi="宋体" w:cs="仿宋"/>
          <w:sz w:val="24"/>
        </w:rPr>
      </w:pPr>
      <w:r>
        <w:rPr>
          <w:rFonts w:hint="eastAsia" w:ascii="宋体" w:hAnsi="宋体" w:cs="仿宋"/>
          <w:sz w:val="24"/>
        </w:rPr>
        <w:t>19. 争议解决</w:t>
      </w:r>
    </w:p>
    <w:p w14:paraId="644ACD29">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19.1 争议评审</w:t>
      </w:r>
    </w:p>
    <w:p w14:paraId="3D11807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合同当事人是否同意将工程争议提交争议评审小组决定：</w:t>
      </w:r>
      <w:r>
        <w:rPr>
          <w:rFonts w:hint="eastAsia" w:ascii="宋体" w:hAnsi="宋体" w:cs="仿宋"/>
          <w:sz w:val="24"/>
          <w:u w:val="single"/>
        </w:rPr>
        <w:t xml:space="preserve"> /  </w:t>
      </w:r>
      <w:r>
        <w:rPr>
          <w:rFonts w:hint="eastAsia" w:ascii="宋体" w:hAnsi="宋体" w:cs="仿宋"/>
          <w:sz w:val="24"/>
        </w:rPr>
        <w:t>。</w:t>
      </w:r>
    </w:p>
    <w:p w14:paraId="5B861F4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19.1.1 争议评审小组的确定</w:t>
      </w:r>
    </w:p>
    <w:p w14:paraId="51EB9D7E">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争议评审小组成员的确定：</w:t>
      </w:r>
      <w:r>
        <w:rPr>
          <w:rFonts w:hint="eastAsia" w:ascii="宋体" w:hAnsi="宋体" w:cs="仿宋"/>
          <w:sz w:val="24"/>
          <w:u w:val="single"/>
        </w:rPr>
        <w:t xml:space="preserve">             /               </w:t>
      </w:r>
      <w:r>
        <w:rPr>
          <w:rFonts w:hint="eastAsia" w:ascii="宋体" w:hAnsi="宋体" w:cs="仿宋"/>
          <w:sz w:val="24"/>
        </w:rPr>
        <w:t>。</w:t>
      </w:r>
    </w:p>
    <w:p w14:paraId="1676295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选定争议评审员的期限：</w:t>
      </w:r>
      <w:r>
        <w:rPr>
          <w:rFonts w:hint="eastAsia" w:ascii="宋体" w:hAnsi="宋体" w:cs="仿宋"/>
          <w:sz w:val="24"/>
          <w:u w:val="single"/>
        </w:rPr>
        <w:t xml:space="preserve">               /               </w:t>
      </w:r>
      <w:r>
        <w:rPr>
          <w:rFonts w:hint="eastAsia" w:ascii="宋体" w:hAnsi="宋体" w:cs="仿宋"/>
          <w:sz w:val="24"/>
        </w:rPr>
        <w:t>。</w:t>
      </w:r>
    </w:p>
    <w:p w14:paraId="36BD87F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争议评审小组成员的报酬承担方式：</w:t>
      </w:r>
      <w:r>
        <w:rPr>
          <w:rFonts w:hint="eastAsia" w:ascii="宋体" w:hAnsi="宋体" w:cs="仿宋"/>
          <w:sz w:val="24"/>
          <w:u w:val="single"/>
        </w:rPr>
        <w:t xml:space="preserve">      /              </w:t>
      </w:r>
      <w:r>
        <w:rPr>
          <w:rFonts w:hint="eastAsia" w:ascii="宋体" w:hAnsi="宋体" w:cs="仿宋"/>
          <w:sz w:val="24"/>
        </w:rPr>
        <w:t>。</w:t>
      </w:r>
    </w:p>
    <w:p w14:paraId="7B37E95D">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其他事项的约定：</w:t>
      </w:r>
      <w:r>
        <w:rPr>
          <w:rFonts w:hint="eastAsia" w:ascii="宋体" w:hAnsi="宋体" w:cs="仿宋"/>
          <w:sz w:val="24"/>
          <w:u w:val="single"/>
        </w:rPr>
        <w:t xml:space="preserve">                      /              </w:t>
      </w:r>
      <w:r>
        <w:rPr>
          <w:rFonts w:hint="eastAsia" w:ascii="宋体" w:hAnsi="宋体" w:cs="仿宋"/>
          <w:sz w:val="24"/>
        </w:rPr>
        <w:t>。</w:t>
      </w:r>
    </w:p>
    <w:p w14:paraId="7B9AB2D7">
      <w:pPr>
        <w:autoSpaceDE w:val="0"/>
        <w:autoSpaceDN w:val="0"/>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19.1.2 争议评审小组的决定</w:t>
      </w:r>
    </w:p>
    <w:p w14:paraId="59F36EF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合同当事人关于本项的约定：</w:t>
      </w:r>
      <w:r>
        <w:rPr>
          <w:rFonts w:hint="eastAsia" w:ascii="宋体" w:hAnsi="宋体" w:cs="仿宋"/>
          <w:sz w:val="24"/>
          <w:u w:val="single"/>
        </w:rPr>
        <w:t xml:space="preserve">            /              </w:t>
      </w:r>
      <w:r>
        <w:rPr>
          <w:rFonts w:hint="eastAsia" w:ascii="宋体" w:hAnsi="宋体" w:cs="仿宋"/>
          <w:sz w:val="24"/>
        </w:rPr>
        <w:t>。</w:t>
      </w:r>
    </w:p>
    <w:p w14:paraId="0B7ECC43">
      <w:pPr>
        <w:adjustRightInd w:val="0"/>
        <w:spacing w:line="500" w:lineRule="exact"/>
        <w:ind w:firstLine="480" w:firstLineChars="200"/>
        <w:contextualSpacing/>
        <w:rPr>
          <w:rFonts w:ascii="宋体" w:hAnsi="宋体" w:cs="仿宋"/>
          <w:bCs/>
          <w:sz w:val="24"/>
        </w:rPr>
      </w:pPr>
      <w:r>
        <w:rPr>
          <w:rFonts w:hint="eastAsia" w:ascii="宋体" w:hAnsi="宋体" w:cs="仿宋"/>
          <w:bCs/>
          <w:sz w:val="24"/>
        </w:rPr>
        <w:t>19.2仲裁或诉讼</w:t>
      </w:r>
    </w:p>
    <w:p w14:paraId="642AC4A7">
      <w:pPr>
        <w:adjustRightInd w:val="0"/>
        <w:spacing w:line="500" w:lineRule="exact"/>
        <w:ind w:firstLine="480" w:firstLineChars="200"/>
        <w:contextualSpacing/>
        <w:rPr>
          <w:rFonts w:ascii="宋体" w:hAnsi="宋体" w:cs="仿宋"/>
          <w:sz w:val="24"/>
        </w:rPr>
      </w:pPr>
      <w:r>
        <w:rPr>
          <w:rFonts w:hint="eastAsia" w:ascii="宋体" w:hAnsi="宋体" w:cs="仿宋"/>
          <w:sz w:val="24"/>
        </w:rPr>
        <w:t>因合同及合同有关事项发生的争议，按下列第</w:t>
      </w:r>
      <w:r>
        <w:rPr>
          <w:rFonts w:hint="eastAsia" w:ascii="宋体" w:hAnsi="宋体" w:cs="仿宋"/>
          <w:sz w:val="24"/>
          <w:u w:val="single"/>
        </w:rPr>
        <w:t>（2）</w:t>
      </w:r>
      <w:r>
        <w:rPr>
          <w:rFonts w:hint="eastAsia" w:ascii="宋体" w:hAnsi="宋体" w:cs="仿宋"/>
          <w:sz w:val="24"/>
        </w:rPr>
        <w:t>种方式解决：</w:t>
      </w:r>
    </w:p>
    <w:p w14:paraId="7EAF998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（1）向</w:t>
      </w:r>
      <w:r>
        <w:rPr>
          <w:rFonts w:hint="eastAsia" w:ascii="宋体" w:hAnsi="宋体" w:cs="仿宋"/>
          <w:sz w:val="24"/>
          <w:u w:val="single"/>
        </w:rPr>
        <w:t xml:space="preserve">         /          </w:t>
      </w:r>
      <w:r>
        <w:rPr>
          <w:rFonts w:hint="eastAsia" w:ascii="宋体" w:hAnsi="宋体" w:cs="仿宋"/>
          <w:sz w:val="24"/>
        </w:rPr>
        <w:t>仲裁委员会申请仲裁；</w:t>
      </w:r>
    </w:p>
    <w:p w14:paraId="099035E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（2）向</w:t>
      </w:r>
      <w:r>
        <w:rPr>
          <w:rFonts w:hint="eastAsia" w:ascii="宋体" w:hAnsi="宋体" w:cs="仿宋"/>
          <w:sz w:val="24"/>
          <w:u w:val="single"/>
        </w:rPr>
        <w:t>工程所在地</w:t>
      </w:r>
      <w:r>
        <w:rPr>
          <w:rFonts w:hint="eastAsia" w:ascii="宋体" w:hAnsi="宋体" w:cs="仿宋"/>
          <w:sz w:val="24"/>
        </w:rPr>
        <w:t>人民法院起诉。</w:t>
      </w:r>
    </w:p>
    <w:p w14:paraId="32FEC57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20．其他补充事项的约定</w:t>
      </w:r>
    </w:p>
    <w:p w14:paraId="2FA2B164">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20.1承包人应确保工程安全进行，所有安全事故的全部责任均由承包人承担。</w:t>
      </w:r>
    </w:p>
    <w:p w14:paraId="2FF702D3">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20.2如设计变更，变更估价参照专用条款10.4执行。</w:t>
      </w:r>
    </w:p>
    <w:p w14:paraId="0EA53ED6">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20.3材料和设备供应：</w:t>
      </w:r>
    </w:p>
    <w:p w14:paraId="1FC79761">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①材料设备采购应根据招标文件、设计技术文件和国家有关规定的具体要求（如满足节能环保要求）进行采购，发包人招标时如有推荐材料/设备品牌的，承包人需从发包人推荐的品牌中选取一个或选用能提供同等档次证明的品牌填入投标文件主材表备注栏中，一经选用，未经发包人同意不得更改。其余未推荐品牌的材料应选用中高档以上品牌或知名厂家生产，所有材料均应有合格证和质保书、符合施工图纸、规范、国家规定的技术标准。当承包人选定的材料质量达不到预期质量目标要求时，发包人保留更换的权利。若使用劣质材料施工，一经发现，发包人或监理有权制止使用，甚至停工，返工或中止合同。无论发包人及监理是否发现和制止，由于使用劣质材料施工后所引起的一切责任均由承包人自负。</w:t>
      </w:r>
    </w:p>
    <w:p w14:paraId="365A27B2">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fldChar w:fldCharType="begin"/>
      </w:r>
      <w:r>
        <w:rPr>
          <w:rFonts w:hint="eastAsia" w:ascii="宋体" w:hAnsi="宋体" w:cs="仿宋"/>
          <w:sz w:val="24"/>
          <w:u w:val="single"/>
        </w:rPr>
        <w:instrText xml:space="preserve"> = 2 \* GB3 </w:instrText>
      </w:r>
      <w:r>
        <w:rPr>
          <w:rFonts w:hint="eastAsia" w:ascii="宋体" w:hAnsi="宋体" w:cs="仿宋"/>
          <w:sz w:val="24"/>
          <w:u w:val="single"/>
        </w:rPr>
        <w:fldChar w:fldCharType="separate"/>
      </w:r>
      <w:r>
        <w:rPr>
          <w:rFonts w:hint="eastAsia" w:ascii="宋体" w:hAnsi="宋体" w:cs="仿宋"/>
          <w:sz w:val="24"/>
          <w:u w:val="single"/>
        </w:rPr>
        <w:t>②</w:t>
      </w:r>
      <w:r>
        <w:rPr>
          <w:rFonts w:hint="eastAsia" w:ascii="宋体" w:hAnsi="宋体" w:cs="仿宋"/>
          <w:sz w:val="24"/>
          <w:u w:val="single"/>
        </w:rPr>
        <w:fldChar w:fldCharType="end"/>
      </w:r>
      <w:r>
        <w:rPr>
          <w:rFonts w:hint="eastAsia" w:ascii="宋体" w:hAnsi="宋体" w:cs="仿宋"/>
          <w:sz w:val="24"/>
          <w:u w:val="single"/>
        </w:rPr>
        <w:t>无价材料采购前其质量、价格、产地、规格等需事先征得发包人的认可或签证同意。</w:t>
      </w:r>
    </w:p>
    <w:p w14:paraId="492A66EC">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20.4质量保证:</w:t>
      </w:r>
    </w:p>
    <w:p w14:paraId="7D1AFAF3">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工程竣工后不能达到承诺的质量等级的，作违约论处，扣除其履约保证金中的全部施工质量履约保证金。</w:t>
      </w:r>
    </w:p>
    <w:p w14:paraId="25206414">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20.5文明施工及安全保证：</w:t>
      </w:r>
    </w:p>
    <w:p w14:paraId="0F2FE459">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对于工程施工中管理混乱，严重违反安全措施和标准化管理规定的现象，监理工程师及发包人将提出警告和整改要求，并保留暂停支付进度款的权利，直至扣除合同中的文明施工保证费和履约保证金中的安全文明履约保证金，以确保本工程安全文明管理得到贯彻执行。</w:t>
      </w:r>
    </w:p>
    <w:p w14:paraId="471FBE65">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20.6双方约定承包人应做的其他工作：</w:t>
      </w:r>
    </w:p>
    <w:p w14:paraId="4380CE48">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承包人应处理好与周边的各种关系如在施工过程中与居民发生纠纷，自行与当地社区进行协商解决，并承担相关费用。</w:t>
      </w:r>
    </w:p>
    <w:p w14:paraId="4CC29941">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20.7承包人必须保证施工过程所提出的签证内容是合法的、真实的，并不由于发包人和监理工程师的确认而免除承包人的责任。</w:t>
      </w:r>
    </w:p>
    <w:p w14:paraId="09E7EFB7">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20.8承包人对工程专项资金须设专门账户，承包人须专款专用，不得挪作它用，发包人有权对工程资金帐户及流向进行检查。</w:t>
      </w:r>
    </w:p>
    <w:p w14:paraId="27259A55">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20.9发包人在签订工程合同的同时需签订《廉政责任书》、《工程质量保修书》和《施工安全协议》作为施工合同的附件，经双方签字后即生效，双方务必认真执行。</w:t>
      </w:r>
    </w:p>
    <w:p w14:paraId="674BC7C7">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20.10发包人将指定具有资质的第三方机构进行结算审核，确定结算审核价格。送审价超过审核价5%之内(含5%)，审核费用由发包人支付；核减额超过送审价5%以上，超过部分审核费用及核增部分的审核费按浙价服(2009)84号文件规定执行，由施工单位承担（注：核减额与核增额不相互抵消）。</w:t>
      </w:r>
    </w:p>
    <w:p w14:paraId="75435726">
      <w:pPr>
        <w:adjustRightInd w:val="0"/>
        <w:spacing w:line="500" w:lineRule="exact"/>
        <w:ind w:left="140" w:leftChars="50" w:firstLine="480" w:firstLineChars="200"/>
        <w:contextualSpacing/>
        <w:jc w:val="left"/>
        <w:rPr>
          <w:rFonts w:ascii="宋体" w:hAnsi="宋体" w:cs="仿宋"/>
          <w:sz w:val="24"/>
          <w:u w:val="single"/>
        </w:rPr>
      </w:pPr>
      <w:r>
        <w:rPr>
          <w:rFonts w:ascii="宋体" w:hAnsi="宋体" w:cs="仿宋"/>
          <w:sz w:val="24"/>
          <w:u w:val="single"/>
        </w:rPr>
        <w:t>20.11</w:t>
      </w:r>
      <w:r>
        <w:rPr>
          <w:rFonts w:hint="eastAsia" w:ascii="宋体" w:hAnsi="宋体" w:cs="仿宋"/>
          <w:sz w:val="24"/>
          <w:u w:val="single"/>
        </w:rPr>
        <w:t>承包人必须与本工程的所有施工人员签订劳动协议，并按国家有关规定及时发放工资；如承包人未按规定及时发放施工人员工资，由此造成的所有责任和经济损失由承包人承担。</w:t>
      </w:r>
    </w:p>
    <w:p w14:paraId="4FEAA29A">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20.12承包人须综合考虑与其它相关专业施工单位（含分包单位）的配合与协调及其它不可预见等费用，该费用已计入报价及由承包人向分包单位收取总管理单位服务费，结算一律不作调整。</w:t>
      </w:r>
    </w:p>
    <w:p w14:paraId="2E52A4B7">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20.13售后服务</w:t>
      </w:r>
    </w:p>
    <w:p w14:paraId="1CE7FC81">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（1）承包人须对本工程材料设备提供通过最终验收合格工程质量保修书约定的质保期。质保期内承包人须自行付费，负责修理和替换任何由于产品自身的质量问题造成的损坏及故障。</w:t>
      </w:r>
    </w:p>
    <w:p w14:paraId="6BB6F99F">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（2）质量保证期满后，承包人必须对所提供的材料设备进行检查和保养，对于损坏的零部件、五金件，承包人应保证以不高于在设备出产地购买的一般价格提供给发包人。</w:t>
      </w:r>
    </w:p>
    <w:p w14:paraId="5E2F7459">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20.14针对通用条款3.3.2条的补充：</w:t>
      </w:r>
    </w:p>
    <w:p w14:paraId="2FF51D65">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承包人需更换主要施工管理人员的，继任人员的数量、注册执业资格、管理经验的约定：不得更换主要施工管理人员。</w:t>
      </w:r>
    </w:p>
    <w:p w14:paraId="3033C933">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20.15针对通用条款5.3.2条的补充：</w:t>
      </w:r>
    </w:p>
    <w:p w14:paraId="1D6BD90D">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通知时提交包括隐蔽检查内容、时间、地点、承包人自检记录、陪同检查人员名单等。若验收合格的，监理工程师和发包人代表在记录上签字后方可进行隐蔽和继续施工。若验收不合格的，承包人在限定期限内整改后重新组织验收，并承担由此发生的费用，且工期不予顺延。</w:t>
      </w:r>
    </w:p>
    <w:p w14:paraId="70E76BFA">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对需验收而未验收就进入下一道工序的，承包人每次需向发包人支付违约金人民币1000-10000元，且发包人有权要求剥露验收，相应费用由承包人承担，且工期不予顺延。</w:t>
      </w:r>
    </w:p>
    <w:p w14:paraId="037FBFA5">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20.16针对通用条款9.3条的补充：</w:t>
      </w:r>
    </w:p>
    <w:p w14:paraId="20CDD452">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试验、检测单位资质条件约定：除消防材料检测、空气质量检测外，由承包人提供。</w:t>
      </w:r>
    </w:p>
    <w:p w14:paraId="3DAB49FA">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20.17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w:t>
      </w:r>
    </w:p>
    <w:p w14:paraId="2727078C">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20.18本工程施工工期短，承包人需采取加班措施，费用已包含在总价内。</w:t>
      </w:r>
    </w:p>
    <w:p w14:paraId="2CA4BD67">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u w:val="single"/>
        </w:rPr>
        <w:t>20.19发包人保留在正式签订合同时完善合同条款的权利。</w:t>
      </w:r>
    </w:p>
    <w:p w14:paraId="67799AA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u w:val="single"/>
        </w:rPr>
        <w:t>20.20 发包人应根据《财政部建设部关于印发《建设工程价款结算暂行办法》的通知》财建[2004]369号文件，在收到承包人完整的竣工结算报告及完整的结算资料后组织造价咨询单位进行审核，并在60日历天内出具结算审核报告。</w:t>
      </w:r>
    </w:p>
    <w:p w14:paraId="322261E7">
      <w:pPr>
        <w:adjustRightInd w:val="0"/>
        <w:spacing w:line="500" w:lineRule="exact"/>
        <w:ind w:firstLine="480" w:firstLineChars="200"/>
        <w:contextualSpacing/>
        <w:rPr>
          <w:rFonts w:ascii="宋体" w:hAnsi="宋体" w:cs="仿宋"/>
          <w:sz w:val="24"/>
        </w:rPr>
      </w:pPr>
    </w:p>
    <w:p w14:paraId="0C805306">
      <w:pPr>
        <w:adjustRightInd w:val="0"/>
        <w:spacing w:line="500" w:lineRule="exact"/>
        <w:ind w:firstLine="480" w:firstLineChars="200"/>
        <w:contextualSpacing/>
        <w:rPr>
          <w:rFonts w:ascii="宋体" w:hAnsi="宋体" w:cs="仿宋"/>
          <w:sz w:val="24"/>
        </w:rPr>
      </w:pPr>
      <w:r>
        <w:rPr>
          <w:rFonts w:hint="eastAsia" w:ascii="宋体" w:hAnsi="宋体" w:cs="仿宋"/>
          <w:sz w:val="24"/>
        </w:rPr>
        <w:t>附件</w:t>
      </w:r>
    </w:p>
    <w:p w14:paraId="0D2BF16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协议书附件：</w:t>
      </w:r>
    </w:p>
    <w:p w14:paraId="36078F8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附件1：承包人承揽工程项目一览表</w:t>
      </w:r>
    </w:p>
    <w:p w14:paraId="2409667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专用合同条款附件：</w:t>
      </w:r>
    </w:p>
    <w:p w14:paraId="7E91D1D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附件2：发包人供应材料设备一览表</w:t>
      </w:r>
    </w:p>
    <w:p w14:paraId="11C37D7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附件3：工程质量保修书</w:t>
      </w:r>
    </w:p>
    <w:p w14:paraId="101F22D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附件4：主要建设工程文件目录</w:t>
      </w:r>
    </w:p>
    <w:p w14:paraId="43787E3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附件5：承包人用于本工程施工的机械设备表</w:t>
      </w:r>
    </w:p>
    <w:p w14:paraId="638A40C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附件6：承包人主要施工管理人员表</w:t>
      </w:r>
    </w:p>
    <w:p w14:paraId="29D39B5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附件7：分包人主要施工管理人员表</w:t>
      </w:r>
    </w:p>
    <w:p w14:paraId="16C3A0C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附件8：履约保函格式</w:t>
      </w:r>
    </w:p>
    <w:p w14:paraId="0F93306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附件9：暂估价一览表</w:t>
      </w:r>
    </w:p>
    <w:p w14:paraId="2E2DCF3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附件10：施工现场安全生产管理责任书</w:t>
      </w:r>
    </w:p>
    <w:p w14:paraId="164AB860">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附件11：安全生产文明施工管理办法</w:t>
      </w:r>
    </w:p>
    <w:p w14:paraId="081216C7">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附件12：工程质量管理办法</w:t>
      </w:r>
    </w:p>
    <w:p w14:paraId="23EB1B4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附件13：廉政责任书格式</w:t>
      </w:r>
    </w:p>
    <w:p w14:paraId="30D4DC6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附件14：施工安全协议</w:t>
      </w:r>
    </w:p>
    <w:p w14:paraId="42CF63C6">
      <w:pPr>
        <w:adjustRightInd w:val="0"/>
        <w:snapToGrid w:val="0"/>
        <w:spacing w:line="360" w:lineRule="auto"/>
        <w:jc w:val="left"/>
        <w:rPr>
          <w:rFonts w:ascii="仿宋" w:hAnsi="仿宋" w:eastAsia="仿宋_GB2312" w:cs="仿宋"/>
          <w:sz w:val="24"/>
        </w:rPr>
      </w:pPr>
    </w:p>
    <w:p w14:paraId="235FF0C9">
      <w:pPr>
        <w:adjustRightInd w:val="0"/>
        <w:snapToGrid w:val="0"/>
        <w:spacing w:line="360" w:lineRule="auto"/>
        <w:jc w:val="left"/>
        <w:rPr>
          <w:rFonts w:ascii="仿宋" w:hAnsi="仿宋" w:eastAsia="仿宋_GB2312" w:cs="仿宋"/>
          <w:sz w:val="24"/>
        </w:rPr>
        <w:sectPr>
          <w:footerReference r:id="rId7" w:type="first"/>
          <w:footerReference r:id="rId6" w:type="default"/>
          <w:pgSz w:w="11906" w:h="16838"/>
          <w:pgMar w:top="1134" w:right="1134" w:bottom="1134" w:left="1134" w:header="851" w:footer="992" w:gutter="0"/>
          <w:pgNumType w:start="0"/>
          <w:cols w:space="720" w:num="1"/>
          <w:titlePg/>
          <w:docGrid w:type="lines" w:linePitch="381" w:charSpace="0"/>
        </w:sectPr>
      </w:pPr>
    </w:p>
    <w:p w14:paraId="34A1A184">
      <w:pPr>
        <w:adjustRightInd w:val="0"/>
        <w:snapToGrid w:val="0"/>
        <w:spacing w:line="360" w:lineRule="auto"/>
        <w:jc w:val="left"/>
        <w:outlineLvl w:val="1"/>
        <w:rPr>
          <w:rFonts w:ascii="黑体" w:hAnsi="黑体" w:eastAsia="黑体" w:cs="仿宋"/>
          <w:sz w:val="32"/>
          <w:szCs w:val="32"/>
        </w:rPr>
      </w:pPr>
      <w:r>
        <w:rPr>
          <w:rFonts w:hint="eastAsia" w:ascii="黑体" w:hAnsi="黑体" w:eastAsia="黑体" w:cs="仿宋"/>
          <w:sz w:val="32"/>
          <w:szCs w:val="32"/>
        </w:rPr>
        <w:t>附件1：</w:t>
      </w:r>
    </w:p>
    <w:p w14:paraId="7DD38522">
      <w:pPr>
        <w:adjustRightInd w:val="0"/>
        <w:snapToGrid w:val="0"/>
        <w:spacing w:line="360" w:lineRule="auto"/>
        <w:jc w:val="center"/>
        <w:rPr>
          <w:rFonts w:ascii="黑体" w:hAnsi="黑体" w:eastAsia="黑体" w:cs="仿宋"/>
          <w:sz w:val="32"/>
          <w:szCs w:val="32"/>
        </w:rPr>
      </w:pPr>
      <w:bookmarkStart w:id="21" w:name="_Toc11590489"/>
      <w:r>
        <w:rPr>
          <w:rFonts w:hint="eastAsia" w:ascii="黑体" w:hAnsi="黑体" w:eastAsia="黑体" w:cs="仿宋"/>
          <w:sz w:val="32"/>
          <w:szCs w:val="32"/>
        </w:rPr>
        <w:t>承包人承揽工程项目一览表</w:t>
      </w:r>
      <w:bookmarkEnd w:id="21"/>
    </w:p>
    <w:tbl>
      <w:tblPr>
        <w:tblStyle w:val="33"/>
        <w:tblW w:w="14885" w:type="dxa"/>
        <w:tblInd w:w="-52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869"/>
        <w:gridCol w:w="803"/>
        <w:gridCol w:w="1590"/>
        <w:gridCol w:w="816"/>
        <w:gridCol w:w="850"/>
        <w:gridCol w:w="1560"/>
        <w:gridCol w:w="1381"/>
        <w:gridCol w:w="1475"/>
        <w:gridCol w:w="1295"/>
        <w:gridCol w:w="1246"/>
      </w:tblGrid>
      <w:tr w14:paraId="309F33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3869" w:type="dxa"/>
            <w:tcBorders>
              <w:top w:val="single" w:color="auto" w:sz="12" w:space="0"/>
              <w:bottom w:val="double" w:color="auto" w:sz="6" w:space="0"/>
            </w:tcBorders>
            <w:noWrap w:val="0"/>
            <w:vAlign w:val="center"/>
          </w:tcPr>
          <w:p w14:paraId="292D7AA0">
            <w:pPr>
              <w:keepNext/>
              <w:adjustRightInd w:val="0"/>
              <w:snapToGrid w:val="0"/>
              <w:spacing w:line="288" w:lineRule="auto"/>
              <w:ind w:left="62" w:right="62"/>
              <w:jc w:val="center"/>
              <w:rPr>
                <w:rFonts w:ascii="宋体" w:hAnsi="宋体" w:cs="仿宋"/>
                <w:sz w:val="24"/>
              </w:rPr>
            </w:pPr>
            <w:r>
              <w:rPr>
                <w:rFonts w:hint="eastAsia" w:ascii="宋体" w:hAnsi="宋体" w:cs="仿宋"/>
                <w:sz w:val="24"/>
              </w:rPr>
              <w:t>单位工程名称</w:t>
            </w:r>
          </w:p>
        </w:tc>
        <w:tc>
          <w:tcPr>
            <w:tcW w:w="803" w:type="dxa"/>
            <w:tcBorders>
              <w:top w:val="single" w:color="auto" w:sz="12" w:space="0"/>
              <w:bottom w:val="double" w:color="auto" w:sz="6" w:space="0"/>
            </w:tcBorders>
            <w:noWrap w:val="0"/>
            <w:vAlign w:val="center"/>
          </w:tcPr>
          <w:p w14:paraId="34C93A79">
            <w:pPr>
              <w:keepNext/>
              <w:adjustRightInd w:val="0"/>
              <w:snapToGrid w:val="0"/>
              <w:spacing w:line="288" w:lineRule="auto"/>
              <w:ind w:left="62" w:right="62"/>
              <w:jc w:val="center"/>
              <w:rPr>
                <w:rFonts w:ascii="宋体" w:hAnsi="宋体" w:cs="仿宋"/>
                <w:sz w:val="24"/>
              </w:rPr>
            </w:pPr>
            <w:r>
              <w:rPr>
                <w:rFonts w:hint="eastAsia" w:ascii="宋体" w:hAnsi="宋体" w:cs="仿宋"/>
                <w:sz w:val="24"/>
              </w:rPr>
              <w:t>建设规模</w:t>
            </w:r>
          </w:p>
        </w:tc>
        <w:tc>
          <w:tcPr>
            <w:tcW w:w="1590" w:type="dxa"/>
            <w:tcBorders>
              <w:top w:val="single" w:color="auto" w:sz="12" w:space="0"/>
              <w:bottom w:val="double" w:color="auto" w:sz="6" w:space="0"/>
            </w:tcBorders>
            <w:noWrap w:val="0"/>
            <w:vAlign w:val="center"/>
          </w:tcPr>
          <w:p w14:paraId="239BE834">
            <w:pPr>
              <w:keepNext/>
              <w:adjustRightInd w:val="0"/>
              <w:snapToGrid w:val="0"/>
              <w:spacing w:line="288" w:lineRule="auto"/>
              <w:ind w:left="62" w:right="62"/>
              <w:jc w:val="center"/>
              <w:rPr>
                <w:rFonts w:ascii="宋体" w:hAnsi="宋体" w:cs="仿宋"/>
                <w:sz w:val="24"/>
              </w:rPr>
            </w:pPr>
            <w:r>
              <w:rPr>
                <w:rFonts w:hint="eastAsia" w:ascii="宋体" w:hAnsi="宋体" w:cs="仿宋"/>
                <w:sz w:val="24"/>
              </w:rPr>
              <w:t>建筑面积</w:t>
            </w:r>
          </w:p>
          <w:p w14:paraId="6712BED8">
            <w:pPr>
              <w:keepNext/>
              <w:adjustRightInd w:val="0"/>
              <w:snapToGrid w:val="0"/>
              <w:spacing w:line="288" w:lineRule="auto"/>
              <w:ind w:left="62" w:right="62"/>
              <w:jc w:val="center"/>
              <w:rPr>
                <w:rFonts w:ascii="宋体" w:hAnsi="宋体" w:cs="仿宋"/>
                <w:sz w:val="24"/>
              </w:rPr>
            </w:pPr>
            <w:r>
              <w:rPr>
                <w:rFonts w:hint="eastAsia" w:ascii="宋体" w:hAnsi="宋体" w:cs="仿宋"/>
                <w:sz w:val="24"/>
              </w:rPr>
              <w:t>(平方米)</w:t>
            </w:r>
          </w:p>
        </w:tc>
        <w:tc>
          <w:tcPr>
            <w:tcW w:w="816" w:type="dxa"/>
            <w:tcBorders>
              <w:top w:val="single" w:color="auto" w:sz="12" w:space="0"/>
              <w:bottom w:val="double" w:color="auto" w:sz="6" w:space="0"/>
            </w:tcBorders>
            <w:noWrap w:val="0"/>
            <w:vAlign w:val="center"/>
          </w:tcPr>
          <w:p w14:paraId="167A9988">
            <w:pPr>
              <w:keepNext/>
              <w:adjustRightInd w:val="0"/>
              <w:snapToGrid w:val="0"/>
              <w:spacing w:line="288" w:lineRule="auto"/>
              <w:ind w:left="62" w:right="62"/>
              <w:jc w:val="center"/>
              <w:rPr>
                <w:rFonts w:ascii="宋体" w:hAnsi="宋体" w:cs="仿宋"/>
                <w:sz w:val="24"/>
              </w:rPr>
            </w:pPr>
            <w:r>
              <w:rPr>
                <w:rFonts w:hint="eastAsia" w:ascii="宋体" w:hAnsi="宋体" w:cs="仿宋"/>
                <w:sz w:val="24"/>
              </w:rPr>
              <w:t>结构形式</w:t>
            </w:r>
          </w:p>
        </w:tc>
        <w:tc>
          <w:tcPr>
            <w:tcW w:w="850" w:type="dxa"/>
            <w:tcBorders>
              <w:top w:val="single" w:color="auto" w:sz="12" w:space="0"/>
              <w:bottom w:val="double" w:color="auto" w:sz="6" w:space="0"/>
            </w:tcBorders>
            <w:noWrap w:val="0"/>
            <w:vAlign w:val="center"/>
          </w:tcPr>
          <w:p w14:paraId="1A3ADED9">
            <w:pPr>
              <w:keepNext/>
              <w:adjustRightInd w:val="0"/>
              <w:snapToGrid w:val="0"/>
              <w:spacing w:line="288" w:lineRule="auto"/>
              <w:ind w:left="62" w:right="62"/>
              <w:jc w:val="center"/>
              <w:rPr>
                <w:rFonts w:ascii="宋体" w:hAnsi="宋体" w:cs="仿宋"/>
                <w:sz w:val="24"/>
              </w:rPr>
            </w:pPr>
            <w:r>
              <w:rPr>
                <w:rFonts w:hint="eastAsia" w:ascii="宋体" w:hAnsi="宋体" w:cs="仿宋"/>
                <w:sz w:val="24"/>
              </w:rPr>
              <w:t>层数</w:t>
            </w:r>
          </w:p>
        </w:tc>
        <w:tc>
          <w:tcPr>
            <w:tcW w:w="1560" w:type="dxa"/>
            <w:tcBorders>
              <w:top w:val="single" w:color="auto" w:sz="12" w:space="0"/>
              <w:bottom w:val="double" w:color="auto" w:sz="6" w:space="0"/>
            </w:tcBorders>
            <w:noWrap w:val="0"/>
            <w:vAlign w:val="center"/>
          </w:tcPr>
          <w:p w14:paraId="697B7150">
            <w:pPr>
              <w:keepNext/>
              <w:adjustRightInd w:val="0"/>
              <w:snapToGrid w:val="0"/>
              <w:spacing w:line="288" w:lineRule="auto"/>
              <w:ind w:left="62" w:right="62"/>
              <w:jc w:val="center"/>
              <w:rPr>
                <w:rFonts w:ascii="宋体" w:hAnsi="宋体" w:cs="仿宋"/>
                <w:sz w:val="24"/>
              </w:rPr>
            </w:pPr>
            <w:r>
              <w:rPr>
                <w:rFonts w:hint="eastAsia" w:ascii="宋体" w:hAnsi="宋体" w:cs="仿宋"/>
                <w:sz w:val="24"/>
              </w:rPr>
              <w:t>生产能力</w:t>
            </w:r>
          </w:p>
        </w:tc>
        <w:tc>
          <w:tcPr>
            <w:tcW w:w="1381" w:type="dxa"/>
            <w:tcBorders>
              <w:top w:val="single" w:color="auto" w:sz="12" w:space="0"/>
              <w:bottom w:val="double" w:color="auto" w:sz="6" w:space="0"/>
            </w:tcBorders>
            <w:noWrap w:val="0"/>
            <w:vAlign w:val="center"/>
          </w:tcPr>
          <w:p w14:paraId="1914731D">
            <w:pPr>
              <w:keepNext/>
              <w:adjustRightInd w:val="0"/>
              <w:snapToGrid w:val="0"/>
              <w:spacing w:line="288" w:lineRule="auto"/>
              <w:ind w:left="62" w:right="62"/>
              <w:jc w:val="center"/>
              <w:rPr>
                <w:rFonts w:ascii="宋体" w:hAnsi="宋体" w:cs="仿宋"/>
                <w:sz w:val="24"/>
              </w:rPr>
            </w:pPr>
            <w:r>
              <w:rPr>
                <w:rFonts w:hint="eastAsia" w:ascii="宋体" w:hAnsi="宋体" w:cs="仿宋"/>
                <w:sz w:val="24"/>
              </w:rPr>
              <w:t>设备安装内容</w:t>
            </w:r>
          </w:p>
        </w:tc>
        <w:tc>
          <w:tcPr>
            <w:tcW w:w="1475" w:type="dxa"/>
            <w:tcBorders>
              <w:top w:val="single" w:color="auto" w:sz="12" w:space="0"/>
              <w:bottom w:val="double" w:color="auto" w:sz="6" w:space="0"/>
            </w:tcBorders>
            <w:noWrap w:val="0"/>
            <w:vAlign w:val="center"/>
          </w:tcPr>
          <w:p w14:paraId="2B9D2434">
            <w:pPr>
              <w:keepNext/>
              <w:adjustRightInd w:val="0"/>
              <w:snapToGrid w:val="0"/>
              <w:spacing w:line="288" w:lineRule="auto"/>
              <w:ind w:left="62" w:right="62"/>
              <w:jc w:val="center"/>
              <w:rPr>
                <w:rFonts w:ascii="宋体" w:hAnsi="宋体" w:cs="仿宋"/>
                <w:sz w:val="24"/>
              </w:rPr>
            </w:pPr>
            <w:r>
              <w:rPr>
                <w:rFonts w:hint="eastAsia" w:ascii="宋体" w:hAnsi="宋体" w:cs="仿宋"/>
                <w:sz w:val="24"/>
              </w:rPr>
              <w:t>合同价格（元）</w:t>
            </w:r>
          </w:p>
        </w:tc>
        <w:tc>
          <w:tcPr>
            <w:tcW w:w="1295" w:type="dxa"/>
            <w:tcBorders>
              <w:top w:val="single" w:color="auto" w:sz="12" w:space="0"/>
              <w:bottom w:val="double" w:color="auto" w:sz="6" w:space="0"/>
            </w:tcBorders>
            <w:noWrap w:val="0"/>
            <w:vAlign w:val="center"/>
          </w:tcPr>
          <w:p w14:paraId="695403BE">
            <w:pPr>
              <w:keepNext/>
              <w:adjustRightInd w:val="0"/>
              <w:snapToGrid w:val="0"/>
              <w:spacing w:line="288" w:lineRule="auto"/>
              <w:ind w:left="62" w:right="62"/>
              <w:jc w:val="center"/>
              <w:rPr>
                <w:rFonts w:ascii="宋体" w:hAnsi="宋体" w:cs="仿宋"/>
                <w:sz w:val="24"/>
              </w:rPr>
            </w:pPr>
            <w:r>
              <w:rPr>
                <w:rFonts w:hint="eastAsia" w:ascii="宋体" w:hAnsi="宋体" w:cs="仿宋"/>
                <w:sz w:val="24"/>
              </w:rPr>
              <w:t>开工日期</w:t>
            </w:r>
          </w:p>
        </w:tc>
        <w:tc>
          <w:tcPr>
            <w:tcW w:w="1246" w:type="dxa"/>
            <w:tcBorders>
              <w:top w:val="single" w:color="auto" w:sz="12" w:space="0"/>
              <w:bottom w:val="double" w:color="auto" w:sz="6" w:space="0"/>
            </w:tcBorders>
            <w:noWrap w:val="0"/>
            <w:vAlign w:val="center"/>
          </w:tcPr>
          <w:p w14:paraId="0BDEE6A5">
            <w:pPr>
              <w:keepNext/>
              <w:adjustRightInd w:val="0"/>
              <w:snapToGrid w:val="0"/>
              <w:spacing w:line="288" w:lineRule="auto"/>
              <w:ind w:left="62" w:right="62"/>
              <w:jc w:val="center"/>
              <w:rPr>
                <w:rFonts w:ascii="宋体" w:hAnsi="宋体" w:cs="仿宋"/>
                <w:sz w:val="24"/>
              </w:rPr>
            </w:pPr>
            <w:r>
              <w:rPr>
                <w:rFonts w:hint="eastAsia" w:ascii="宋体" w:hAnsi="宋体" w:cs="仿宋"/>
                <w:sz w:val="24"/>
              </w:rPr>
              <w:t>竣工日期</w:t>
            </w:r>
          </w:p>
        </w:tc>
      </w:tr>
      <w:tr w14:paraId="2CDC1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3869" w:type="dxa"/>
            <w:tcBorders>
              <w:top w:val="double" w:color="auto" w:sz="6" w:space="0"/>
              <w:bottom w:val="single" w:color="auto" w:sz="6" w:space="0"/>
            </w:tcBorders>
            <w:noWrap w:val="0"/>
            <w:vAlign w:val="center"/>
          </w:tcPr>
          <w:p w14:paraId="0CB3C143">
            <w:pPr>
              <w:keepNext/>
              <w:adjustRightInd w:val="0"/>
              <w:snapToGrid w:val="0"/>
              <w:spacing w:line="288" w:lineRule="auto"/>
              <w:ind w:left="62" w:right="62"/>
              <w:jc w:val="center"/>
              <w:rPr>
                <w:rFonts w:ascii="宋体" w:hAnsi="宋体" w:cs="仿宋"/>
                <w:sz w:val="24"/>
              </w:rPr>
            </w:pPr>
          </w:p>
        </w:tc>
        <w:tc>
          <w:tcPr>
            <w:tcW w:w="803" w:type="dxa"/>
            <w:tcBorders>
              <w:top w:val="double" w:color="auto" w:sz="6" w:space="0"/>
              <w:bottom w:val="single" w:color="auto" w:sz="6" w:space="0"/>
            </w:tcBorders>
            <w:noWrap w:val="0"/>
            <w:vAlign w:val="center"/>
          </w:tcPr>
          <w:p w14:paraId="5D9EDDDD">
            <w:pPr>
              <w:keepNext/>
              <w:adjustRightInd w:val="0"/>
              <w:snapToGrid w:val="0"/>
              <w:spacing w:line="288" w:lineRule="auto"/>
              <w:ind w:left="62" w:right="62"/>
              <w:jc w:val="center"/>
              <w:rPr>
                <w:rFonts w:ascii="宋体" w:hAnsi="宋体" w:cs="仿宋"/>
                <w:sz w:val="24"/>
              </w:rPr>
            </w:pPr>
          </w:p>
        </w:tc>
        <w:tc>
          <w:tcPr>
            <w:tcW w:w="1590" w:type="dxa"/>
            <w:tcBorders>
              <w:top w:val="double" w:color="auto" w:sz="6" w:space="0"/>
              <w:bottom w:val="single" w:color="auto" w:sz="6" w:space="0"/>
            </w:tcBorders>
            <w:noWrap w:val="0"/>
            <w:vAlign w:val="center"/>
          </w:tcPr>
          <w:p w14:paraId="57E556A2">
            <w:pPr>
              <w:keepNext/>
              <w:adjustRightInd w:val="0"/>
              <w:snapToGrid w:val="0"/>
              <w:spacing w:line="288" w:lineRule="auto"/>
              <w:ind w:left="62" w:right="62"/>
              <w:jc w:val="center"/>
              <w:rPr>
                <w:rFonts w:ascii="宋体" w:hAnsi="宋体" w:cs="仿宋"/>
                <w:sz w:val="24"/>
              </w:rPr>
            </w:pPr>
          </w:p>
        </w:tc>
        <w:tc>
          <w:tcPr>
            <w:tcW w:w="816" w:type="dxa"/>
            <w:tcBorders>
              <w:top w:val="double" w:color="auto" w:sz="6" w:space="0"/>
              <w:bottom w:val="single" w:color="auto" w:sz="6" w:space="0"/>
            </w:tcBorders>
            <w:noWrap w:val="0"/>
            <w:vAlign w:val="center"/>
          </w:tcPr>
          <w:p w14:paraId="32EA6316">
            <w:pPr>
              <w:keepNext/>
              <w:adjustRightInd w:val="0"/>
              <w:snapToGrid w:val="0"/>
              <w:spacing w:line="288" w:lineRule="auto"/>
              <w:ind w:left="62" w:right="62"/>
              <w:jc w:val="center"/>
              <w:rPr>
                <w:rFonts w:ascii="宋体" w:hAnsi="宋体" w:cs="仿宋"/>
                <w:sz w:val="24"/>
              </w:rPr>
            </w:pPr>
          </w:p>
        </w:tc>
        <w:tc>
          <w:tcPr>
            <w:tcW w:w="850" w:type="dxa"/>
            <w:tcBorders>
              <w:top w:val="double" w:color="auto" w:sz="6" w:space="0"/>
              <w:bottom w:val="single" w:color="auto" w:sz="6" w:space="0"/>
            </w:tcBorders>
            <w:noWrap w:val="0"/>
            <w:vAlign w:val="center"/>
          </w:tcPr>
          <w:p w14:paraId="34555319">
            <w:pPr>
              <w:keepNext/>
              <w:adjustRightInd w:val="0"/>
              <w:snapToGrid w:val="0"/>
              <w:spacing w:line="288" w:lineRule="auto"/>
              <w:ind w:left="62" w:right="62"/>
              <w:jc w:val="center"/>
              <w:rPr>
                <w:rFonts w:ascii="宋体" w:hAnsi="宋体" w:cs="仿宋"/>
                <w:sz w:val="24"/>
              </w:rPr>
            </w:pPr>
          </w:p>
        </w:tc>
        <w:tc>
          <w:tcPr>
            <w:tcW w:w="1560" w:type="dxa"/>
            <w:tcBorders>
              <w:top w:val="double" w:color="auto" w:sz="6" w:space="0"/>
              <w:bottom w:val="single" w:color="auto" w:sz="6" w:space="0"/>
            </w:tcBorders>
            <w:noWrap w:val="0"/>
            <w:vAlign w:val="center"/>
          </w:tcPr>
          <w:p w14:paraId="76DE94C2">
            <w:pPr>
              <w:keepNext/>
              <w:adjustRightInd w:val="0"/>
              <w:snapToGrid w:val="0"/>
              <w:spacing w:line="288" w:lineRule="auto"/>
              <w:ind w:left="62" w:right="62"/>
              <w:jc w:val="center"/>
              <w:rPr>
                <w:rFonts w:ascii="宋体" w:hAnsi="宋体" w:cs="仿宋"/>
                <w:sz w:val="24"/>
              </w:rPr>
            </w:pPr>
          </w:p>
        </w:tc>
        <w:tc>
          <w:tcPr>
            <w:tcW w:w="1381" w:type="dxa"/>
            <w:tcBorders>
              <w:top w:val="double" w:color="auto" w:sz="6" w:space="0"/>
              <w:bottom w:val="single" w:color="auto" w:sz="6" w:space="0"/>
            </w:tcBorders>
            <w:noWrap w:val="0"/>
            <w:vAlign w:val="center"/>
          </w:tcPr>
          <w:p w14:paraId="6A2CF162">
            <w:pPr>
              <w:keepNext/>
              <w:adjustRightInd w:val="0"/>
              <w:snapToGrid w:val="0"/>
              <w:spacing w:line="288" w:lineRule="auto"/>
              <w:ind w:left="62" w:right="62"/>
              <w:jc w:val="center"/>
              <w:rPr>
                <w:rFonts w:ascii="宋体" w:hAnsi="宋体" w:cs="仿宋"/>
                <w:sz w:val="24"/>
              </w:rPr>
            </w:pPr>
          </w:p>
        </w:tc>
        <w:tc>
          <w:tcPr>
            <w:tcW w:w="1475" w:type="dxa"/>
            <w:tcBorders>
              <w:top w:val="double" w:color="auto" w:sz="6" w:space="0"/>
              <w:bottom w:val="single" w:color="auto" w:sz="6" w:space="0"/>
            </w:tcBorders>
            <w:noWrap w:val="0"/>
            <w:vAlign w:val="center"/>
          </w:tcPr>
          <w:p w14:paraId="4B0520D3">
            <w:pPr>
              <w:keepNext/>
              <w:adjustRightInd w:val="0"/>
              <w:snapToGrid w:val="0"/>
              <w:spacing w:line="288" w:lineRule="auto"/>
              <w:ind w:left="62" w:right="62"/>
              <w:jc w:val="center"/>
              <w:rPr>
                <w:rFonts w:ascii="宋体" w:hAnsi="宋体" w:cs="仿宋"/>
                <w:sz w:val="24"/>
              </w:rPr>
            </w:pPr>
          </w:p>
        </w:tc>
        <w:tc>
          <w:tcPr>
            <w:tcW w:w="1295" w:type="dxa"/>
            <w:tcBorders>
              <w:top w:val="double" w:color="auto" w:sz="6" w:space="0"/>
              <w:bottom w:val="single" w:color="auto" w:sz="6" w:space="0"/>
            </w:tcBorders>
            <w:noWrap w:val="0"/>
            <w:vAlign w:val="center"/>
          </w:tcPr>
          <w:p w14:paraId="200A08CA">
            <w:pPr>
              <w:keepNext/>
              <w:adjustRightInd w:val="0"/>
              <w:snapToGrid w:val="0"/>
              <w:spacing w:line="288" w:lineRule="auto"/>
              <w:ind w:left="62" w:right="62"/>
              <w:jc w:val="center"/>
              <w:rPr>
                <w:rFonts w:ascii="宋体" w:hAnsi="宋体" w:cs="仿宋"/>
                <w:sz w:val="24"/>
              </w:rPr>
            </w:pPr>
          </w:p>
        </w:tc>
        <w:tc>
          <w:tcPr>
            <w:tcW w:w="1246" w:type="dxa"/>
            <w:tcBorders>
              <w:top w:val="double" w:color="auto" w:sz="6" w:space="0"/>
              <w:bottom w:val="single" w:color="auto" w:sz="6" w:space="0"/>
            </w:tcBorders>
            <w:noWrap w:val="0"/>
            <w:vAlign w:val="center"/>
          </w:tcPr>
          <w:p w14:paraId="5FB2F85D">
            <w:pPr>
              <w:keepNext/>
              <w:adjustRightInd w:val="0"/>
              <w:snapToGrid w:val="0"/>
              <w:spacing w:line="288" w:lineRule="auto"/>
              <w:ind w:left="62" w:right="62"/>
              <w:jc w:val="center"/>
              <w:rPr>
                <w:rFonts w:ascii="宋体" w:hAnsi="宋体" w:cs="仿宋"/>
                <w:sz w:val="24"/>
              </w:rPr>
            </w:pPr>
          </w:p>
        </w:tc>
      </w:tr>
      <w:tr w14:paraId="5558C5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3869" w:type="dxa"/>
            <w:tcBorders>
              <w:top w:val="nil"/>
            </w:tcBorders>
            <w:noWrap w:val="0"/>
            <w:vAlign w:val="center"/>
          </w:tcPr>
          <w:p w14:paraId="6966CB7F">
            <w:pPr>
              <w:keepNext/>
              <w:adjustRightInd w:val="0"/>
              <w:snapToGrid w:val="0"/>
              <w:spacing w:line="288" w:lineRule="auto"/>
              <w:ind w:left="62" w:right="62"/>
              <w:jc w:val="center"/>
              <w:rPr>
                <w:rFonts w:ascii="宋体" w:hAnsi="宋体" w:cs="仿宋"/>
                <w:sz w:val="24"/>
              </w:rPr>
            </w:pPr>
          </w:p>
        </w:tc>
        <w:tc>
          <w:tcPr>
            <w:tcW w:w="803" w:type="dxa"/>
            <w:tcBorders>
              <w:top w:val="nil"/>
            </w:tcBorders>
            <w:noWrap w:val="0"/>
            <w:vAlign w:val="center"/>
          </w:tcPr>
          <w:p w14:paraId="088C0D03">
            <w:pPr>
              <w:keepNext/>
              <w:adjustRightInd w:val="0"/>
              <w:snapToGrid w:val="0"/>
              <w:spacing w:line="288" w:lineRule="auto"/>
              <w:ind w:left="62" w:right="62"/>
              <w:jc w:val="center"/>
              <w:rPr>
                <w:rFonts w:ascii="宋体" w:hAnsi="宋体" w:cs="仿宋"/>
                <w:sz w:val="24"/>
              </w:rPr>
            </w:pPr>
          </w:p>
        </w:tc>
        <w:tc>
          <w:tcPr>
            <w:tcW w:w="1590" w:type="dxa"/>
            <w:tcBorders>
              <w:top w:val="nil"/>
            </w:tcBorders>
            <w:noWrap w:val="0"/>
            <w:vAlign w:val="center"/>
          </w:tcPr>
          <w:p w14:paraId="085EE004">
            <w:pPr>
              <w:keepNext/>
              <w:adjustRightInd w:val="0"/>
              <w:snapToGrid w:val="0"/>
              <w:spacing w:line="288" w:lineRule="auto"/>
              <w:ind w:left="62" w:right="62"/>
              <w:jc w:val="center"/>
              <w:rPr>
                <w:rFonts w:ascii="宋体" w:hAnsi="宋体" w:cs="仿宋"/>
                <w:sz w:val="24"/>
              </w:rPr>
            </w:pPr>
          </w:p>
        </w:tc>
        <w:tc>
          <w:tcPr>
            <w:tcW w:w="816" w:type="dxa"/>
            <w:tcBorders>
              <w:top w:val="nil"/>
            </w:tcBorders>
            <w:noWrap w:val="0"/>
            <w:vAlign w:val="center"/>
          </w:tcPr>
          <w:p w14:paraId="4A18833F">
            <w:pPr>
              <w:keepNext/>
              <w:adjustRightInd w:val="0"/>
              <w:snapToGrid w:val="0"/>
              <w:spacing w:line="288" w:lineRule="auto"/>
              <w:ind w:left="62" w:right="62"/>
              <w:jc w:val="center"/>
              <w:rPr>
                <w:rFonts w:ascii="宋体" w:hAnsi="宋体" w:cs="仿宋"/>
                <w:sz w:val="24"/>
              </w:rPr>
            </w:pPr>
          </w:p>
        </w:tc>
        <w:tc>
          <w:tcPr>
            <w:tcW w:w="850" w:type="dxa"/>
            <w:tcBorders>
              <w:top w:val="nil"/>
            </w:tcBorders>
            <w:noWrap w:val="0"/>
            <w:vAlign w:val="center"/>
          </w:tcPr>
          <w:p w14:paraId="6E5F6635">
            <w:pPr>
              <w:keepNext/>
              <w:adjustRightInd w:val="0"/>
              <w:snapToGrid w:val="0"/>
              <w:spacing w:line="288" w:lineRule="auto"/>
              <w:ind w:left="62" w:right="62"/>
              <w:jc w:val="center"/>
              <w:rPr>
                <w:rFonts w:ascii="宋体" w:hAnsi="宋体" w:cs="仿宋"/>
                <w:sz w:val="24"/>
              </w:rPr>
            </w:pPr>
          </w:p>
        </w:tc>
        <w:tc>
          <w:tcPr>
            <w:tcW w:w="1560" w:type="dxa"/>
            <w:tcBorders>
              <w:top w:val="nil"/>
            </w:tcBorders>
            <w:noWrap w:val="0"/>
            <w:vAlign w:val="center"/>
          </w:tcPr>
          <w:p w14:paraId="7356230C">
            <w:pPr>
              <w:keepNext/>
              <w:adjustRightInd w:val="0"/>
              <w:snapToGrid w:val="0"/>
              <w:spacing w:line="288" w:lineRule="auto"/>
              <w:ind w:left="62" w:right="62"/>
              <w:jc w:val="center"/>
              <w:rPr>
                <w:rFonts w:ascii="宋体" w:hAnsi="宋体" w:cs="仿宋"/>
                <w:sz w:val="24"/>
              </w:rPr>
            </w:pPr>
          </w:p>
        </w:tc>
        <w:tc>
          <w:tcPr>
            <w:tcW w:w="1381" w:type="dxa"/>
            <w:tcBorders>
              <w:top w:val="nil"/>
            </w:tcBorders>
            <w:noWrap w:val="0"/>
            <w:vAlign w:val="center"/>
          </w:tcPr>
          <w:p w14:paraId="52165363">
            <w:pPr>
              <w:keepNext/>
              <w:adjustRightInd w:val="0"/>
              <w:snapToGrid w:val="0"/>
              <w:spacing w:line="288" w:lineRule="auto"/>
              <w:ind w:left="62" w:right="62"/>
              <w:jc w:val="center"/>
              <w:rPr>
                <w:rFonts w:ascii="宋体" w:hAnsi="宋体" w:cs="仿宋"/>
                <w:sz w:val="24"/>
              </w:rPr>
            </w:pPr>
          </w:p>
        </w:tc>
        <w:tc>
          <w:tcPr>
            <w:tcW w:w="1475" w:type="dxa"/>
            <w:tcBorders>
              <w:top w:val="nil"/>
            </w:tcBorders>
            <w:noWrap w:val="0"/>
            <w:vAlign w:val="center"/>
          </w:tcPr>
          <w:p w14:paraId="148A177E">
            <w:pPr>
              <w:keepNext/>
              <w:adjustRightInd w:val="0"/>
              <w:snapToGrid w:val="0"/>
              <w:spacing w:line="288" w:lineRule="auto"/>
              <w:ind w:left="62" w:right="62"/>
              <w:jc w:val="center"/>
              <w:rPr>
                <w:rFonts w:ascii="宋体" w:hAnsi="宋体" w:cs="仿宋"/>
                <w:sz w:val="24"/>
              </w:rPr>
            </w:pPr>
          </w:p>
        </w:tc>
        <w:tc>
          <w:tcPr>
            <w:tcW w:w="1295" w:type="dxa"/>
            <w:tcBorders>
              <w:top w:val="nil"/>
            </w:tcBorders>
            <w:noWrap w:val="0"/>
            <w:vAlign w:val="center"/>
          </w:tcPr>
          <w:p w14:paraId="21AB486C">
            <w:pPr>
              <w:keepNext/>
              <w:adjustRightInd w:val="0"/>
              <w:snapToGrid w:val="0"/>
              <w:spacing w:line="288" w:lineRule="auto"/>
              <w:ind w:left="62" w:right="62"/>
              <w:jc w:val="center"/>
              <w:rPr>
                <w:rFonts w:ascii="宋体" w:hAnsi="宋体" w:cs="仿宋"/>
                <w:sz w:val="24"/>
              </w:rPr>
            </w:pPr>
          </w:p>
        </w:tc>
        <w:tc>
          <w:tcPr>
            <w:tcW w:w="1246" w:type="dxa"/>
            <w:tcBorders>
              <w:top w:val="nil"/>
            </w:tcBorders>
            <w:noWrap w:val="0"/>
            <w:vAlign w:val="center"/>
          </w:tcPr>
          <w:p w14:paraId="1B83F98D">
            <w:pPr>
              <w:keepNext/>
              <w:adjustRightInd w:val="0"/>
              <w:snapToGrid w:val="0"/>
              <w:spacing w:line="288" w:lineRule="auto"/>
              <w:ind w:left="62" w:right="62"/>
              <w:jc w:val="center"/>
              <w:rPr>
                <w:rFonts w:ascii="宋体" w:hAnsi="宋体" w:cs="仿宋"/>
                <w:sz w:val="24"/>
              </w:rPr>
            </w:pPr>
          </w:p>
        </w:tc>
      </w:tr>
      <w:tr w14:paraId="642744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3869" w:type="dxa"/>
            <w:tcBorders>
              <w:top w:val="nil"/>
            </w:tcBorders>
            <w:noWrap w:val="0"/>
            <w:vAlign w:val="center"/>
          </w:tcPr>
          <w:p w14:paraId="116A1A1B">
            <w:pPr>
              <w:keepNext/>
              <w:adjustRightInd w:val="0"/>
              <w:snapToGrid w:val="0"/>
              <w:spacing w:line="288" w:lineRule="auto"/>
              <w:ind w:left="62" w:right="62"/>
              <w:jc w:val="center"/>
              <w:rPr>
                <w:rFonts w:ascii="宋体" w:hAnsi="宋体" w:cs="仿宋"/>
                <w:sz w:val="24"/>
              </w:rPr>
            </w:pPr>
          </w:p>
        </w:tc>
        <w:tc>
          <w:tcPr>
            <w:tcW w:w="803" w:type="dxa"/>
            <w:tcBorders>
              <w:top w:val="nil"/>
            </w:tcBorders>
            <w:noWrap w:val="0"/>
            <w:vAlign w:val="center"/>
          </w:tcPr>
          <w:p w14:paraId="5844F6CD">
            <w:pPr>
              <w:keepNext/>
              <w:adjustRightInd w:val="0"/>
              <w:snapToGrid w:val="0"/>
              <w:spacing w:line="288" w:lineRule="auto"/>
              <w:ind w:left="62" w:right="62"/>
              <w:jc w:val="center"/>
              <w:rPr>
                <w:rFonts w:ascii="宋体" w:hAnsi="宋体" w:cs="仿宋"/>
                <w:sz w:val="24"/>
              </w:rPr>
            </w:pPr>
          </w:p>
        </w:tc>
        <w:tc>
          <w:tcPr>
            <w:tcW w:w="1590" w:type="dxa"/>
            <w:tcBorders>
              <w:top w:val="nil"/>
            </w:tcBorders>
            <w:noWrap w:val="0"/>
            <w:vAlign w:val="center"/>
          </w:tcPr>
          <w:p w14:paraId="07FBD5CA">
            <w:pPr>
              <w:keepNext/>
              <w:adjustRightInd w:val="0"/>
              <w:snapToGrid w:val="0"/>
              <w:spacing w:line="288" w:lineRule="auto"/>
              <w:ind w:left="62" w:right="62"/>
              <w:jc w:val="center"/>
              <w:rPr>
                <w:rFonts w:ascii="宋体" w:hAnsi="宋体" w:cs="仿宋"/>
                <w:sz w:val="24"/>
              </w:rPr>
            </w:pPr>
          </w:p>
        </w:tc>
        <w:tc>
          <w:tcPr>
            <w:tcW w:w="816" w:type="dxa"/>
            <w:tcBorders>
              <w:top w:val="nil"/>
            </w:tcBorders>
            <w:noWrap w:val="0"/>
            <w:vAlign w:val="center"/>
          </w:tcPr>
          <w:p w14:paraId="3AD9F8A7">
            <w:pPr>
              <w:keepNext/>
              <w:adjustRightInd w:val="0"/>
              <w:snapToGrid w:val="0"/>
              <w:spacing w:line="288" w:lineRule="auto"/>
              <w:ind w:left="62" w:right="62"/>
              <w:jc w:val="center"/>
              <w:rPr>
                <w:rFonts w:ascii="宋体" w:hAnsi="宋体" w:cs="仿宋"/>
                <w:sz w:val="24"/>
              </w:rPr>
            </w:pPr>
          </w:p>
        </w:tc>
        <w:tc>
          <w:tcPr>
            <w:tcW w:w="850" w:type="dxa"/>
            <w:tcBorders>
              <w:top w:val="nil"/>
            </w:tcBorders>
            <w:noWrap w:val="0"/>
            <w:vAlign w:val="center"/>
          </w:tcPr>
          <w:p w14:paraId="5113F1FC">
            <w:pPr>
              <w:keepNext/>
              <w:adjustRightInd w:val="0"/>
              <w:snapToGrid w:val="0"/>
              <w:spacing w:line="288" w:lineRule="auto"/>
              <w:ind w:left="62" w:right="62"/>
              <w:jc w:val="center"/>
              <w:rPr>
                <w:rFonts w:ascii="宋体" w:hAnsi="宋体" w:cs="仿宋"/>
                <w:sz w:val="24"/>
              </w:rPr>
            </w:pPr>
          </w:p>
        </w:tc>
        <w:tc>
          <w:tcPr>
            <w:tcW w:w="1560" w:type="dxa"/>
            <w:tcBorders>
              <w:top w:val="nil"/>
            </w:tcBorders>
            <w:noWrap w:val="0"/>
            <w:vAlign w:val="center"/>
          </w:tcPr>
          <w:p w14:paraId="4540CEB8">
            <w:pPr>
              <w:keepNext/>
              <w:adjustRightInd w:val="0"/>
              <w:snapToGrid w:val="0"/>
              <w:spacing w:line="288" w:lineRule="auto"/>
              <w:ind w:left="62" w:right="62"/>
              <w:jc w:val="center"/>
              <w:rPr>
                <w:rFonts w:ascii="宋体" w:hAnsi="宋体" w:cs="仿宋"/>
                <w:sz w:val="24"/>
              </w:rPr>
            </w:pPr>
          </w:p>
        </w:tc>
        <w:tc>
          <w:tcPr>
            <w:tcW w:w="1381" w:type="dxa"/>
            <w:tcBorders>
              <w:top w:val="nil"/>
            </w:tcBorders>
            <w:noWrap w:val="0"/>
            <w:vAlign w:val="center"/>
          </w:tcPr>
          <w:p w14:paraId="62A39C9A">
            <w:pPr>
              <w:keepNext/>
              <w:adjustRightInd w:val="0"/>
              <w:snapToGrid w:val="0"/>
              <w:spacing w:line="288" w:lineRule="auto"/>
              <w:ind w:left="62" w:right="62"/>
              <w:rPr>
                <w:rFonts w:ascii="宋体" w:hAnsi="宋体" w:cs="仿宋"/>
                <w:sz w:val="24"/>
              </w:rPr>
            </w:pPr>
          </w:p>
        </w:tc>
        <w:tc>
          <w:tcPr>
            <w:tcW w:w="1475" w:type="dxa"/>
            <w:tcBorders>
              <w:top w:val="nil"/>
            </w:tcBorders>
            <w:noWrap w:val="0"/>
            <w:vAlign w:val="center"/>
          </w:tcPr>
          <w:p w14:paraId="4D35F6C5">
            <w:pPr>
              <w:keepNext/>
              <w:adjustRightInd w:val="0"/>
              <w:snapToGrid w:val="0"/>
              <w:spacing w:line="288" w:lineRule="auto"/>
              <w:ind w:left="62" w:right="62"/>
              <w:jc w:val="center"/>
              <w:rPr>
                <w:rFonts w:ascii="宋体" w:hAnsi="宋体" w:cs="仿宋"/>
                <w:sz w:val="24"/>
              </w:rPr>
            </w:pPr>
          </w:p>
        </w:tc>
        <w:tc>
          <w:tcPr>
            <w:tcW w:w="1295" w:type="dxa"/>
            <w:tcBorders>
              <w:top w:val="nil"/>
            </w:tcBorders>
            <w:noWrap w:val="0"/>
            <w:vAlign w:val="center"/>
          </w:tcPr>
          <w:p w14:paraId="24D538E0">
            <w:pPr>
              <w:keepNext/>
              <w:adjustRightInd w:val="0"/>
              <w:snapToGrid w:val="0"/>
              <w:spacing w:line="288" w:lineRule="auto"/>
              <w:ind w:left="62" w:right="62"/>
              <w:jc w:val="center"/>
              <w:rPr>
                <w:rFonts w:ascii="宋体" w:hAnsi="宋体" w:cs="仿宋"/>
                <w:sz w:val="24"/>
              </w:rPr>
            </w:pPr>
          </w:p>
        </w:tc>
        <w:tc>
          <w:tcPr>
            <w:tcW w:w="1246" w:type="dxa"/>
            <w:tcBorders>
              <w:top w:val="nil"/>
            </w:tcBorders>
            <w:noWrap w:val="0"/>
            <w:vAlign w:val="center"/>
          </w:tcPr>
          <w:p w14:paraId="6470AF89">
            <w:pPr>
              <w:keepNext/>
              <w:adjustRightInd w:val="0"/>
              <w:snapToGrid w:val="0"/>
              <w:spacing w:line="288" w:lineRule="auto"/>
              <w:ind w:left="62" w:right="62"/>
              <w:jc w:val="center"/>
              <w:rPr>
                <w:rFonts w:ascii="宋体" w:hAnsi="宋体" w:cs="仿宋"/>
                <w:sz w:val="24"/>
              </w:rPr>
            </w:pPr>
          </w:p>
        </w:tc>
      </w:tr>
      <w:tr w14:paraId="6E0422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3869" w:type="dxa"/>
            <w:noWrap w:val="0"/>
            <w:vAlign w:val="center"/>
          </w:tcPr>
          <w:p w14:paraId="6A12781C">
            <w:pPr>
              <w:keepNext/>
              <w:adjustRightInd w:val="0"/>
              <w:snapToGrid w:val="0"/>
              <w:spacing w:line="288" w:lineRule="auto"/>
              <w:ind w:left="62" w:right="62"/>
              <w:jc w:val="center"/>
              <w:rPr>
                <w:rFonts w:ascii="宋体" w:hAnsi="宋体" w:cs="仿宋"/>
                <w:sz w:val="24"/>
              </w:rPr>
            </w:pPr>
          </w:p>
        </w:tc>
        <w:tc>
          <w:tcPr>
            <w:tcW w:w="803" w:type="dxa"/>
            <w:noWrap w:val="0"/>
            <w:vAlign w:val="center"/>
          </w:tcPr>
          <w:p w14:paraId="11E8428F">
            <w:pPr>
              <w:keepNext/>
              <w:adjustRightInd w:val="0"/>
              <w:snapToGrid w:val="0"/>
              <w:spacing w:line="288" w:lineRule="auto"/>
              <w:ind w:left="62" w:right="62"/>
              <w:jc w:val="center"/>
              <w:rPr>
                <w:rFonts w:ascii="宋体" w:hAnsi="宋体" w:cs="仿宋"/>
                <w:sz w:val="24"/>
              </w:rPr>
            </w:pPr>
          </w:p>
        </w:tc>
        <w:tc>
          <w:tcPr>
            <w:tcW w:w="1590" w:type="dxa"/>
            <w:noWrap w:val="0"/>
            <w:vAlign w:val="center"/>
          </w:tcPr>
          <w:p w14:paraId="1B049D19">
            <w:pPr>
              <w:keepNext/>
              <w:adjustRightInd w:val="0"/>
              <w:snapToGrid w:val="0"/>
              <w:spacing w:line="288" w:lineRule="auto"/>
              <w:ind w:left="62" w:right="62"/>
              <w:jc w:val="center"/>
              <w:rPr>
                <w:rFonts w:ascii="宋体" w:hAnsi="宋体" w:cs="仿宋"/>
                <w:sz w:val="24"/>
              </w:rPr>
            </w:pPr>
          </w:p>
        </w:tc>
        <w:tc>
          <w:tcPr>
            <w:tcW w:w="816" w:type="dxa"/>
            <w:noWrap w:val="0"/>
            <w:vAlign w:val="center"/>
          </w:tcPr>
          <w:p w14:paraId="4C0C164C">
            <w:pPr>
              <w:keepNext/>
              <w:adjustRightInd w:val="0"/>
              <w:snapToGrid w:val="0"/>
              <w:spacing w:line="288" w:lineRule="auto"/>
              <w:ind w:left="62" w:right="62"/>
              <w:jc w:val="center"/>
              <w:rPr>
                <w:rFonts w:ascii="宋体" w:hAnsi="宋体" w:cs="仿宋"/>
                <w:sz w:val="24"/>
              </w:rPr>
            </w:pPr>
          </w:p>
        </w:tc>
        <w:tc>
          <w:tcPr>
            <w:tcW w:w="850" w:type="dxa"/>
            <w:noWrap w:val="0"/>
            <w:vAlign w:val="center"/>
          </w:tcPr>
          <w:p w14:paraId="13D35D75">
            <w:pPr>
              <w:keepNext/>
              <w:adjustRightInd w:val="0"/>
              <w:snapToGrid w:val="0"/>
              <w:spacing w:line="288" w:lineRule="auto"/>
              <w:ind w:left="62" w:right="62"/>
              <w:jc w:val="center"/>
              <w:rPr>
                <w:rFonts w:ascii="宋体" w:hAnsi="宋体" w:cs="仿宋"/>
                <w:sz w:val="24"/>
              </w:rPr>
            </w:pPr>
          </w:p>
        </w:tc>
        <w:tc>
          <w:tcPr>
            <w:tcW w:w="1560" w:type="dxa"/>
            <w:noWrap w:val="0"/>
            <w:vAlign w:val="center"/>
          </w:tcPr>
          <w:p w14:paraId="46FBF044">
            <w:pPr>
              <w:keepNext/>
              <w:adjustRightInd w:val="0"/>
              <w:snapToGrid w:val="0"/>
              <w:spacing w:line="288" w:lineRule="auto"/>
              <w:ind w:left="62" w:right="62"/>
              <w:jc w:val="center"/>
              <w:rPr>
                <w:rFonts w:ascii="宋体" w:hAnsi="宋体" w:cs="仿宋"/>
                <w:sz w:val="24"/>
              </w:rPr>
            </w:pPr>
          </w:p>
        </w:tc>
        <w:tc>
          <w:tcPr>
            <w:tcW w:w="1381" w:type="dxa"/>
            <w:noWrap w:val="0"/>
            <w:vAlign w:val="center"/>
          </w:tcPr>
          <w:p w14:paraId="13ECCA69">
            <w:pPr>
              <w:keepNext/>
              <w:adjustRightInd w:val="0"/>
              <w:snapToGrid w:val="0"/>
              <w:spacing w:line="288" w:lineRule="auto"/>
              <w:ind w:left="62" w:right="62"/>
              <w:jc w:val="center"/>
              <w:rPr>
                <w:rFonts w:ascii="宋体" w:hAnsi="宋体" w:cs="仿宋"/>
                <w:sz w:val="24"/>
              </w:rPr>
            </w:pPr>
          </w:p>
        </w:tc>
        <w:tc>
          <w:tcPr>
            <w:tcW w:w="1475" w:type="dxa"/>
            <w:noWrap w:val="0"/>
            <w:vAlign w:val="center"/>
          </w:tcPr>
          <w:p w14:paraId="7CDF66B8">
            <w:pPr>
              <w:keepNext/>
              <w:adjustRightInd w:val="0"/>
              <w:snapToGrid w:val="0"/>
              <w:spacing w:line="288" w:lineRule="auto"/>
              <w:ind w:left="62" w:right="62"/>
              <w:jc w:val="center"/>
              <w:rPr>
                <w:rFonts w:ascii="宋体" w:hAnsi="宋体" w:cs="仿宋"/>
                <w:sz w:val="24"/>
              </w:rPr>
            </w:pPr>
          </w:p>
        </w:tc>
        <w:tc>
          <w:tcPr>
            <w:tcW w:w="1295" w:type="dxa"/>
            <w:noWrap w:val="0"/>
            <w:vAlign w:val="center"/>
          </w:tcPr>
          <w:p w14:paraId="4CEF8914">
            <w:pPr>
              <w:keepNext/>
              <w:adjustRightInd w:val="0"/>
              <w:snapToGrid w:val="0"/>
              <w:spacing w:line="288" w:lineRule="auto"/>
              <w:ind w:left="62" w:right="62"/>
              <w:jc w:val="center"/>
              <w:rPr>
                <w:rFonts w:ascii="宋体" w:hAnsi="宋体" w:cs="仿宋"/>
                <w:sz w:val="24"/>
              </w:rPr>
            </w:pPr>
          </w:p>
        </w:tc>
        <w:tc>
          <w:tcPr>
            <w:tcW w:w="1246" w:type="dxa"/>
            <w:noWrap w:val="0"/>
            <w:vAlign w:val="center"/>
          </w:tcPr>
          <w:p w14:paraId="3F3D8B7B">
            <w:pPr>
              <w:keepNext/>
              <w:adjustRightInd w:val="0"/>
              <w:snapToGrid w:val="0"/>
              <w:spacing w:line="288" w:lineRule="auto"/>
              <w:ind w:left="62" w:right="62"/>
              <w:jc w:val="center"/>
              <w:rPr>
                <w:rFonts w:ascii="宋体" w:hAnsi="宋体" w:cs="仿宋"/>
                <w:sz w:val="24"/>
              </w:rPr>
            </w:pPr>
          </w:p>
        </w:tc>
      </w:tr>
      <w:tr w14:paraId="6C5F9C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3869" w:type="dxa"/>
            <w:tcBorders>
              <w:top w:val="nil"/>
            </w:tcBorders>
            <w:noWrap w:val="0"/>
            <w:vAlign w:val="center"/>
          </w:tcPr>
          <w:p w14:paraId="54C03F1E">
            <w:pPr>
              <w:keepNext/>
              <w:adjustRightInd w:val="0"/>
              <w:snapToGrid w:val="0"/>
              <w:spacing w:line="288" w:lineRule="auto"/>
              <w:ind w:left="62" w:right="62"/>
              <w:jc w:val="center"/>
              <w:rPr>
                <w:rFonts w:ascii="宋体" w:hAnsi="宋体" w:cs="仿宋"/>
                <w:sz w:val="24"/>
              </w:rPr>
            </w:pPr>
          </w:p>
        </w:tc>
        <w:tc>
          <w:tcPr>
            <w:tcW w:w="803" w:type="dxa"/>
            <w:tcBorders>
              <w:top w:val="nil"/>
            </w:tcBorders>
            <w:noWrap w:val="0"/>
            <w:vAlign w:val="center"/>
          </w:tcPr>
          <w:p w14:paraId="58CB7233">
            <w:pPr>
              <w:keepNext/>
              <w:adjustRightInd w:val="0"/>
              <w:snapToGrid w:val="0"/>
              <w:spacing w:line="288" w:lineRule="auto"/>
              <w:ind w:left="62" w:right="62"/>
              <w:jc w:val="center"/>
              <w:rPr>
                <w:rFonts w:ascii="宋体" w:hAnsi="宋体" w:cs="仿宋"/>
                <w:sz w:val="24"/>
              </w:rPr>
            </w:pPr>
          </w:p>
        </w:tc>
        <w:tc>
          <w:tcPr>
            <w:tcW w:w="1590" w:type="dxa"/>
            <w:tcBorders>
              <w:top w:val="nil"/>
            </w:tcBorders>
            <w:noWrap w:val="0"/>
            <w:vAlign w:val="center"/>
          </w:tcPr>
          <w:p w14:paraId="3DC21BA6">
            <w:pPr>
              <w:keepNext/>
              <w:adjustRightInd w:val="0"/>
              <w:snapToGrid w:val="0"/>
              <w:spacing w:line="288" w:lineRule="auto"/>
              <w:ind w:left="62" w:right="62"/>
              <w:jc w:val="center"/>
              <w:rPr>
                <w:rFonts w:ascii="宋体" w:hAnsi="宋体" w:cs="仿宋"/>
                <w:sz w:val="24"/>
              </w:rPr>
            </w:pPr>
          </w:p>
        </w:tc>
        <w:tc>
          <w:tcPr>
            <w:tcW w:w="816" w:type="dxa"/>
            <w:tcBorders>
              <w:top w:val="nil"/>
            </w:tcBorders>
            <w:noWrap w:val="0"/>
            <w:vAlign w:val="center"/>
          </w:tcPr>
          <w:p w14:paraId="10600BF7">
            <w:pPr>
              <w:keepNext/>
              <w:adjustRightInd w:val="0"/>
              <w:snapToGrid w:val="0"/>
              <w:spacing w:line="288" w:lineRule="auto"/>
              <w:ind w:left="62" w:right="62"/>
              <w:jc w:val="center"/>
              <w:rPr>
                <w:rFonts w:ascii="宋体" w:hAnsi="宋体" w:cs="仿宋"/>
                <w:sz w:val="24"/>
              </w:rPr>
            </w:pPr>
          </w:p>
        </w:tc>
        <w:tc>
          <w:tcPr>
            <w:tcW w:w="850" w:type="dxa"/>
            <w:tcBorders>
              <w:top w:val="nil"/>
            </w:tcBorders>
            <w:noWrap w:val="0"/>
            <w:vAlign w:val="center"/>
          </w:tcPr>
          <w:p w14:paraId="264A0CA7">
            <w:pPr>
              <w:keepNext/>
              <w:adjustRightInd w:val="0"/>
              <w:snapToGrid w:val="0"/>
              <w:spacing w:line="288" w:lineRule="auto"/>
              <w:ind w:left="62" w:right="62"/>
              <w:jc w:val="center"/>
              <w:rPr>
                <w:rFonts w:ascii="宋体" w:hAnsi="宋体" w:cs="仿宋"/>
                <w:sz w:val="24"/>
              </w:rPr>
            </w:pPr>
          </w:p>
        </w:tc>
        <w:tc>
          <w:tcPr>
            <w:tcW w:w="1560" w:type="dxa"/>
            <w:tcBorders>
              <w:top w:val="nil"/>
            </w:tcBorders>
            <w:noWrap w:val="0"/>
            <w:vAlign w:val="center"/>
          </w:tcPr>
          <w:p w14:paraId="74126E0D">
            <w:pPr>
              <w:keepNext/>
              <w:adjustRightInd w:val="0"/>
              <w:snapToGrid w:val="0"/>
              <w:spacing w:line="288" w:lineRule="auto"/>
              <w:ind w:left="62" w:right="62"/>
              <w:jc w:val="center"/>
              <w:rPr>
                <w:rFonts w:ascii="宋体" w:hAnsi="宋体" w:cs="仿宋"/>
                <w:sz w:val="24"/>
              </w:rPr>
            </w:pPr>
          </w:p>
        </w:tc>
        <w:tc>
          <w:tcPr>
            <w:tcW w:w="1381" w:type="dxa"/>
            <w:tcBorders>
              <w:top w:val="nil"/>
            </w:tcBorders>
            <w:noWrap w:val="0"/>
            <w:vAlign w:val="center"/>
          </w:tcPr>
          <w:p w14:paraId="1B7F6605">
            <w:pPr>
              <w:keepNext/>
              <w:adjustRightInd w:val="0"/>
              <w:snapToGrid w:val="0"/>
              <w:spacing w:line="288" w:lineRule="auto"/>
              <w:ind w:left="62" w:right="62"/>
              <w:jc w:val="center"/>
              <w:rPr>
                <w:rFonts w:ascii="宋体" w:hAnsi="宋体" w:cs="仿宋"/>
                <w:sz w:val="24"/>
              </w:rPr>
            </w:pPr>
          </w:p>
        </w:tc>
        <w:tc>
          <w:tcPr>
            <w:tcW w:w="1475" w:type="dxa"/>
            <w:tcBorders>
              <w:top w:val="nil"/>
            </w:tcBorders>
            <w:noWrap w:val="0"/>
            <w:vAlign w:val="center"/>
          </w:tcPr>
          <w:p w14:paraId="578F2560">
            <w:pPr>
              <w:keepNext/>
              <w:adjustRightInd w:val="0"/>
              <w:snapToGrid w:val="0"/>
              <w:spacing w:line="288" w:lineRule="auto"/>
              <w:ind w:left="62" w:right="62"/>
              <w:jc w:val="center"/>
              <w:rPr>
                <w:rFonts w:ascii="宋体" w:hAnsi="宋体" w:cs="仿宋"/>
                <w:sz w:val="24"/>
              </w:rPr>
            </w:pPr>
          </w:p>
        </w:tc>
        <w:tc>
          <w:tcPr>
            <w:tcW w:w="1295" w:type="dxa"/>
            <w:tcBorders>
              <w:top w:val="nil"/>
            </w:tcBorders>
            <w:noWrap w:val="0"/>
            <w:vAlign w:val="center"/>
          </w:tcPr>
          <w:p w14:paraId="0B547856">
            <w:pPr>
              <w:keepNext/>
              <w:adjustRightInd w:val="0"/>
              <w:snapToGrid w:val="0"/>
              <w:spacing w:line="288" w:lineRule="auto"/>
              <w:ind w:left="62" w:right="62"/>
              <w:jc w:val="center"/>
              <w:rPr>
                <w:rFonts w:ascii="宋体" w:hAnsi="宋体" w:cs="仿宋"/>
                <w:sz w:val="24"/>
              </w:rPr>
            </w:pPr>
          </w:p>
        </w:tc>
        <w:tc>
          <w:tcPr>
            <w:tcW w:w="1246" w:type="dxa"/>
            <w:tcBorders>
              <w:top w:val="nil"/>
            </w:tcBorders>
            <w:noWrap w:val="0"/>
            <w:vAlign w:val="center"/>
          </w:tcPr>
          <w:p w14:paraId="3AA6DF38">
            <w:pPr>
              <w:keepNext/>
              <w:adjustRightInd w:val="0"/>
              <w:snapToGrid w:val="0"/>
              <w:spacing w:line="288" w:lineRule="auto"/>
              <w:ind w:left="62" w:right="62"/>
              <w:jc w:val="center"/>
              <w:rPr>
                <w:rFonts w:ascii="宋体" w:hAnsi="宋体" w:cs="仿宋"/>
                <w:sz w:val="24"/>
              </w:rPr>
            </w:pPr>
          </w:p>
        </w:tc>
      </w:tr>
      <w:tr w14:paraId="30FE29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3869" w:type="dxa"/>
            <w:noWrap w:val="0"/>
            <w:vAlign w:val="center"/>
          </w:tcPr>
          <w:p w14:paraId="06DDE022">
            <w:pPr>
              <w:keepNext/>
              <w:adjustRightInd w:val="0"/>
              <w:snapToGrid w:val="0"/>
              <w:spacing w:line="288" w:lineRule="auto"/>
              <w:ind w:left="62" w:right="62"/>
              <w:jc w:val="center"/>
              <w:rPr>
                <w:rFonts w:ascii="宋体" w:hAnsi="宋体" w:cs="仿宋"/>
                <w:sz w:val="24"/>
              </w:rPr>
            </w:pPr>
          </w:p>
        </w:tc>
        <w:tc>
          <w:tcPr>
            <w:tcW w:w="803" w:type="dxa"/>
            <w:noWrap w:val="0"/>
            <w:vAlign w:val="center"/>
          </w:tcPr>
          <w:p w14:paraId="0C007205">
            <w:pPr>
              <w:keepNext/>
              <w:adjustRightInd w:val="0"/>
              <w:snapToGrid w:val="0"/>
              <w:spacing w:line="288" w:lineRule="auto"/>
              <w:ind w:left="62" w:right="62"/>
              <w:jc w:val="center"/>
              <w:rPr>
                <w:rFonts w:ascii="宋体" w:hAnsi="宋体" w:cs="仿宋"/>
                <w:sz w:val="24"/>
              </w:rPr>
            </w:pPr>
          </w:p>
        </w:tc>
        <w:tc>
          <w:tcPr>
            <w:tcW w:w="1590" w:type="dxa"/>
            <w:noWrap w:val="0"/>
            <w:vAlign w:val="center"/>
          </w:tcPr>
          <w:p w14:paraId="70113378">
            <w:pPr>
              <w:keepNext/>
              <w:adjustRightInd w:val="0"/>
              <w:snapToGrid w:val="0"/>
              <w:spacing w:line="288" w:lineRule="auto"/>
              <w:ind w:left="62" w:right="62"/>
              <w:jc w:val="center"/>
              <w:rPr>
                <w:rFonts w:ascii="宋体" w:hAnsi="宋体" w:cs="仿宋"/>
                <w:sz w:val="24"/>
              </w:rPr>
            </w:pPr>
          </w:p>
        </w:tc>
        <w:tc>
          <w:tcPr>
            <w:tcW w:w="816" w:type="dxa"/>
            <w:noWrap w:val="0"/>
            <w:vAlign w:val="center"/>
          </w:tcPr>
          <w:p w14:paraId="0F5CA033">
            <w:pPr>
              <w:keepNext/>
              <w:adjustRightInd w:val="0"/>
              <w:snapToGrid w:val="0"/>
              <w:spacing w:line="288" w:lineRule="auto"/>
              <w:ind w:left="62" w:right="62"/>
              <w:jc w:val="center"/>
              <w:rPr>
                <w:rFonts w:ascii="宋体" w:hAnsi="宋体" w:cs="仿宋"/>
                <w:sz w:val="24"/>
              </w:rPr>
            </w:pPr>
          </w:p>
        </w:tc>
        <w:tc>
          <w:tcPr>
            <w:tcW w:w="850" w:type="dxa"/>
            <w:noWrap w:val="0"/>
            <w:vAlign w:val="center"/>
          </w:tcPr>
          <w:p w14:paraId="277F5492">
            <w:pPr>
              <w:keepNext/>
              <w:adjustRightInd w:val="0"/>
              <w:snapToGrid w:val="0"/>
              <w:spacing w:line="288" w:lineRule="auto"/>
              <w:ind w:left="62" w:right="62"/>
              <w:jc w:val="center"/>
              <w:rPr>
                <w:rFonts w:ascii="宋体" w:hAnsi="宋体" w:cs="仿宋"/>
                <w:sz w:val="24"/>
              </w:rPr>
            </w:pPr>
          </w:p>
        </w:tc>
        <w:tc>
          <w:tcPr>
            <w:tcW w:w="1560" w:type="dxa"/>
            <w:noWrap w:val="0"/>
            <w:vAlign w:val="center"/>
          </w:tcPr>
          <w:p w14:paraId="18C5BB5A">
            <w:pPr>
              <w:keepNext/>
              <w:adjustRightInd w:val="0"/>
              <w:snapToGrid w:val="0"/>
              <w:spacing w:line="288" w:lineRule="auto"/>
              <w:ind w:left="62" w:right="62"/>
              <w:jc w:val="center"/>
              <w:rPr>
                <w:rFonts w:ascii="宋体" w:hAnsi="宋体" w:cs="仿宋"/>
                <w:sz w:val="24"/>
              </w:rPr>
            </w:pPr>
          </w:p>
        </w:tc>
        <w:tc>
          <w:tcPr>
            <w:tcW w:w="1381" w:type="dxa"/>
            <w:noWrap w:val="0"/>
            <w:vAlign w:val="center"/>
          </w:tcPr>
          <w:p w14:paraId="4CA0457C">
            <w:pPr>
              <w:keepNext/>
              <w:adjustRightInd w:val="0"/>
              <w:snapToGrid w:val="0"/>
              <w:spacing w:line="288" w:lineRule="auto"/>
              <w:ind w:left="62" w:right="62"/>
              <w:jc w:val="center"/>
              <w:rPr>
                <w:rFonts w:ascii="宋体" w:hAnsi="宋体" w:cs="仿宋"/>
                <w:sz w:val="24"/>
              </w:rPr>
            </w:pPr>
          </w:p>
        </w:tc>
        <w:tc>
          <w:tcPr>
            <w:tcW w:w="1475" w:type="dxa"/>
            <w:noWrap w:val="0"/>
            <w:vAlign w:val="center"/>
          </w:tcPr>
          <w:p w14:paraId="345FAE69">
            <w:pPr>
              <w:keepNext/>
              <w:adjustRightInd w:val="0"/>
              <w:snapToGrid w:val="0"/>
              <w:spacing w:line="288" w:lineRule="auto"/>
              <w:ind w:left="62" w:right="62"/>
              <w:jc w:val="center"/>
              <w:rPr>
                <w:rFonts w:ascii="宋体" w:hAnsi="宋体" w:cs="仿宋"/>
                <w:sz w:val="24"/>
              </w:rPr>
            </w:pPr>
          </w:p>
        </w:tc>
        <w:tc>
          <w:tcPr>
            <w:tcW w:w="1295" w:type="dxa"/>
            <w:noWrap w:val="0"/>
            <w:vAlign w:val="center"/>
          </w:tcPr>
          <w:p w14:paraId="4CA04E29">
            <w:pPr>
              <w:keepNext/>
              <w:adjustRightInd w:val="0"/>
              <w:snapToGrid w:val="0"/>
              <w:spacing w:line="288" w:lineRule="auto"/>
              <w:ind w:left="62" w:right="62"/>
              <w:jc w:val="center"/>
              <w:rPr>
                <w:rFonts w:ascii="宋体" w:hAnsi="宋体" w:cs="仿宋"/>
                <w:sz w:val="24"/>
              </w:rPr>
            </w:pPr>
          </w:p>
        </w:tc>
        <w:tc>
          <w:tcPr>
            <w:tcW w:w="1246" w:type="dxa"/>
            <w:noWrap w:val="0"/>
            <w:vAlign w:val="center"/>
          </w:tcPr>
          <w:p w14:paraId="569259C9">
            <w:pPr>
              <w:keepNext/>
              <w:adjustRightInd w:val="0"/>
              <w:snapToGrid w:val="0"/>
              <w:spacing w:line="288" w:lineRule="auto"/>
              <w:ind w:left="62" w:right="62"/>
              <w:jc w:val="center"/>
              <w:rPr>
                <w:rFonts w:ascii="宋体" w:hAnsi="宋体" w:cs="仿宋"/>
                <w:sz w:val="24"/>
              </w:rPr>
            </w:pPr>
          </w:p>
        </w:tc>
      </w:tr>
      <w:tr w14:paraId="337904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3869" w:type="dxa"/>
            <w:tcBorders>
              <w:top w:val="nil"/>
            </w:tcBorders>
            <w:noWrap w:val="0"/>
            <w:vAlign w:val="center"/>
          </w:tcPr>
          <w:p w14:paraId="2927A0CC">
            <w:pPr>
              <w:keepNext/>
              <w:adjustRightInd w:val="0"/>
              <w:snapToGrid w:val="0"/>
              <w:spacing w:line="288" w:lineRule="auto"/>
              <w:ind w:left="62" w:right="62"/>
              <w:jc w:val="center"/>
              <w:rPr>
                <w:rFonts w:ascii="宋体" w:hAnsi="宋体" w:cs="仿宋"/>
                <w:sz w:val="24"/>
              </w:rPr>
            </w:pPr>
          </w:p>
        </w:tc>
        <w:tc>
          <w:tcPr>
            <w:tcW w:w="803" w:type="dxa"/>
            <w:tcBorders>
              <w:top w:val="nil"/>
            </w:tcBorders>
            <w:noWrap w:val="0"/>
            <w:vAlign w:val="center"/>
          </w:tcPr>
          <w:p w14:paraId="786BBEED">
            <w:pPr>
              <w:keepNext/>
              <w:adjustRightInd w:val="0"/>
              <w:snapToGrid w:val="0"/>
              <w:spacing w:line="288" w:lineRule="auto"/>
              <w:ind w:left="62" w:right="62"/>
              <w:jc w:val="center"/>
              <w:rPr>
                <w:rFonts w:ascii="宋体" w:hAnsi="宋体" w:cs="仿宋"/>
                <w:sz w:val="24"/>
              </w:rPr>
            </w:pPr>
          </w:p>
        </w:tc>
        <w:tc>
          <w:tcPr>
            <w:tcW w:w="1590" w:type="dxa"/>
            <w:tcBorders>
              <w:top w:val="nil"/>
            </w:tcBorders>
            <w:noWrap w:val="0"/>
            <w:vAlign w:val="center"/>
          </w:tcPr>
          <w:p w14:paraId="281A9C1A">
            <w:pPr>
              <w:keepNext/>
              <w:adjustRightInd w:val="0"/>
              <w:snapToGrid w:val="0"/>
              <w:spacing w:line="288" w:lineRule="auto"/>
              <w:ind w:left="62" w:right="62"/>
              <w:jc w:val="center"/>
              <w:rPr>
                <w:rFonts w:ascii="宋体" w:hAnsi="宋体" w:cs="仿宋"/>
                <w:sz w:val="24"/>
              </w:rPr>
            </w:pPr>
          </w:p>
        </w:tc>
        <w:tc>
          <w:tcPr>
            <w:tcW w:w="816" w:type="dxa"/>
            <w:tcBorders>
              <w:top w:val="nil"/>
            </w:tcBorders>
            <w:noWrap w:val="0"/>
            <w:vAlign w:val="center"/>
          </w:tcPr>
          <w:p w14:paraId="22569C33">
            <w:pPr>
              <w:keepNext/>
              <w:adjustRightInd w:val="0"/>
              <w:snapToGrid w:val="0"/>
              <w:spacing w:line="288" w:lineRule="auto"/>
              <w:ind w:left="62" w:right="62"/>
              <w:jc w:val="center"/>
              <w:rPr>
                <w:rFonts w:ascii="宋体" w:hAnsi="宋体" w:cs="仿宋"/>
                <w:sz w:val="24"/>
              </w:rPr>
            </w:pPr>
          </w:p>
        </w:tc>
        <w:tc>
          <w:tcPr>
            <w:tcW w:w="850" w:type="dxa"/>
            <w:tcBorders>
              <w:top w:val="nil"/>
            </w:tcBorders>
            <w:noWrap w:val="0"/>
            <w:vAlign w:val="center"/>
          </w:tcPr>
          <w:p w14:paraId="56B65FD9">
            <w:pPr>
              <w:keepNext/>
              <w:adjustRightInd w:val="0"/>
              <w:snapToGrid w:val="0"/>
              <w:spacing w:line="288" w:lineRule="auto"/>
              <w:ind w:left="62" w:right="62"/>
              <w:jc w:val="center"/>
              <w:rPr>
                <w:rFonts w:ascii="宋体" w:hAnsi="宋体" w:cs="仿宋"/>
                <w:sz w:val="24"/>
              </w:rPr>
            </w:pPr>
          </w:p>
        </w:tc>
        <w:tc>
          <w:tcPr>
            <w:tcW w:w="1560" w:type="dxa"/>
            <w:tcBorders>
              <w:top w:val="nil"/>
            </w:tcBorders>
            <w:noWrap w:val="0"/>
            <w:vAlign w:val="center"/>
          </w:tcPr>
          <w:p w14:paraId="0AA04DE3">
            <w:pPr>
              <w:keepNext/>
              <w:adjustRightInd w:val="0"/>
              <w:snapToGrid w:val="0"/>
              <w:spacing w:line="288" w:lineRule="auto"/>
              <w:ind w:left="62" w:right="62"/>
              <w:jc w:val="center"/>
              <w:rPr>
                <w:rFonts w:ascii="宋体" w:hAnsi="宋体" w:cs="仿宋"/>
                <w:sz w:val="24"/>
              </w:rPr>
            </w:pPr>
          </w:p>
        </w:tc>
        <w:tc>
          <w:tcPr>
            <w:tcW w:w="1381" w:type="dxa"/>
            <w:tcBorders>
              <w:top w:val="nil"/>
            </w:tcBorders>
            <w:noWrap w:val="0"/>
            <w:vAlign w:val="center"/>
          </w:tcPr>
          <w:p w14:paraId="1A540B75">
            <w:pPr>
              <w:keepNext/>
              <w:adjustRightInd w:val="0"/>
              <w:snapToGrid w:val="0"/>
              <w:spacing w:line="288" w:lineRule="auto"/>
              <w:ind w:left="62" w:right="62"/>
              <w:jc w:val="center"/>
              <w:rPr>
                <w:rFonts w:ascii="宋体" w:hAnsi="宋体" w:cs="仿宋"/>
                <w:sz w:val="24"/>
              </w:rPr>
            </w:pPr>
          </w:p>
        </w:tc>
        <w:tc>
          <w:tcPr>
            <w:tcW w:w="1475" w:type="dxa"/>
            <w:tcBorders>
              <w:top w:val="nil"/>
            </w:tcBorders>
            <w:noWrap w:val="0"/>
            <w:vAlign w:val="center"/>
          </w:tcPr>
          <w:p w14:paraId="6089D92F">
            <w:pPr>
              <w:keepNext/>
              <w:adjustRightInd w:val="0"/>
              <w:snapToGrid w:val="0"/>
              <w:spacing w:line="288" w:lineRule="auto"/>
              <w:ind w:left="62" w:right="62"/>
              <w:jc w:val="center"/>
              <w:rPr>
                <w:rFonts w:ascii="宋体" w:hAnsi="宋体" w:cs="仿宋"/>
                <w:sz w:val="24"/>
              </w:rPr>
            </w:pPr>
          </w:p>
        </w:tc>
        <w:tc>
          <w:tcPr>
            <w:tcW w:w="1295" w:type="dxa"/>
            <w:tcBorders>
              <w:top w:val="nil"/>
            </w:tcBorders>
            <w:noWrap w:val="0"/>
            <w:vAlign w:val="center"/>
          </w:tcPr>
          <w:p w14:paraId="09CA36B5">
            <w:pPr>
              <w:keepNext/>
              <w:adjustRightInd w:val="0"/>
              <w:snapToGrid w:val="0"/>
              <w:spacing w:line="288" w:lineRule="auto"/>
              <w:ind w:left="62" w:right="62"/>
              <w:jc w:val="center"/>
              <w:rPr>
                <w:rFonts w:ascii="宋体" w:hAnsi="宋体" w:cs="仿宋"/>
                <w:sz w:val="24"/>
              </w:rPr>
            </w:pPr>
          </w:p>
        </w:tc>
        <w:tc>
          <w:tcPr>
            <w:tcW w:w="1246" w:type="dxa"/>
            <w:tcBorders>
              <w:top w:val="nil"/>
            </w:tcBorders>
            <w:noWrap w:val="0"/>
            <w:vAlign w:val="center"/>
          </w:tcPr>
          <w:p w14:paraId="0CBFBFC8">
            <w:pPr>
              <w:keepNext/>
              <w:adjustRightInd w:val="0"/>
              <w:snapToGrid w:val="0"/>
              <w:spacing w:line="288" w:lineRule="auto"/>
              <w:ind w:left="62" w:right="62"/>
              <w:jc w:val="center"/>
              <w:rPr>
                <w:rFonts w:ascii="宋体" w:hAnsi="宋体" w:cs="仿宋"/>
                <w:sz w:val="24"/>
              </w:rPr>
            </w:pPr>
          </w:p>
        </w:tc>
      </w:tr>
      <w:tr w14:paraId="22B3E9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3869" w:type="dxa"/>
            <w:tcBorders>
              <w:top w:val="nil"/>
            </w:tcBorders>
            <w:noWrap w:val="0"/>
            <w:vAlign w:val="center"/>
          </w:tcPr>
          <w:p w14:paraId="1525CECF">
            <w:pPr>
              <w:keepNext/>
              <w:adjustRightInd w:val="0"/>
              <w:snapToGrid w:val="0"/>
              <w:spacing w:line="288" w:lineRule="auto"/>
              <w:ind w:left="62" w:right="62"/>
              <w:jc w:val="center"/>
              <w:rPr>
                <w:rFonts w:ascii="宋体" w:hAnsi="宋体" w:cs="仿宋"/>
                <w:sz w:val="24"/>
              </w:rPr>
            </w:pPr>
          </w:p>
        </w:tc>
        <w:tc>
          <w:tcPr>
            <w:tcW w:w="803" w:type="dxa"/>
            <w:tcBorders>
              <w:top w:val="nil"/>
            </w:tcBorders>
            <w:noWrap w:val="0"/>
            <w:vAlign w:val="center"/>
          </w:tcPr>
          <w:p w14:paraId="15AD936D">
            <w:pPr>
              <w:keepNext/>
              <w:adjustRightInd w:val="0"/>
              <w:snapToGrid w:val="0"/>
              <w:spacing w:line="288" w:lineRule="auto"/>
              <w:ind w:left="62" w:right="62"/>
              <w:jc w:val="center"/>
              <w:rPr>
                <w:rFonts w:ascii="宋体" w:hAnsi="宋体" w:cs="仿宋"/>
                <w:sz w:val="24"/>
              </w:rPr>
            </w:pPr>
          </w:p>
        </w:tc>
        <w:tc>
          <w:tcPr>
            <w:tcW w:w="1590" w:type="dxa"/>
            <w:tcBorders>
              <w:top w:val="nil"/>
            </w:tcBorders>
            <w:noWrap w:val="0"/>
            <w:vAlign w:val="center"/>
          </w:tcPr>
          <w:p w14:paraId="5107E531">
            <w:pPr>
              <w:keepNext/>
              <w:adjustRightInd w:val="0"/>
              <w:snapToGrid w:val="0"/>
              <w:spacing w:line="288" w:lineRule="auto"/>
              <w:ind w:left="62" w:right="62"/>
              <w:jc w:val="center"/>
              <w:rPr>
                <w:rFonts w:ascii="宋体" w:hAnsi="宋体" w:cs="仿宋"/>
                <w:sz w:val="24"/>
              </w:rPr>
            </w:pPr>
          </w:p>
        </w:tc>
        <w:tc>
          <w:tcPr>
            <w:tcW w:w="816" w:type="dxa"/>
            <w:tcBorders>
              <w:top w:val="nil"/>
            </w:tcBorders>
            <w:noWrap w:val="0"/>
            <w:vAlign w:val="center"/>
          </w:tcPr>
          <w:p w14:paraId="732FDA43">
            <w:pPr>
              <w:keepNext/>
              <w:adjustRightInd w:val="0"/>
              <w:snapToGrid w:val="0"/>
              <w:spacing w:line="288" w:lineRule="auto"/>
              <w:ind w:left="62" w:right="62"/>
              <w:jc w:val="center"/>
              <w:rPr>
                <w:rFonts w:ascii="宋体" w:hAnsi="宋体" w:cs="仿宋"/>
                <w:sz w:val="24"/>
              </w:rPr>
            </w:pPr>
          </w:p>
        </w:tc>
        <w:tc>
          <w:tcPr>
            <w:tcW w:w="850" w:type="dxa"/>
            <w:tcBorders>
              <w:top w:val="nil"/>
            </w:tcBorders>
            <w:noWrap w:val="0"/>
            <w:vAlign w:val="center"/>
          </w:tcPr>
          <w:p w14:paraId="1552E806">
            <w:pPr>
              <w:keepNext/>
              <w:adjustRightInd w:val="0"/>
              <w:snapToGrid w:val="0"/>
              <w:spacing w:line="288" w:lineRule="auto"/>
              <w:ind w:left="62" w:right="62"/>
              <w:jc w:val="center"/>
              <w:rPr>
                <w:rFonts w:ascii="宋体" w:hAnsi="宋体" w:cs="仿宋"/>
                <w:sz w:val="24"/>
              </w:rPr>
            </w:pPr>
          </w:p>
        </w:tc>
        <w:tc>
          <w:tcPr>
            <w:tcW w:w="1560" w:type="dxa"/>
            <w:tcBorders>
              <w:top w:val="nil"/>
            </w:tcBorders>
            <w:noWrap w:val="0"/>
            <w:vAlign w:val="center"/>
          </w:tcPr>
          <w:p w14:paraId="2B105AC7">
            <w:pPr>
              <w:keepNext/>
              <w:adjustRightInd w:val="0"/>
              <w:snapToGrid w:val="0"/>
              <w:spacing w:line="288" w:lineRule="auto"/>
              <w:ind w:left="62" w:right="62"/>
              <w:jc w:val="center"/>
              <w:rPr>
                <w:rFonts w:ascii="宋体" w:hAnsi="宋体" w:cs="仿宋"/>
                <w:sz w:val="24"/>
              </w:rPr>
            </w:pPr>
          </w:p>
        </w:tc>
        <w:tc>
          <w:tcPr>
            <w:tcW w:w="1381" w:type="dxa"/>
            <w:tcBorders>
              <w:top w:val="nil"/>
            </w:tcBorders>
            <w:noWrap w:val="0"/>
            <w:vAlign w:val="center"/>
          </w:tcPr>
          <w:p w14:paraId="5FBCADCB">
            <w:pPr>
              <w:keepNext/>
              <w:adjustRightInd w:val="0"/>
              <w:snapToGrid w:val="0"/>
              <w:spacing w:line="288" w:lineRule="auto"/>
              <w:ind w:left="62" w:right="62"/>
              <w:jc w:val="center"/>
              <w:rPr>
                <w:rFonts w:ascii="宋体" w:hAnsi="宋体" w:cs="仿宋"/>
                <w:sz w:val="24"/>
              </w:rPr>
            </w:pPr>
          </w:p>
        </w:tc>
        <w:tc>
          <w:tcPr>
            <w:tcW w:w="1475" w:type="dxa"/>
            <w:tcBorders>
              <w:top w:val="nil"/>
            </w:tcBorders>
            <w:noWrap w:val="0"/>
            <w:vAlign w:val="center"/>
          </w:tcPr>
          <w:p w14:paraId="0F3260D7">
            <w:pPr>
              <w:keepNext/>
              <w:adjustRightInd w:val="0"/>
              <w:snapToGrid w:val="0"/>
              <w:spacing w:line="288" w:lineRule="auto"/>
              <w:ind w:left="62" w:right="62"/>
              <w:jc w:val="center"/>
              <w:rPr>
                <w:rFonts w:ascii="宋体" w:hAnsi="宋体" w:cs="仿宋"/>
                <w:sz w:val="24"/>
              </w:rPr>
            </w:pPr>
          </w:p>
        </w:tc>
        <w:tc>
          <w:tcPr>
            <w:tcW w:w="1295" w:type="dxa"/>
            <w:tcBorders>
              <w:top w:val="nil"/>
            </w:tcBorders>
            <w:noWrap w:val="0"/>
            <w:vAlign w:val="center"/>
          </w:tcPr>
          <w:p w14:paraId="71C0A1F7">
            <w:pPr>
              <w:keepNext/>
              <w:adjustRightInd w:val="0"/>
              <w:snapToGrid w:val="0"/>
              <w:spacing w:line="288" w:lineRule="auto"/>
              <w:ind w:left="62" w:right="62"/>
              <w:jc w:val="center"/>
              <w:rPr>
                <w:rFonts w:ascii="宋体" w:hAnsi="宋体" w:cs="仿宋"/>
                <w:sz w:val="24"/>
              </w:rPr>
            </w:pPr>
          </w:p>
        </w:tc>
        <w:tc>
          <w:tcPr>
            <w:tcW w:w="1246" w:type="dxa"/>
            <w:tcBorders>
              <w:top w:val="nil"/>
            </w:tcBorders>
            <w:noWrap w:val="0"/>
            <w:vAlign w:val="center"/>
          </w:tcPr>
          <w:p w14:paraId="0C1A9CEC">
            <w:pPr>
              <w:keepNext/>
              <w:adjustRightInd w:val="0"/>
              <w:snapToGrid w:val="0"/>
              <w:spacing w:line="288" w:lineRule="auto"/>
              <w:ind w:left="62" w:right="62"/>
              <w:jc w:val="center"/>
              <w:rPr>
                <w:rFonts w:ascii="宋体" w:hAnsi="宋体" w:cs="仿宋"/>
                <w:sz w:val="24"/>
              </w:rPr>
            </w:pPr>
          </w:p>
        </w:tc>
      </w:tr>
      <w:tr w14:paraId="78F7A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3869" w:type="dxa"/>
            <w:noWrap w:val="0"/>
            <w:vAlign w:val="center"/>
          </w:tcPr>
          <w:p w14:paraId="5052B330">
            <w:pPr>
              <w:keepNext/>
              <w:adjustRightInd w:val="0"/>
              <w:snapToGrid w:val="0"/>
              <w:spacing w:line="288" w:lineRule="auto"/>
              <w:ind w:left="62" w:right="62"/>
              <w:jc w:val="center"/>
              <w:rPr>
                <w:rFonts w:ascii="宋体" w:hAnsi="宋体" w:cs="仿宋"/>
                <w:sz w:val="24"/>
              </w:rPr>
            </w:pPr>
          </w:p>
        </w:tc>
        <w:tc>
          <w:tcPr>
            <w:tcW w:w="803" w:type="dxa"/>
            <w:noWrap w:val="0"/>
            <w:vAlign w:val="center"/>
          </w:tcPr>
          <w:p w14:paraId="7E9BC846">
            <w:pPr>
              <w:keepNext/>
              <w:adjustRightInd w:val="0"/>
              <w:snapToGrid w:val="0"/>
              <w:spacing w:line="288" w:lineRule="auto"/>
              <w:ind w:left="62" w:right="62"/>
              <w:jc w:val="center"/>
              <w:rPr>
                <w:rFonts w:ascii="宋体" w:hAnsi="宋体" w:cs="仿宋"/>
                <w:sz w:val="24"/>
              </w:rPr>
            </w:pPr>
          </w:p>
        </w:tc>
        <w:tc>
          <w:tcPr>
            <w:tcW w:w="1590" w:type="dxa"/>
            <w:noWrap w:val="0"/>
            <w:vAlign w:val="center"/>
          </w:tcPr>
          <w:p w14:paraId="705BE213">
            <w:pPr>
              <w:keepNext/>
              <w:adjustRightInd w:val="0"/>
              <w:snapToGrid w:val="0"/>
              <w:spacing w:line="288" w:lineRule="auto"/>
              <w:ind w:left="62" w:right="62"/>
              <w:jc w:val="center"/>
              <w:rPr>
                <w:rFonts w:ascii="宋体" w:hAnsi="宋体" w:cs="仿宋"/>
                <w:sz w:val="24"/>
              </w:rPr>
            </w:pPr>
          </w:p>
        </w:tc>
        <w:tc>
          <w:tcPr>
            <w:tcW w:w="816" w:type="dxa"/>
            <w:noWrap w:val="0"/>
            <w:vAlign w:val="center"/>
          </w:tcPr>
          <w:p w14:paraId="586A70A0">
            <w:pPr>
              <w:keepNext/>
              <w:adjustRightInd w:val="0"/>
              <w:snapToGrid w:val="0"/>
              <w:spacing w:line="288" w:lineRule="auto"/>
              <w:ind w:left="62" w:right="62"/>
              <w:jc w:val="center"/>
              <w:rPr>
                <w:rFonts w:ascii="宋体" w:hAnsi="宋体" w:cs="仿宋"/>
                <w:sz w:val="24"/>
              </w:rPr>
            </w:pPr>
          </w:p>
        </w:tc>
        <w:tc>
          <w:tcPr>
            <w:tcW w:w="850" w:type="dxa"/>
            <w:noWrap w:val="0"/>
            <w:vAlign w:val="center"/>
          </w:tcPr>
          <w:p w14:paraId="6D4BFC89">
            <w:pPr>
              <w:keepNext/>
              <w:adjustRightInd w:val="0"/>
              <w:snapToGrid w:val="0"/>
              <w:spacing w:line="288" w:lineRule="auto"/>
              <w:ind w:left="62" w:right="62"/>
              <w:jc w:val="center"/>
              <w:rPr>
                <w:rFonts w:ascii="宋体" w:hAnsi="宋体" w:cs="仿宋"/>
                <w:sz w:val="24"/>
              </w:rPr>
            </w:pPr>
          </w:p>
        </w:tc>
        <w:tc>
          <w:tcPr>
            <w:tcW w:w="1560" w:type="dxa"/>
            <w:noWrap w:val="0"/>
            <w:vAlign w:val="center"/>
          </w:tcPr>
          <w:p w14:paraId="0D2B8867">
            <w:pPr>
              <w:keepNext/>
              <w:adjustRightInd w:val="0"/>
              <w:snapToGrid w:val="0"/>
              <w:spacing w:line="288" w:lineRule="auto"/>
              <w:ind w:left="62" w:right="62"/>
              <w:jc w:val="center"/>
              <w:rPr>
                <w:rFonts w:ascii="宋体" w:hAnsi="宋体" w:cs="仿宋"/>
                <w:sz w:val="24"/>
              </w:rPr>
            </w:pPr>
          </w:p>
        </w:tc>
        <w:tc>
          <w:tcPr>
            <w:tcW w:w="1381" w:type="dxa"/>
            <w:noWrap w:val="0"/>
            <w:vAlign w:val="center"/>
          </w:tcPr>
          <w:p w14:paraId="7D45F16F">
            <w:pPr>
              <w:keepNext/>
              <w:adjustRightInd w:val="0"/>
              <w:snapToGrid w:val="0"/>
              <w:spacing w:line="288" w:lineRule="auto"/>
              <w:ind w:left="62" w:right="62"/>
              <w:jc w:val="center"/>
              <w:rPr>
                <w:rFonts w:ascii="宋体" w:hAnsi="宋体" w:cs="仿宋"/>
                <w:sz w:val="24"/>
              </w:rPr>
            </w:pPr>
          </w:p>
        </w:tc>
        <w:tc>
          <w:tcPr>
            <w:tcW w:w="1475" w:type="dxa"/>
            <w:noWrap w:val="0"/>
            <w:vAlign w:val="center"/>
          </w:tcPr>
          <w:p w14:paraId="728FEBC7">
            <w:pPr>
              <w:keepNext/>
              <w:adjustRightInd w:val="0"/>
              <w:snapToGrid w:val="0"/>
              <w:spacing w:line="288" w:lineRule="auto"/>
              <w:ind w:left="62" w:right="62"/>
              <w:jc w:val="center"/>
              <w:rPr>
                <w:rFonts w:ascii="宋体" w:hAnsi="宋体" w:cs="仿宋"/>
                <w:sz w:val="24"/>
              </w:rPr>
            </w:pPr>
          </w:p>
        </w:tc>
        <w:tc>
          <w:tcPr>
            <w:tcW w:w="1295" w:type="dxa"/>
            <w:noWrap w:val="0"/>
            <w:vAlign w:val="center"/>
          </w:tcPr>
          <w:p w14:paraId="48A1F9F6">
            <w:pPr>
              <w:keepNext/>
              <w:adjustRightInd w:val="0"/>
              <w:snapToGrid w:val="0"/>
              <w:spacing w:line="288" w:lineRule="auto"/>
              <w:ind w:left="62" w:right="62"/>
              <w:jc w:val="center"/>
              <w:rPr>
                <w:rFonts w:ascii="宋体" w:hAnsi="宋体" w:cs="仿宋"/>
                <w:sz w:val="24"/>
              </w:rPr>
            </w:pPr>
          </w:p>
        </w:tc>
        <w:tc>
          <w:tcPr>
            <w:tcW w:w="1246" w:type="dxa"/>
            <w:noWrap w:val="0"/>
            <w:vAlign w:val="center"/>
          </w:tcPr>
          <w:p w14:paraId="6BB15A97">
            <w:pPr>
              <w:keepNext/>
              <w:adjustRightInd w:val="0"/>
              <w:snapToGrid w:val="0"/>
              <w:spacing w:line="288" w:lineRule="auto"/>
              <w:ind w:left="62" w:right="62"/>
              <w:jc w:val="center"/>
              <w:rPr>
                <w:rFonts w:ascii="宋体" w:hAnsi="宋体" w:cs="仿宋"/>
                <w:sz w:val="24"/>
              </w:rPr>
            </w:pPr>
          </w:p>
        </w:tc>
      </w:tr>
    </w:tbl>
    <w:p w14:paraId="60F0A313">
      <w:pPr>
        <w:adjustRightInd w:val="0"/>
        <w:snapToGrid w:val="0"/>
        <w:spacing w:line="360" w:lineRule="auto"/>
        <w:rPr>
          <w:rFonts w:ascii="仿宋" w:hAnsi="仿宋" w:eastAsia="仿宋_GB2312" w:cs="仿宋"/>
          <w:sz w:val="24"/>
        </w:rPr>
      </w:pPr>
    </w:p>
    <w:p w14:paraId="7CB6F428">
      <w:pPr>
        <w:adjustRightInd w:val="0"/>
        <w:snapToGrid w:val="0"/>
        <w:spacing w:line="360" w:lineRule="auto"/>
        <w:jc w:val="center"/>
        <w:rPr>
          <w:rFonts w:ascii="仿宋" w:hAnsi="仿宋" w:eastAsia="仿宋_GB2312" w:cs="仿宋"/>
          <w:bCs/>
          <w:sz w:val="24"/>
        </w:rPr>
        <w:sectPr>
          <w:footerReference r:id="rId8" w:type="default"/>
          <w:footerReference r:id="rId9" w:type="even"/>
          <w:pgSz w:w="16838" w:h="11906" w:orient="landscape"/>
          <w:pgMar w:top="1191" w:right="1423" w:bottom="1191" w:left="1361" w:header="851" w:footer="992" w:gutter="0"/>
          <w:cols w:space="0" w:num="1"/>
          <w:titlePg/>
          <w:docGrid w:type="linesAndChars" w:linePitch="312" w:charSpace="0"/>
        </w:sectPr>
      </w:pPr>
    </w:p>
    <w:p w14:paraId="31F2A0F6">
      <w:pPr>
        <w:adjustRightInd w:val="0"/>
        <w:snapToGrid w:val="0"/>
        <w:spacing w:line="360" w:lineRule="auto"/>
        <w:outlineLvl w:val="1"/>
        <w:rPr>
          <w:rFonts w:ascii="黑体" w:hAnsi="黑体" w:eastAsia="黑体" w:cs="仿宋"/>
          <w:bCs/>
          <w:sz w:val="32"/>
          <w:szCs w:val="32"/>
        </w:rPr>
      </w:pPr>
      <w:r>
        <w:rPr>
          <w:rFonts w:hint="eastAsia" w:ascii="黑体" w:hAnsi="黑体" w:eastAsia="黑体" w:cs="仿宋"/>
          <w:bCs/>
          <w:sz w:val="32"/>
          <w:szCs w:val="32"/>
        </w:rPr>
        <w:t>附件2：</w:t>
      </w:r>
    </w:p>
    <w:p w14:paraId="7678BA91">
      <w:pPr>
        <w:keepNext/>
        <w:keepLines/>
        <w:adjustRightInd w:val="0"/>
        <w:spacing w:line="415" w:lineRule="auto"/>
        <w:jc w:val="center"/>
        <w:textAlignment w:val="baseline"/>
        <w:outlineLvl w:val="9"/>
        <w:rPr>
          <w:rFonts w:ascii="黑体" w:hAnsi="黑体" w:eastAsia="黑体" w:cs="仿宋"/>
          <w:bCs/>
          <w:sz w:val="32"/>
          <w:szCs w:val="32"/>
        </w:rPr>
      </w:pPr>
      <w:bookmarkStart w:id="22" w:name="_Toc59006212"/>
      <w:bookmarkStart w:id="23" w:name="_Toc176786391"/>
      <w:bookmarkStart w:id="24" w:name="_Toc178155241"/>
      <w:bookmarkStart w:id="25" w:name="_Toc11590490"/>
      <w:bookmarkStart w:id="26" w:name="_Toc217983398"/>
      <w:r>
        <w:rPr>
          <w:rFonts w:hint="eastAsia" w:ascii="黑体" w:hAnsi="黑体" w:eastAsia="黑体" w:cs="仿宋"/>
          <w:bCs/>
          <w:sz w:val="32"/>
          <w:szCs w:val="32"/>
        </w:rPr>
        <w:t>发包人供应材料设备一览表</w:t>
      </w:r>
      <w:bookmarkEnd w:id="22"/>
      <w:bookmarkEnd w:id="23"/>
      <w:bookmarkEnd w:id="24"/>
      <w:bookmarkEnd w:id="25"/>
      <w:bookmarkEnd w:id="26"/>
    </w:p>
    <w:tbl>
      <w:tblPr>
        <w:tblStyle w:val="33"/>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082AC2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690FEAE1">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序号</w:t>
            </w:r>
          </w:p>
        </w:tc>
        <w:tc>
          <w:tcPr>
            <w:tcW w:w="1276" w:type="dxa"/>
            <w:tcBorders>
              <w:top w:val="single" w:color="auto" w:sz="12" w:space="0"/>
              <w:bottom w:val="double" w:color="auto" w:sz="6" w:space="0"/>
            </w:tcBorders>
            <w:noWrap w:val="0"/>
            <w:vAlign w:val="center"/>
          </w:tcPr>
          <w:p w14:paraId="07796D75">
            <w:pPr>
              <w:keepNext/>
              <w:adjustRightInd w:val="0"/>
              <w:snapToGrid w:val="0"/>
              <w:spacing w:line="360" w:lineRule="auto"/>
              <w:ind w:left="63" w:right="63"/>
              <w:jc w:val="center"/>
              <w:rPr>
                <w:rFonts w:ascii="宋体" w:hAnsi="宋体" w:cs="仿宋"/>
                <w:sz w:val="24"/>
              </w:rPr>
            </w:pPr>
            <w:r>
              <w:rPr>
                <w:rFonts w:hint="eastAsia" w:ascii="宋体" w:hAnsi="宋体" w:cs="仿宋"/>
                <w:sz w:val="24"/>
              </w:rPr>
              <w:t>材料、</w:t>
            </w:r>
          </w:p>
          <w:p w14:paraId="0D71CD43">
            <w:pPr>
              <w:keepNext/>
              <w:adjustRightInd w:val="0"/>
              <w:snapToGrid w:val="0"/>
              <w:spacing w:line="360" w:lineRule="auto"/>
              <w:ind w:right="63"/>
              <w:jc w:val="center"/>
              <w:rPr>
                <w:rFonts w:ascii="宋体" w:hAnsi="宋体" w:cs="仿宋"/>
                <w:sz w:val="24"/>
              </w:rPr>
            </w:pPr>
            <w:r>
              <w:rPr>
                <w:rFonts w:hint="eastAsia" w:ascii="宋体" w:hAnsi="宋体" w:cs="仿宋"/>
                <w:sz w:val="24"/>
              </w:rPr>
              <w:t>设备品种</w:t>
            </w:r>
          </w:p>
        </w:tc>
        <w:tc>
          <w:tcPr>
            <w:tcW w:w="1418" w:type="dxa"/>
            <w:tcBorders>
              <w:top w:val="single" w:color="auto" w:sz="12" w:space="0"/>
              <w:bottom w:val="double" w:color="auto" w:sz="6" w:space="0"/>
            </w:tcBorders>
            <w:noWrap w:val="0"/>
            <w:vAlign w:val="center"/>
          </w:tcPr>
          <w:p w14:paraId="194F120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规格型号</w:t>
            </w:r>
          </w:p>
        </w:tc>
        <w:tc>
          <w:tcPr>
            <w:tcW w:w="940" w:type="dxa"/>
            <w:tcBorders>
              <w:top w:val="single" w:color="auto" w:sz="12" w:space="0"/>
              <w:bottom w:val="double" w:color="auto" w:sz="6" w:space="0"/>
            </w:tcBorders>
            <w:noWrap w:val="0"/>
            <w:vAlign w:val="center"/>
          </w:tcPr>
          <w:p w14:paraId="10626BD1">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单位</w:t>
            </w:r>
          </w:p>
        </w:tc>
        <w:tc>
          <w:tcPr>
            <w:tcW w:w="851" w:type="dxa"/>
            <w:tcBorders>
              <w:top w:val="single" w:color="auto" w:sz="12" w:space="0"/>
              <w:bottom w:val="double" w:color="auto" w:sz="6" w:space="0"/>
            </w:tcBorders>
            <w:noWrap w:val="0"/>
            <w:vAlign w:val="center"/>
          </w:tcPr>
          <w:p w14:paraId="56094357">
            <w:pPr>
              <w:keepNext/>
              <w:adjustRightInd w:val="0"/>
              <w:snapToGrid w:val="0"/>
              <w:spacing w:line="360" w:lineRule="auto"/>
              <w:ind w:left="63" w:right="63"/>
              <w:jc w:val="center"/>
              <w:rPr>
                <w:rFonts w:ascii="宋体" w:hAnsi="宋体" w:cs="仿宋"/>
                <w:sz w:val="24"/>
              </w:rPr>
            </w:pPr>
            <w:r>
              <w:rPr>
                <w:rFonts w:hint="eastAsia" w:ascii="宋体" w:hAnsi="宋体" w:cs="仿宋"/>
                <w:sz w:val="24"/>
              </w:rPr>
              <w:t>数量</w:t>
            </w:r>
          </w:p>
        </w:tc>
        <w:tc>
          <w:tcPr>
            <w:tcW w:w="1044" w:type="dxa"/>
            <w:tcBorders>
              <w:top w:val="single" w:color="auto" w:sz="12" w:space="0"/>
              <w:bottom w:val="double" w:color="auto" w:sz="6" w:space="0"/>
            </w:tcBorders>
            <w:noWrap w:val="0"/>
            <w:vAlign w:val="center"/>
          </w:tcPr>
          <w:p w14:paraId="51144E05">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单价（元）</w:t>
            </w:r>
          </w:p>
        </w:tc>
        <w:tc>
          <w:tcPr>
            <w:tcW w:w="992" w:type="dxa"/>
            <w:tcBorders>
              <w:top w:val="single" w:color="auto" w:sz="12" w:space="0"/>
              <w:bottom w:val="double" w:color="auto" w:sz="6" w:space="0"/>
            </w:tcBorders>
            <w:noWrap w:val="0"/>
            <w:vAlign w:val="center"/>
          </w:tcPr>
          <w:p w14:paraId="29E77750">
            <w:pPr>
              <w:keepNext/>
              <w:adjustRightInd w:val="0"/>
              <w:snapToGrid w:val="0"/>
              <w:spacing w:line="360" w:lineRule="auto"/>
              <w:ind w:left="63" w:right="63"/>
              <w:jc w:val="center"/>
              <w:rPr>
                <w:rFonts w:ascii="宋体" w:hAnsi="宋体" w:cs="仿宋"/>
                <w:sz w:val="24"/>
              </w:rPr>
            </w:pPr>
            <w:r>
              <w:rPr>
                <w:rFonts w:hint="eastAsia" w:ascii="宋体" w:hAnsi="宋体" w:cs="仿宋"/>
                <w:sz w:val="24"/>
              </w:rPr>
              <w:t>质量等级</w:t>
            </w:r>
          </w:p>
        </w:tc>
        <w:tc>
          <w:tcPr>
            <w:tcW w:w="851" w:type="dxa"/>
            <w:tcBorders>
              <w:top w:val="single" w:color="auto" w:sz="12" w:space="0"/>
              <w:bottom w:val="double" w:color="auto" w:sz="6" w:space="0"/>
            </w:tcBorders>
            <w:noWrap w:val="0"/>
            <w:vAlign w:val="center"/>
          </w:tcPr>
          <w:p w14:paraId="2609BC0E">
            <w:pPr>
              <w:keepNext/>
              <w:adjustRightInd w:val="0"/>
              <w:snapToGrid w:val="0"/>
              <w:spacing w:line="360" w:lineRule="auto"/>
              <w:ind w:left="63" w:right="63"/>
              <w:jc w:val="center"/>
              <w:rPr>
                <w:rFonts w:ascii="宋体" w:hAnsi="宋体" w:cs="仿宋"/>
                <w:sz w:val="24"/>
              </w:rPr>
            </w:pPr>
            <w:r>
              <w:rPr>
                <w:rFonts w:hint="eastAsia" w:ascii="宋体" w:hAnsi="宋体" w:cs="仿宋"/>
                <w:sz w:val="24"/>
              </w:rPr>
              <w:t>供应时间</w:t>
            </w:r>
          </w:p>
        </w:tc>
        <w:tc>
          <w:tcPr>
            <w:tcW w:w="1487" w:type="dxa"/>
            <w:tcBorders>
              <w:top w:val="single" w:color="auto" w:sz="12" w:space="0"/>
              <w:bottom w:val="double" w:color="auto" w:sz="6" w:space="0"/>
            </w:tcBorders>
            <w:noWrap w:val="0"/>
            <w:vAlign w:val="center"/>
          </w:tcPr>
          <w:p w14:paraId="62195F1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送达地点</w:t>
            </w:r>
          </w:p>
        </w:tc>
        <w:tc>
          <w:tcPr>
            <w:tcW w:w="992" w:type="dxa"/>
            <w:tcBorders>
              <w:top w:val="single" w:color="auto" w:sz="12" w:space="0"/>
              <w:bottom w:val="double" w:color="auto" w:sz="6" w:space="0"/>
            </w:tcBorders>
            <w:noWrap w:val="0"/>
            <w:vAlign w:val="center"/>
          </w:tcPr>
          <w:p w14:paraId="3430FBF0">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备注</w:t>
            </w:r>
          </w:p>
        </w:tc>
      </w:tr>
      <w:tr w14:paraId="3BD46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38B372B5">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tcBorders>
              <w:top w:val="double" w:color="auto" w:sz="6" w:space="0"/>
              <w:bottom w:val="single" w:color="auto" w:sz="6" w:space="0"/>
            </w:tcBorders>
            <w:noWrap w:val="0"/>
            <w:vAlign w:val="center"/>
          </w:tcPr>
          <w:p w14:paraId="3DC3E81B">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18" w:type="dxa"/>
            <w:tcBorders>
              <w:top w:val="double" w:color="auto" w:sz="6" w:space="0"/>
              <w:bottom w:val="single" w:color="auto" w:sz="6" w:space="0"/>
            </w:tcBorders>
            <w:noWrap w:val="0"/>
            <w:vAlign w:val="center"/>
          </w:tcPr>
          <w:p w14:paraId="051CCE7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40" w:type="dxa"/>
            <w:tcBorders>
              <w:top w:val="double" w:color="auto" w:sz="6" w:space="0"/>
              <w:bottom w:val="single" w:color="auto" w:sz="6" w:space="0"/>
            </w:tcBorders>
            <w:noWrap w:val="0"/>
            <w:vAlign w:val="center"/>
          </w:tcPr>
          <w:p w14:paraId="62BB9204">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tcBorders>
              <w:top w:val="double" w:color="auto" w:sz="6" w:space="0"/>
              <w:bottom w:val="single" w:color="auto" w:sz="6" w:space="0"/>
            </w:tcBorders>
            <w:noWrap w:val="0"/>
            <w:vAlign w:val="center"/>
          </w:tcPr>
          <w:p w14:paraId="4E6C9E61">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044" w:type="dxa"/>
            <w:tcBorders>
              <w:top w:val="double" w:color="auto" w:sz="6" w:space="0"/>
              <w:bottom w:val="single" w:color="auto" w:sz="6" w:space="0"/>
            </w:tcBorders>
            <w:noWrap w:val="0"/>
            <w:vAlign w:val="center"/>
          </w:tcPr>
          <w:p w14:paraId="678462F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tcBorders>
              <w:top w:val="double" w:color="auto" w:sz="6" w:space="0"/>
              <w:bottom w:val="single" w:color="auto" w:sz="6" w:space="0"/>
            </w:tcBorders>
            <w:noWrap w:val="0"/>
            <w:vAlign w:val="center"/>
          </w:tcPr>
          <w:p w14:paraId="2063BDE5">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tcBorders>
              <w:top w:val="double" w:color="auto" w:sz="6" w:space="0"/>
              <w:bottom w:val="single" w:color="auto" w:sz="6" w:space="0"/>
            </w:tcBorders>
            <w:noWrap w:val="0"/>
            <w:vAlign w:val="center"/>
          </w:tcPr>
          <w:p w14:paraId="220EA680">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87" w:type="dxa"/>
            <w:tcBorders>
              <w:top w:val="double" w:color="auto" w:sz="6" w:space="0"/>
              <w:bottom w:val="single" w:color="auto" w:sz="6" w:space="0"/>
            </w:tcBorders>
            <w:noWrap w:val="0"/>
            <w:vAlign w:val="center"/>
          </w:tcPr>
          <w:p w14:paraId="67DC9BD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tcBorders>
              <w:top w:val="double" w:color="auto" w:sz="6" w:space="0"/>
              <w:bottom w:val="single" w:color="auto" w:sz="6" w:space="0"/>
            </w:tcBorders>
            <w:noWrap w:val="0"/>
            <w:vAlign w:val="center"/>
          </w:tcPr>
          <w:p w14:paraId="60C3A779">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08D36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0E115C57">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tcBorders>
              <w:top w:val="nil"/>
            </w:tcBorders>
            <w:noWrap w:val="0"/>
            <w:vAlign w:val="center"/>
          </w:tcPr>
          <w:p w14:paraId="4857321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18" w:type="dxa"/>
            <w:tcBorders>
              <w:top w:val="nil"/>
            </w:tcBorders>
            <w:noWrap w:val="0"/>
            <w:vAlign w:val="center"/>
          </w:tcPr>
          <w:p w14:paraId="6BA5798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40" w:type="dxa"/>
            <w:tcBorders>
              <w:top w:val="nil"/>
            </w:tcBorders>
            <w:noWrap w:val="0"/>
            <w:vAlign w:val="center"/>
          </w:tcPr>
          <w:p w14:paraId="043284BE">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tcBorders>
              <w:top w:val="nil"/>
            </w:tcBorders>
            <w:noWrap w:val="0"/>
            <w:vAlign w:val="center"/>
          </w:tcPr>
          <w:p w14:paraId="6FDC3E9F">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044" w:type="dxa"/>
            <w:tcBorders>
              <w:top w:val="nil"/>
            </w:tcBorders>
            <w:noWrap w:val="0"/>
            <w:vAlign w:val="center"/>
          </w:tcPr>
          <w:p w14:paraId="1D40381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tcBorders>
              <w:top w:val="nil"/>
            </w:tcBorders>
            <w:noWrap w:val="0"/>
            <w:vAlign w:val="center"/>
          </w:tcPr>
          <w:p w14:paraId="55AE5955">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tcBorders>
              <w:top w:val="nil"/>
            </w:tcBorders>
            <w:noWrap w:val="0"/>
            <w:vAlign w:val="center"/>
          </w:tcPr>
          <w:p w14:paraId="64B1EEF3">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87" w:type="dxa"/>
            <w:tcBorders>
              <w:top w:val="nil"/>
            </w:tcBorders>
            <w:noWrap w:val="0"/>
            <w:vAlign w:val="center"/>
          </w:tcPr>
          <w:p w14:paraId="7DD3CD1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tcBorders>
              <w:top w:val="nil"/>
            </w:tcBorders>
            <w:noWrap w:val="0"/>
            <w:vAlign w:val="center"/>
          </w:tcPr>
          <w:p w14:paraId="617DF6E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72C0EF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06CFC0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noWrap w:val="0"/>
            <w:vAlign w:val="center"/>
          </w:tcPr>
          <w:p w14:paraId="494ACCED">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18" w:type="dxa"/>
            <w:noWrap w:val="0"/>
            <w:vAlign w:val="center"/>
          </w:tcPr>
          <w:p w14:paraId="0A0F550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40" w:type="dxa"/>
            <w:noWrap w:val="0"/>
            <w:vAlign w:val="center"/>
          </w:tcPr>
          <w:p w14:paraId="5AF77E4F">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711FB6FA">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044" w:type="dxa"/>
            <w:noWrap w:val="0"/>
            <w:vAlign w:val="center"/>
          </w:tcPr>
          <w:p w14:paraId="489BACB0">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74ED5B1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6A24320E">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87" w:type="dxa"/>
            <w:noWrap w:val="0"/>
            <w:vAlign w:val="center"/>
          </w:tcPr>
          <w:p w14:paraId="417651B4">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1711A48B">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71655D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3EEABB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noWrap w:val="0"/>
            <w:vAlign w:val="center"/>
          </w:tcPr>
          <w:p w14:paraId="4FA40651">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18" w:type="dxa"/>
            <w:noWrap w:val="0"/>
            <w:vAlign w:val="center"/>
          </w:tcPr>
          <w:p w14:paraId="1D4CE67E">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40" w:type="dxa"/>
            <w:noWrap w:val="0"/>
            <w:vAlign w:val="center"/>
          </w:tcPr>
          <w:p w14:paraId="5F2487D5">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6FC24D0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044" w:type="dxa"/>
            <w:noWrap w:val="0"/>
            <w:vAlign w:val="center"/>
          </w:tcPr>
          <w:p w14:paraId="7FC62C57">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3912091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463E33D5">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87" w:type="dxa"/>
            <w:noWrap w:val="0"/>
            <w:vAlign w:val="center"/>
          </w:tcPr>
          <w:p w14:paraId="22D65C33">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7F91C6BA">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008CAB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DB77DC9">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noWrap w:val="0"/>
            <w:vAlign w:val="center"/>
          </w:tcPr>
          <w:p w14:paraId="4EDBA68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18" w:type="dxa"/>
            <w:noWrap w:val="0"/>
            <w:vAlign w:val="center"/>
          </w:tcPr>
          <w:p w14:paraId="33A013B9">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40" w:type="dxa"/>
            <w:noWrap w:val="0"/>
            <w:vAlign w:val="center"/>
          </w:tcPr>
          <w:p w14:paraId="7EAA9D5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112DD33B">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044" w:type="dxa"/>
            <w:noWrap w:val="0"/>
            <w:vAlign w:val="center"/>
          </w:tcPr>
          <w:p w14:paraId="46229504">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4C1C23C5">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0432F29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87" w:type="dxa"/>
            <w:noWrap w:val="0"/>
            <w:vAlign w:val="center"/>
          </w:tcPr>
          <w:p w14:paraId="0CF9A47B">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169AF9B5">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326A12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DFD12F1">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noWrap w:val="0"/>
            <w:vAlign w:val="center"/>
          </w:tcPr>
          <w:p w14:paraId="105F92F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18" w:type="dxa"/>
            <w:noWrap w:val="0"/>
            <w:vAlign w:val="center"/>
          </w:tcPr>
          <w:p w14:paraId="11E63D10">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40" w:type="dxa"/>
            <w:noWrap w:val="0"/>
            <w:vAlign w:val="center"/>
          </w:tcPr>
          <w:p w14:paraId="1A23F5B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3E95CF7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044" w:type="dxa"/>
            <w:noWrap w:val="0"/>
            <w:vAlign w:val="center"/>
          </w:tcPr>
          <w:p w14:paraId="67CEDC41">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0B7A3C3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5F016D9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87" w:type="dxa"/>
            <w:noWrap w:val="0"/>
            <w:vAlign w:val="center"/>
          </w:tcPr>
          <w:p w14:paraId="4180778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6C0C7AC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56C9C9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5FEEB1F">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noWrap w:val="0"/>
            <w:vAlign w:val="center"/>
          </w:tcPr>
          <w:p w14:paraId="38F39533">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18" w:type="dxa"/>
            <w:noWrap w:val="0"/>
            <w:vAlign w:val="center"/>
          </w:tcPr>
          <w:p w14:paraId="4873B0D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40" w:type="dxa"/>
            <w:noWrap w:val="0"/>
            <w:vAlign w:val="center"/>
          </w:tcPr>
          <w:p w14:paraId="73A107D1">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6C9D24D9">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044" w:type="dxa"/>
            <w:noWrap w:val="0"/>
            <w:vAlign w:val="center"/>
          </w:tcPr>
          <w:p w14:paraId="28D1EF9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36AFB247">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0D2E7FC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87" w:type="dxa"/>
            <w:noWrap w:val="0"/>
            <w:vAlign w:val="center"/>
          </w:tcPr>
          <w:p w14:paraId="6652D1C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67E3986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50B2C9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805DAE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noWrap w:val="0"/>
            <w:vAlign w:val="center"/>
          </w:tcPr>
          <w:p w14:paraId="384B02E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18" w:type="dxa"/>
            <w:noWrap w:val="0"/>
            <w:vAlign w:val="center"/>
          </w:tcPr>
          <w:p w14:paraId="7502351D">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40" w:type="dxa"/>
            <w:noWrap w:val="0"/>
            <w:vAlign w:val="center"/>
          </w:tcPr>
          <w:p w14:paraId="6FC8746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28642A83">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044" w:type="dxa"/>
            <w:noWrap w:val="0"/>
            <w:vAlign w:val="center"/>
          </w:tcPr>
          <w:p w14:paraId="0B753E40">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44EE18D4">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2B45642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87" w:type="dxa"/>
            <w:noWrap w:val="0"/>
            <w:vAlign w:val="center"/>
          </w:tcPr>
          <w:p w14:paraId="6055D611">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25E1F81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201311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9A4D2C5">
            <w:pPr>
              <w:adjustRightInd w:val="0"/>
              <w:snapToGrid w:val="0"/>
              <w:spacing w:line="360" w:lineRule="auto"/>
              <w:jc w:val="center"/>
              <w:rPr>
                <w:rFonts w:ascii="宋体" w:hAnsi="宋体" w:cs="仿宋"/>
                <w:sz w:val="24"/>
              </w:rPr>
            </w:pPr>
            <w:r>
              <w:rPr>
                <w:rFonts w:hint="eastAsia" w:ascii="宋体" w:hAnsi="宋体" w:cs="仿宋"/>
                <w:sz w:val="24"/>
              </w:rPr>
              <w:t>/</w:t>
            </w:r>
          </w:p>
        </w:tc>
        <w:tc>
          <w:tcPr>
            <w:tcW w:w="1276" w:type="dxa"/>
            <w:noWrap w:val="0"/>
            <w:vAlign w:val="center"/>
          </w:tcPr>
          <w:p w14:paraId="60104753">
            <w:pPr>
              <w:adjustRightInd w:val="0"/>
              <w:snapToGrid w:val="0"/>
              <w:spacing w:line="360" w:lineRule="auto"/>
              <w:jc w:val="center"/>
              <w:rPr>
                <w:rFonts w:ascii="宋体" w:hAnsi="宋体" w:cs="仿宋"/>
                <w:sz w:val="24"/>
              </w:rPr>
            </w:pPr>
            <w:r>
              <w:rPr>
                <w:rFonts w:hint="eastAsia" w:ascii="宋体" w:hAnsi="宋体" w:cs="仿宋"/>
                <w:sz w:val="24"/>
              </w:rPr>
              <w:t>/</w:t>
            </w:r>
          </w:p>
        </w:tc>
        <w:tc>
          <w:tcPr>
            <w:tcW w:w="1418" w:type="dxa"/>
            <w:noWrap w:val="0"/>
            <w:vAlign w:val="center"/>
          </w:tcPr>
          <w:p w14:paraId="4C6F3598">
            <w:pPr>
              <w:adjustRightInd w:val="0"/>
              <w:snapToGrid w:val="0"/>
              <w:spacing w:line="360" w:lineRule="auto"/>
              <w:jc w:val="center"/>
              <w:rPr>
                <w:rFonts w:ascii="宋体" w:hAnsi="宋体" w:cs="仿宋"/>
                <w:sz w:val="24"/>
              </w:rPr>
            </w:pPr>
            <w:r>
              <w:rPr>
                <w:rFonts w:hint="eastAsia" w:ascii="宋体" w:hAnsi="宋体" w:cs="仿宋"/>
                <w:sz w:val="24"/>
              </w:rPr>
              <w:t>/</w:t>
            </w:r>
          </w:p>
        </w:tc>
        <w:tc>
          <w:tcPr>
            <w:tcW w:w="940" w:type="dxa"/>
            <w:noWrap w:val="0"/>
            <w:vAlign w:val="center"/>
          </w:tcPr>
          <w:p w14:paraId="705872AB">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292347E4">
            <w:pPr>
              <w:adjustRightInd w:val="0"/>
              <w:snapToGrid w:val="0"/>
              <w:spacing w:line="360" w:lineRule="auto"/>
              <w:jc w:val="center"/>
              <w:rPr>
                <w:rFonts w:ascii="宋体" w:hAnsi="宋体" w:cs="仿宋"/>
                <w:sz w:val="24"/>
              </w:rPr>
            </w:pPr>
            <w:r>
              <w:rPr>
                <w:rFonts w:hint="eastAsia" w:ascii="宋体" w:hAnsi="宋体" w:cs="仿宋"/>
                <w:sz w:val="24"/>
              </w:rPr>
              <w:t>/</w:t>
            </w:r>
          </w:p>
        </w:tc>
        <w:tc>
          <w:tcPr>
            <w:tcW w:w="1044" w:type="dxa"/>
            <w:noWrap w:val="0"/>
            <w:vAlign w:val="center"/>
          </w:tcPr>
          <w:p w14:paraId="23C32887">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554CF867">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6CA59BCF">
            <w:pPr>
              <w:adjustRightInd w:val="0"/>
              <w:snapToGrid w:val="0"/>
              <w:spacing w:line="360" w:lineRule="auto"/>
              <w:jc w:val="center"/>
              <w:rPr>
                <w:rFonts w:ascii="宋体" w:hAnsi="宋体" w:cs="仿宋"/>
                <w:sz w:val="24"/>
              </w:rPr>
            </w:pPr>
            <w:r>
              <w:rPr>
                <w:rFonts w:hint="eastAsia" w:ascii="宋体" w:hAnsi="宋体" w:cs="仿宋"/>
                <w:sz w:val="24"/>
              </w:rPr>
              <w:t>/</w:t>
            </w:r>
          </w:p>
        </w:tc>
        <w:tc>
          <w:tcPr>
            <w:tcW w:w="1487" w:type="dxa"/>
            <w:noWrap w:val="0"/>
            <w:vAlign w:val="center"/>
          </w:tcPr>
          <w:p w14:paraId="44CEAB5C">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2E76D3F1">
            <w:pPr>
              <w:adjustRightInd w:val="0"/>
              <w:snapToGrid w:val="0"/>
              <w:spacing w:line="360" w:lineRule="auto"/>
              <w:jc w:val="center"/>
              <w:rPr>
                <w:rFonts w:ascii="宋体" w:hAnsi="宋体" w:cs="仿宋"/>
                <w:sz w:val="24"/>
              </w:rPr>
            </w:pPr>
            <w:r>
              <w:rPr>
                <w:rFonts w:hint="eastAsia" w:ascii="宋体" w:hAnsi="宋体" w:cs="仿宋"/>
                <w:sz w:val="24"/>
              </w:rPr>
              <w:t>/</w:t>
            </w:r>
          </w:p>
        </w:tc>
      </w:tr>
      <w:tr w14:paraId="44D6D7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951386D">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noWrap w:val="0"/>
            <w:vAlign w:val="center"/>
          </w:tcPr>
          <w:p w14:paraId="549EFE80">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18" w:type="dxa"/>
            <w:noWrap w:val="0"/>
            <w:vAlign w:val="center"/>
          </w:tcPr>
          <w:p w14:paraId="13B2BF1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40" w:type="dxa"/>
            <w:noWrap w:val="0"/>
            <w:vAlign w:val="center"/>
          </w:tcPr>
          <w:p w14:paraId="48479C3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31C6DDA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044" w:type="dxa"/>
            <w:noWrap w:val="0"/>
            <w:vAlign w:val="center"/>
          </w:tcPr>
          <w:p w14:paraId="7A9C00DB">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12247A83">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851" w:type="dxa"/>
            <w:noWrap w:val="0"/>
            <w:vAlign w:val="center"/>
          </w:tcPr>
          <w:p w14:paraId="08DEEAA7">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87" w:type="dxa"/>
            <w:noWrap w:val="0"/>
            <w:vAlign w:val="center"/>
          </w:tcPr>
          <w:p w14:paraId="2D3D0C6E">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992" w:type="dxa"/>
            <w:noWrap w:val="0"/>
            <w:vAlign w:val="center"/>
          </w:tcPr>
          <w:p w14:paraId="40CE6F7F">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7D0174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A0FAA8B">
            <w:pPr>
              <w:adjustRightInd w:val="0"/>
              <w:snapToGrid w:val="0"/>
              <w:spacing w:line="360" w:lineRule="auto"/>
              <w:jc w:val="center"/>
              <w:rPr>
                <w:rFonts w:ascii="宋体" w:hAnsi="宋体" w:cs="仿宋"/>
                <w:sz w:val="24"/>
              </w:rPr>
            </w:pPr>
            <w:r>
              <w:rPr>
                <w:rFonts w:hint="eastAsia" w:ascii="宋体" w:hAnsi="宋体" w:cs="仿宋"/>
                <w:sz w:val="24"/>
              </w:rPr>
              <w:t>/</w:t>
            </w:r>
          </w:p>
        </w:tc>
        <w:tc>
          <w:tcPr>
            <w:tcW w:w="1276" w:type="dxa"/>
            <w:noWrap w:val="0"/>
            <w:vAlign w:val="center"/>
          </w:tcPr>
          <w:p w14:paraId="070A5655">
            <w:pPr>
              <w:adjustRightInd w:val="0"/>
              <w:snapToGrid w:val="0"/>
              <w:spacing w:line="360" w:lineRule="auto"/>
              <w:jc w:val="center"/>
              <w:rPr>
                <w:rFonts w:ascii="宋体" w:hAnsi="宋体" w:cs="仿宋"/>
                <w:sz w:val="24"/>
              </w:rPr>
            </w:pPr>
            <w:r>
              <w:rPr>
                <w:rFonts w:hint="eastAsia" w:ascii="宋体" w:hAnsi="宋体" w:cs="仿宋"/>
                <w:sz w:val="24"/>
              </w:rPr>
              <w:t>/</w:t>
            </w:r>
          </w:p>
        </w:tc>
        <w:tc>
          <w:tcPr>
            <w:tcW w:w="1418" w:type="dxa"/>
            <w:noWrap w:val="0"/>
            <w:vAlign w:val="center"/>
          </w:tcPr>
          <w:p w14:paraId="7F513BE1">
            <w:pPr>
              <w:adjustRightInd w:val="0"/>
              <w:snapToGrid w:val="0"/>
              <w:spacing w:line="360" w:lineRule="auto"/>
              <w:jc w:val="center"/>
              <w:rPr>
                <w:rFonts w:ascii="宋体" w:hAnsi="宋体" w:cs="仿宋"/>
                <w:sz w:val="24"/>
              </w:rPr>
            </w:pPr>
            <w:r>
              <w:rPr>
                <w:rFonts w:hint="eastAsia" w:ascii="宋体" w:hAnsi="宋体" w:cs="仿宋"/>
                <w:sz w:val="24"/>
              </w:rPr>
              <w:t>/</w:t>
            </w:r>
          </w:p>
        </w:tc>
        <w:tc>
          <w:tcPr>
            <w:tcW w:w="940" w:type="dxa"/>
            <w:noWrap w:val="0"/>
            <w:vAlign w:val="center"/>
          </w:tcPr>
          <w:p w14:paraId="760A28D6">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7EB00651">
            <w:pPr>
              <w:adjustRightInd w:val="0"/>
              <w:snapToGrid w:val="0"/>
              <w:spacing w:line="360" w:lineRule="auto"/>
              <w:jc w:val="center"/>
              <w:rPr>
                <w:rFonts w:ascii="宋体" w:hAnsi="宋体" w:cs="仿宋"/>
                <w:sz w:val="24"/>
              </w:rPr>
            </w:pPr>
            <w:r>
              <w:rPr>
                <w:rFonts w:hint="eastAsia" w:ascii="宋体" w:hAnsi="宋体" w:cs="仿宋"/>
                <w:sz w:val="24"/>
              </w:rPr>
              <w:t>/</w:t>
            </w:r>
          </w:p>
        </w:tc>
        <w:tc>
          <w:tcPr>
            <w:tcW w:w="1044" w:type="dxa"/>
            <w:noWrap w:val="0"/>
            <w:vAlign w:val="center"/>
          </w:tcPr>
          <w:p w14:paraId="12DBCCB5">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0B283A82">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02E5204F">
            <w:pPr>
              <w:adjustRightInd w:val="0"/>
              <w:snapToGrid w:val="0"/>
              <w:spacing w:line="360" w:lineRule="auto"/>
              <w:jc w:val="center"/>
              <w:rPr>
                <w:rFonts w:ascii="宋体" w:hAnsi="宋体" w:cs="仿宋"/>
                <w:sz w:val="24"/>
              </w:rPr>
            </w:pPr>
            <w:r>
              <w:rPr>
                <w:rFonts w:hint="eastAsia" w:ascii="宋体" w:hAnsi="宋体" w:cs="仿宋"/>
                <w:sz w:val="24"/>
              </w:rPr>
              <w:t>/</w:t>
            </w:r>
          </w:p>
        </w:tc>
        <w:tc>
          <w:tcPr>
            <w:tcW w:w="1487" w:type="dxa"/>
            <w:noWrap w:val="0"/>
            <w:vAlign w:val="center"/>
          </w:tcPr>
          <w:p w14:paraId="41248F53">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6801E917">
            <w:pPr>
              <w:adjustRightInd w:val="0"/>
              <w:snapToGrid w:val="0"/>
              <w:spacing w:line="360" w:lineRule="auto"/>
              <w:jc w:val="center"/>
              <w:rPr>
                <w:rFonts w:ascii="宋体" w:hAnsi="宋体" w:cs="仿宋"/>
                <w:sz w:val="24"/>
              </w:rPr>
            </w:pPr>
            <w:r>
              <w:rPr>
                <w:rFonts w:hint="eastAsia" w:ascii="宋体" w:hAnsi="宋体" w:cs="仿宋"/>
                <w:sz w:val="24"/>
              </w:rPr>
              <w:t>/</w:t>
            </w:r>
          </w:p>
        </w:tc>
      </w:tr>
      <w:tr w14:paraId="4D23BE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5A15931">
            <w:pPr>
              <w:adjustRightInd w:val="0"/>
              <w:snapToGrid w:val="0"/>
              <w:spacing w:line="360" w:lineRule="auto"/>
              <w:jc w:val="center"/>
              <w:rPr>
                <w:rFonts w:ascii="宋体" w:hAnsi="宋体" w:cs="仿宋"/>
                <w:sz w:val="24"/>
              </w:rPr>
            </w:pPr>
            <w:r>
              <w:rPr>
                <w:rFonts w:hint="eastAsia" w:ascii="宋体" w:hAnsi="宋体" w:cs="仿宋"/>
                <w:sz w:val="24"/>
              </w:rPr>
              <w:t>/</w:t>
            </w:r>
          </w:p>
        </w:tc>
        <w:tc>
          <w:tcPr>
            <w:tcW w:w="1276" w:type="dxa"/>
            <w:noWrap w:val="0"/>
            <w:vAlign w:val="center"/>
          </w:tcPr>
          <w:p w14:paraId="44FA0080">
            <w:pPr>
              <w:adjustRightInd w:val="0"/>
              <w:snapToGrid w:val="0"/>
              <w:spacing w:line="360" w:lineRule="auto"/>
              <w:jc w:val="center"/>
              <w:rPr>
                <w:rFonts w:ascii="宋体" w:hAnsi="宋体" w:cs="仿宋"/>
                <w:sz w:val="24"/>
              </w:rPr>
            </w:pPr>
            <w:r>
              <w:rPr>
                <w:rFonts w:hint="eastAsia" w:ascii="宋体" w:hAnsi="宋体" w:cs="仿宋"/>
                <w:sz w:val="24"/>
              </w:rPr>
              <w:t>/</w:t>
            </w:r>
          </w:p>
        </w:tc>
        <w:tc>
          <w:tcPr>
            <w:tcW w:w="1418" w:type="dxa"/>
            <w:noWrap w:val="0"/>
            <w:vAlign w:val="center"/>
          </w:tcPr>
          <w:p w14:paraId="55DD3CC0">
            <w:pPr>
              <w:adjustRightInd w:val="0"/>
              <w:snapToGrid w:val="0"/>
              <w:spacing w:line="360" w:lineRule="auto"/>
              <w:jc w:val="center"/>
              <w:rPr>
                <w:rFonts w:ascii="宋体" w:hAnsi="宋体" w:cs="仿宋"/>
                <w:sz w:val="24"/>
              </w:rPr>
            </w:pPr>
            <w:r>
              <w:rPr>
                <w:rFonts w:hint="eastAsia" w:ascii="宋体" w:hAnsi="宋体" w:cs="仿宋"/>
                <w:sz w:val="24"/>
              </w:rPr>
              <w:t>/</w:t>
            </w:r>
          </w:p>
        </w:tc>
        <w:tc>
          <w:tcPr>
            <w:tcW w:w="940" w:type="dxa"/>
            <w:noWrap w:val="0"/>
            <w:vAlign w:val="center"/>
          </w:tcPr>
          <w:p w14:paraId="19241884">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6F2BE9D4">
            <w:pPr>
              <w:adjustRightInd w:val="0"/>
              <w:snapToGrid w:val="0"/>
              <w:spacing w:line="360" w:lineRule="auto"/>
              <w:jc w:val="center"/>
              <w:rPr>
                <w:rFonts w:ascii="宋体" w:hAnsi="宋体" w:cs="仿宋"/>
                <w:sz w:val="24"/>
              </w:rPr>
            </w:pPr>
            <w:r>
              <w:rPr>
                <w:rFonts w:hint="eastAsia" w:ascii="宋体" w:hAnsi="宋体" w:cs="仿宋"/>
                <w:sz w:val="24"/>
              </w:rPr>
              <w:t>/</w:t>
            </w:r>
          </w:p>
        </w:tc>
        <w:tc>
          <w:tcPr>
            <w:tcW w:w="1044" w:type="dxa"/>
            <w:noWrap w:val="0"/>
            <w:vAlign w:val="center"/>
          </w:tcPr>
          <w:p w14:paraId="78C0B839">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47CF1BDE">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1C1D587E">
            <w:pPr>
              <w:adjustRightInd w:val="0"/>
              <w:snapToGrid w:val="0"/>
              <w:spacing w:line="360" w:lineRule="auto"/>
              <w:jc w:val="center"/>
              <w:rPr>
                <w:rFonts w:ascii="宋体" w:hAnsi="宋体" w:cs="仿宋"/>
                <w:sz w:val="24"/>
              </w:rPr>
            </w:pPr>
            <w:r>
              <w:rPr>
                <w:rFonts w:hint="eastAsia" w:ascii="宋体" w:hAnsi="宋体" w:cs="仿宋"/>
                <w:sz w:val="24"/>
              </w:rPr>
              <w:t>/</w:t>
            </w:r>
          </w:p>
        </w:tc>
        <w:tc>
          <w:tcPr>
            <w:tcW w:w="1487" w:type="dxa"/>
            <w:noWrap w:val="0"/>
            <w:vAlign w:val="center"/>
          </w:tcPr>
          <w:p w14:paraId="07FDE936">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6EDF8C04">
            <w:pPr>
              <w:adjustRightInd w:val="0"/>
              <w:snapToGrid w:val="0"/>
              <w:spacing w:line="360" w:lineRule="auto"/>
              <w:jc w:val="center"/>
              <w:rPr>
                <w:rFonts w:ascii="宋体" w:hAnsi="宋体" w:cs="仿宋"/>
                <w:sz w:val="24"/>
              </w:rPr>
            </w:pPr>
            <w:r>
              <w:rPr>
                <w:rFonts w:hint="eastAsia" w:ascii="宋体" w:hAnsi="宋体" w:cs="仿宋"/>
                <w:sz w:val="24"/>
              </w:rPr>
              <w:t>/</w:t>
            </w:r>
          </w:p>
        </w:tc>
      </w:tr>
      <w:tr w14:paraId="715779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53A8381">
            <w:pPr>
              <w:adjustRightInd w:val="0"/>
              <w:snapToGrid w:val="0"/>
              <w:spacing w:line="360" w:lineRule="auto"/>
              <w:jc w:val="center"/>
              <w:rPr>
                <w:rFonts w:ascii="宋体" w:hAnsi="宋体" w:cs="仿宋"/>
                <w:sz w:val="24"/>
              </w:rPr>
            </w:pPr>
            <w:r>
              <w:rPr>
                <w:rFonts w:hint="eastAsia" w:ascii="宋体" w:hAnsi="宋体" w:cs="仿宋"/>
                <w:sz w:val="24"/>
              </w:rPr>
              <w:t>/</w:t>
            </w:r>
          </w:p>
        </w:tc>
        <w:tc>
          <w:tcPr>
            <w:tcW w:w="1276" w:type="dxa"/>
            <w:noWrap w:val="0"/>
            <w:vAlign w:val="center"/>
          </w:tcPr>
          <w:p w14:paraId="5F742089">
            <w:pPr>
              <w:adjustRightInd w:val="0"/>
              <w:snapToGrid w:val="0"/>
              <w:spacing w:line="360" w:lineRule="auto"/>
              <w:jc w:val="center"/>
              <w:rPr>
                <w:rFonts w:ascii="宋体" w:hAnsi="宋体" w:cs="仿宋"/>
                <w:sz w:val="24"/>
              </w:rPr>
            </w:pPr>
            <w:r>
              <w:rPr>
                <w:rFonts w:hint="eastAsia" w:ascii="宋体" w:hAnsi="宋体" w:cs="仿宋"/>
                <w:sz w:val="24"/>
              </w:rPr>
              <w:t>/</w:t>
            </w:r>
          </w:p>
        </w:tc>
        <w:tc>
          <w:tcPr>
            <w:tcW w:w="1418" w:type="dxa"/>
            <w:noWrap w:val="0"/>
            <w:vAlign w:val="center"/>
          </w:tcPr>
          <w:p w14:paraId="7D5D900C">
            <w:pPr>
              <w:adjustRightInd w:val="0"/>
              <w:snapToGrid w:val="0"/>
              <w:spacing w:line="360" w:lineRule="auto"/>
              <w:jc w:val="center"/>
              <w:rPr>
                <w:rFonts w:ascii="宋体" w:hAnsi="宋体" w:cs="仿宋"/>
                <w:sz w:val="24"/>
              </w:rPr>
            </w:pPr>
            <w:r>
              <w:rPr>
                <w:rFonts w:hint="eastAsia" w:ascii="宋体" w:hAnsi="宋体" w:cs="仿宋"/>
                <w:sz w:val="24"/>
              </w:rPr>
              <w:t>/</w:t>
            </w:r>
          </w:p>
        </w:tc>
        <w:tc>
          <w:tcPr>
            <w:tcW w:w="940" w:type="dxa"/>
            <w:noWrap w:val="0"/>
            <w:vAlign w:val="center"/>
          </w:tcPr>
          <w:p w14:paraId="638844DA">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1E259C97">
            <w:pPr>
              <w:adjustRightInd w:val="0"/>
              <w:snapToGrid w:val="0"/>
              <w:spacing w:line="360" w:lineRule="auto"/>
              <w:jc w:val="center"/>
              <w:rPr>
                <w:rFonts w:ascii="宋体" w:hAnsi="宋体" w:cs="仿宋"/>
                <w:sz w:val="24"/>
              </w:rPr>
            </w:pPr>
            <w:r>
              <w:rPr>
                <w:rFonts w:hint="eastAsia" w:ascii="宋体" w:hAnsi="宋体" w:cs="仿宋"/>
                <w:sz w:val="24"/>
              </w:rPr>
              <w:t>/</w:t>
            </w:r>
          </w:p>
        </w:tc>
        <w:tc>
          <w:tcPr>
            <w:tcW w:w="1044" w:type="dxa"/>
            <w:noWrap w:val="0"/>
            <w:vAlign w:val="center"/>
          </w:tcPr>
          <w:p w14:paraId="4E5C008C">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1C8AEBF1">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7A6B2979">
            <w:pPr>
              <w:adjustRightInd w:val="0"/>
              <w:snapToGrid w:val="0"/>
              <w:spacing w:line="360" w:lineRule="auto"/>
              <w:jc w:val="center"/>
              <w:rPr>
                <w:rFonts w:ascii="宋体" w:hAnsi="宋体" w:cs="仿宋"/>
                <w:sz w:val="24"/>
              </w:rPr>
            </w:pPr>
            <w:r>
              <w:rPr>
                <w:rFonts w:hint="eastAsia" w:ascii="宋体" w:hAnsi="宋体" w:cs="仿宋"/>
                <w:sz w:val="24"/>
              </w:rPr>
              <w:t>/</w:t>
            </w:r>
          </w:p>
        </w:tc>
        <w:tc>
          <w:tcPr>
            <w:tcW w:w="1487" w:type="dxa"/>
            <w:noWrap w:val="0"/>
            <w:vAlign w:val="center"/>
          </w:tcPr>
          <w:p w14:paraId="44EC9BEA">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7CB9DAE6">
            <w:pPr>
              <w:adjustRightInd w:val="0"/>
              <w:snapToGrid w:val="0"/>
              <w:spacing w:line="360" w:lineRule="auto"/>
              <w:jc w:val="center"/>
              <w:rPr>
                <w:rFonts w:ascii="宋体" w:hAnsi="宋体" w:cs="仿宋"/>
                <w:sz w:val="24"/>
              </w:rPr>
            </w:pPr>
            <w:r>
              <w:rPr>
                <w:rFonts w:hint="eastAsia" w:ascii="宋体" w:hAnsi="宋体" w:cs="仿宋"/>
                <w:sz w:val="24"/>
              </w:rPr>
              <w:t>/</w:t>
            </w:r>
          </w:p>
        </w:tc>
      </w:tr>
      <w:tr w14:paraId="2A91EC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B561680">
            <w:pPr>
              <w:adjustRightInd w:val="0"/>
              <w:snapToGrid w:val="0"/>
              <w:spacing w:line="360" w:lineRule="auto"/>
              <w:jc w:val="center"/>
              <w:rPr>
                <w:rFonts w:ascii="宋体" w:hAnsi="宋体" w:cs="仿宋"/>
                <w:sz w:val="24"/>
              </w:rPr>
            </w:pPr>
            <w:r>
              <w:rPr>
                <w:rFonts w:hint="eastAsia" w:ascii="宋体" w:hAnsi="宋体" w:cs="仿宋"/>
                <w:sz w:val="24"/>
              </w:rPr>
              <w:t>/</w:t>
            </w:r>
          </w:p>
        </w:tc>
        <w:tc>
          <w:tcPr>
            <w:tcW w:w="1276" w:type="dxa"/>
            <w:noWrap w:val="0"/>
            <w:vAlign w:val="center"/>
          </w:tcPr>
          <w:p w14:paraId="3D504630">
            <w:pPr>
              <w:adjustRightInd w:val="0"/>
              <w:snapToGrid w:val="0"/>
              <w:spacing w:line="360" w:lineRule="auto"/>
              <w:jc w:val="center"/>
              <w:rPr>
                <w:rFonts w:ascii="宋体" w:hAnsi="宋体" w:cs="仿宋"/>
                <w:sz w:val="24"/>
              </w:rPr>
            </w:pPr>
            <w:r>
              <w:rPr>
                <w:rFonts w:hint="eastAsia" w:ascii="宋体" w:hAnsi="宋体" w:cs="仿宋"/>
                <w:sz w:val="24"/>
              </w:rPr>
              <w:t>/</w:t>
            </w:r>
          </w:p>
        </w:tc>
        <w:tc>
          <w:tcPr>
            <w:tcW w:w="1418" w:type="dxa"/>
            <w:noWrap w:val="0"/>
            <w:vAlign w:val="center"/>
          </w:tcPr>
          <w:p w14:paraId="1558B37F">
            <w:pPr>
              <w:adjustRightInd w:val="0"/>
              <w:snapToGrid w:val="0"/>
              <w:spacing w:line="360" w:lineRule="auto"/>
              <w:jc w:val="center"/>
              <w:rPr>
                <w:rFonts w:ascii="宋体" w:hAnsi="宋体" w:cs="仿宋"/>
                <w:sz w:val="24"/>
              </w:rPr>
            </w:pPr>
            <w:r>
              <w:rPr>
                <w:rFonts w:hint="eastAsia" w:ascii="宋体" w:hAnsi="宋体" w:cs="仿宋"/>
                <w:sz w:val="24"/>
              </w:rPr>
              <w:t>/</w:t>
            </w:r>
          </w:p>
        </w:tc>
        <w:tc>
          <w:tcPr>
            <w:tcW w:w="940" w:type="dxa"/>
            <w:noWrap w:val="0"/>
            <w:vAlign w:val="center"/>
          </w:tcPr>
          <w:p w14:paraId="4F8F4191">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07F8C02B">
            <w:pPr>
              <w:adjustRightInd w:val="0"/>
              <w:snapToGrid w:val="0"/>
              <w:spacing w:line="360" w:lineRule="auto"/>
              <w:jc w:val="center"/>
              <w:rPr>
                <w:rFonts w:ascii="宋体" w:hAnsi="宋体" w:cs="仿宋"/>
                <w:sz w:val="24"/>
              </w:rPr>
            </w:pPr>
            <w:r>
              <w:rPr>
                <w:rFonts w:hint="eastAsia" w:ascii="宋体" w:hAnsi="宋体" w:cs="仿宋"/>
                <w:sz w:val="24"/>
              </w:rPr>
              <w:t>/</w:t>
            </w:r>
          </w:p>
        </w:tc>
        <w:tc>
          <w:tcPr>
            <w:tcW w:w="1044" w:type="dxa"/>
            <w:noWrap w:val="0"/>
            <w:vAlign w:val="center"/>
          </w:tcPr>
          <w:p w14:paraId="761F7628">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1575CB9A">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20047BB4">
            <w:pPr>
              <w:adjustRightInd w:val="0"/>
              <w:snapToGrid w:val="0"/>
              <w:spacing w:line="360" w:lineRule="auto"/>
              <w:jc w:val="center"/>
              <w:rPr>
                <w:rFonts w:ascii="宋体" w:hAnsi="宋体" w:cs="仿宋"/>
                <w:sz w:val="24"/>
              </w:rPr>
            </w:pPr>
            <w:r>
              <w:rPr>
                <w:rFonts w:hint="eastAsia" w:ascii="宋体" w:hAnsi="宋体" w:cs="仿宋"/>
                <w:sz w:val="24"/>
              </w:rPr>
              <w:t>/</w:t>
            </w:r>
          </w:p>
        </w:tc>
        <w:tc>
          <w:tcPr>
            <w:tcW w:w="1487" w:type="dxa"/>
            <w:noWrap w:val="0"/>
            <w:vAlign w:val="center"/>
          </w:tcPr>
          <w:p w14:paraId="052A214E">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0FA1D6DD">
            <w:pPr>
              <w:adjustRightInd w:val="0"/>
              <w:snapToGrid w:val="0"/>
              <w:spacing w:line="360" w:lineRule="auto"/>
              <w:jc w:val="center"/>
              <w:rPr>
                <w:rFonts w:ascii="宋体" w:hAnsi="宋体" w:cs="仿宋"/>
                <w:sz w:val="24"/>
              </w:rPr>
            </w:pPr>
            <w:r>
              <w:rPr>
                <w:rFonts w:hint="eastAsia" w:ascii="宋体" w:hAnsi="宋体" w:cs="仿宋"/>
                <w:sz w:val="24"/>
              </w:rPr>
              <w:t>/</w:t>
            </w:r>
          </w:p>
        </w:tc>
      </w:tr>
      <w:tr w14:paraId="294E1C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F5102FA">
            <w:pPr>
              <w:adjustRightInd w:val="0"/>
              <w:snapToGrid w:val="0"/>
              <w:spacing w:line="360" w:lineRule="auto"/>
              <w:jc w:val="center"/>
              <w:rPr>
                <w:rFonts w:ascii="宋体" w:hAnsi="宋体" w:cs="仿宋"/>
                <w:sz w:val="24"/>
              </w:rPr>
            </w:pPr>
            <w:r>
              <w:rPr>
                <w:rFonts w:hint="eastAsia" w:ascii="宋体" w:hAnsi="宋体" w:cs="仿宋"/>
                <w:sz w:val="24"/>
              </w:rPr>
              <w:t>/</w:t>
            </w:r>
          </w:p>
        </w:tc>
        <w:tc>
          <w:tcPr>
            <w:tcW w:w="1276" w:type="dxa"/>
            <w:noWrap w:val="0"/>
            <w:vAlign w:val="center"/>
          </w:tcPr>
          <w:p w14:paraId="7081BB80">
            <w:pPr>
              <w:adjustRightInd w:val="0"/>
              <w:snapToGrid w:val="0"/>
              <w:spacing w:line="360" w:lineRule="auto"/>
              <w:jc w:val="center"/>
              <w:rPr>
                <w:rFonts w:ascii="宋体" w:hAnsi="宋体" w:cs="仿宋"/>
                <w:sz w:val="24"/>
              </w:rPr>
            </w:pPr>
            <w:r>
              <w:rPr>
                <w:rFonts w:hint="eastAsia" w:ascii="宋体" w:hAnsi="宋体" w:cs="仿宋"/>
                <w:sz w:val="24"/>
              </w:rPr>
              <w:t>/</w:t>
            </w:r>
          </w:p>
        </w:tc>
        <w:tc>
          <w:tcPr>
            <w:tcW w:w="1418" w:type="dxa"/>
            <w:noWrap w:val="0"/>
            <w:vAlign w:val="center"/>
          </w:tcPr>
          <w:p w14:paraId="4D03D04E">
            <w:pPr>
              <w:adjustRightInd w:val="0"/>
              <w:snapToGrid w:val="0"/>
              <w:spacing w:line="360" w:lineRule="auto"/>
              <w:jc w:val="center"/>
              <w:rPr>
                <w:rFonts w:ascii="宋体" w:hAnsi="宋体" w:cs="仿宋"/>
                <w:sz w:val="24"/>
              </w:rPr>
            </w:pPr>
            <w:r>
              <w:rPr>
                <w:rFonts w:hint="eastAsia" w:ascii="宋体" w:hAnsi="宋体" w:cs="仿宋"/>
                <w:sz w:val="24"/>
              </w:rPr>
              <w:t>/</w:t>
            </w:r>
          </w:p>
        </w:tc>
        <w:tc>
          <w:tcPr>
            <w:tcW w:w="940" w:type="dxa"/>
            <w:noWrap w:val="0"/>
            <w:vAlign w:val="center"/>
          </w:tcPr>
          <w:p w14:paraId="1F8D6260">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513588BA">
            <w:pPr>
              <w:adjustRightInd w:val="0"/>
              <w:snapToGrid w:val="0"/>
              <w:spacing w:line="360" w:lineRule="auto"/>
              <w:jc w:val="center"/>
              <w:rPr>
                <w:rFonts w:ascii="宋体" w:hAnsi="宋体" w:cs="仿宋"/>
                <w:sz w:val="24"/>
              </w:rPr>
            </w:pPr>
            <w:r>
              <w:rPr>
                <w:rFonts w:hint="eastAsia" w:ascii="宋体" w:hAnsi="宋体" w:cs="仿宋"/>
                <w:sz w:val="24"/>
              </w:rPr>
              <w:t>/</w:t>
            </w:r>
          </w:p>
        </w:tc>
        <w:tc>
          <w:tcPr>
            <w:tcW w:w="1044" w:type="dxa"/>
            <w:noWrap w:val="0"/>
            <w:vAlign w:val="center"/>
          </w:tcPr>
          <w:p w14:paraId="7E356A0D">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67DD86B2">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5CF2C024">
            <w:pPr>
              <w:adjustRightInd w:val="0"/>
              <w:snapToGrid w:val="0"/>
              <w:spacing w:line="360" w:lineRule="auto"/>
              <w:jc w:val="center"/>
              <w:rPr>
                <w:rFonts w:ascii="宋体" w:hAnsi="宋体" w:cs="仿宋"/>
                <w:sz w:val="24"/>
              </w:rPr>
            </w:pPr>
            <w:r>
              <w:rPr>
                <w:rFonts w:hint="eastAsia" w:ascii="宋体" w:hAnsi="宋体" w:cs="仿宋"/>
                <w:sz w:val="24"/>
              </w:rPr>
              <w:t>/</w:t>
            </w:r>
          </w:p>
        </w:tc>
        <w:tc>
          <w:tcPr>
            <w:tcW w:w="1487" w:type="dxa"/>
            <w:noWrap w:val="0"/>
            <w:vAlign w:val="center"/>
          </w:tcPr>
          <w:p w14:paraId="27852748">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5F48B1A6">
            <w:pPr>
              <w:adjustRightInd w:val="0"/>
              <w:snapToGrid w:val="0"/>
              <w:spacing w:line="360" w:lineRule="auto"/>
              <w:jc w:val="center"/>
              <w:rPr>
                <w:rFonts w:ascii="宋体" w:hAnsi="宋体" w:cs="仿宋"/>
                <w:sz w:val="24"/>
              </w:rPr>
            </w:pPr>
            <w:r>
              <w:rPr>
                <w:rFonts w:hint="eastAsia" w:ascii="宋体" w:hAnsi="宋体" w:cs="仿宋"/>
                <w:sz w:val="24"/>
              </w:rPr>
              <w:t>/</w:t>
            </w:r>
          </w:p>
        </w:tc>
      </w:tr>
      <w:tr w14:paraId="2672D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66DE740">
            <w:pPr>
              <w:adjustRightInd w:val="0"/>
              <w:snapToGrid w:val="0"/>
              <w:spacing w:line="360" w:lineRule="auto"/>
              <w:jc w:val="center"/>
              <w:rPr>
                <w:rFonts w:ascii="宋体" w:hAnsi="宋体" w:cs="仿宋"/>
                <w:sz w:val="24"/>
              </w:rPr>
            </w:pPr>
            <w:r>
              <w:rPr>
                <w:rFonts w:hint="eastAsia" w:ascii="宋体" w:hAnsi="宋体" w:cs="仿宋"/>
                <w:sz w:val="24"/>
              </w:rPr>
              <w:t>/</w:t>
            </w:r>
          </w:p>
        </w:tc>
        <w:tc>
          <w:tcPr>
            <w:tcW w:w="1276" w:type="dxa"/>
            <w:noWrap w:val="0"/>
            <w:vAlign w:val="center"/>
          </w:tcPr>
          <w:p w14:paraId="52D2F4D4">
            <w:pPr>
              <w:adjustRightInd w:val="0"/>
              <w:snapToGrid w:val="0"/>
              <w:spacing w:line="360" w:lineRule="auto"/>
              <w:jc w:val="center"/>
              <w:rPr>
                <w:rFonts w:ascii="宋体" w:hAnsi="宋体" w:cs="仿宋"/>
                <w:sz w:val="24"/>
              </w:rPr>
            </w:pPr>
            <w:r>
              <w:rPr>
                <w:rFonts w:hint="eastAsia" w:ascii="宋体" w:hAnsi="宋体" w:cs="仿宋"/>
                <w:sz w:val="24"/>
              </w:rPr>
              <w:t>/</w:t>
            </w:r>
          </w:p>
        </w:tc>
        <w:tc>
          <w:tcPr>
            <w:tcW w:w="1418" w:type="dxa"/>
            <w:noWrap w:val="0"/>
            <w:vAlign w:val="center"/>
          </w:tcPr>
          <w:p w14:paraId="7BEFD9E0">
            <w:pPr>
              <w:adjustRightInd w:val="0"/>
              <w:snapToGrid w:val="0"/>
              <w:spacing w:line="360" w:lineRule="auto"/>
              <w:jc w:val="center"/>
              <w:rPr>
                <w:rFonts w:ascii="宋体" w:hAnsi="宋体" w:cs="仿宋"/>
                <w:sz w:val="24"/>
              </w:rPr>
            </w:pPr>
            <w:r>
              <w:rPr>
                <w:rFonts w:hint="eastAsia" w:ascii="宋体" w:hAnsi="宋体" w:cs="仿宋"/>
                <w:sz w:val="24"/>
              </w:rPr>
              <w:t>/</w:t>
            </w:r>
          </w:p>
        </w:tc>
        <w:tc>
          <w:tcPr>
            <w:tcW w:w="940" w:type="dxa"/>
            <w:noWrap w:val="0"/>
            <w:vAlign w:val="center"/>
          </w:tcPr>
          <w:p w14:paraId="265FBA20">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4D4B3B9A">
            <w:pPr>
              <w:adjustRightInd w:val="0"/>
              <w:snapToGrid w:val="0"/>
              <w:spacing w:line="360" w:lineRule="auto"/>
              <w:jc w:val="center"/>
              <w:rPr>
                <w:rFonts w:ascii="宋体" w:hAnsi="宋体" w:cs="仿宋"/>
                <w:sz w:val="24"/>
              </w:rPr>
            </w:pPr>
            <w:r>
              <w:rPr>
                <w:rFonts w:hint="eastAsia" w:ascii="宋体" w:hAnsi="宋体" w:cs="仿宋"/>
                <w:sz w:val="24"/>
              </w:rPr>
              <w:t>/</w:t>
            </w:r>
          </w:p>
        </w:tc>
        <w:tc>
          <w:tcPr>
            <w:tcW w:w="1044" w:type="dxa"/>
            <w:noWrap w:val="0"/>
            <w:vAlign w:val="center"/>
          </w:tcPr>
          <w:p w14:paraId="2AF2B8F3">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0A34A0A0">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48526B73">
            <w:pPr>
              <w:adjustRightInd w:val="0"/>
              <w:snapToGrid w:val="0"/>
              <w:spacing w:line="360" w:lineRule="auto"/>
              <w:jc w:val="center"/>
              <w:rPr>
                <w:rFonts w:ascii="宋体" w:hAnsi="宋体" w:cs="仿宋"/>
                <w:sz w:val="24"/>
              </w:rPr>
            </w:pPr>
            <w:r>
              <w:rPr>
                <w:rFonts w:hint="eastAsia" w:ascii="宋体" w:hAnsi="宋体" w:cs="仿宋"/>
                <w:sz w:val="24"/>
              </w:rPr>
              <w:t>/</w:t>
            </w:r>
          </w:p>
        </w:tc>
        <w:tc>
          <w:tcPr>
            <w:tcW w:w="1487" w:type="dxa"/>
            <w:noWrap w:val="0"/>
            <w:vAlign w:val="center"/>
          </w:tcPr>
          <w:p w14:paraId="18B5BD35">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11C43AC7">
            <w:pPr>
              <w:adjustRightInd w:val="0"/>
              <w:snapToGrid w:val="0"/>
              <w:spacing w:line="360" w:lineRule="auto"/>
              <w:jc w:val="center"/>
              <w:rPr>
                <w:rFonts w:ascii="宋体" w:hAnsi="宋体" w:cs="仿宋"/>
                <w:sz w:val="24"/>
              </w:rPr>
            </w:pPr>
            <w:r>
              <w:rPr>
                <w:rFonts w:hint="eastAsia" w:ascii="宋体" w:hAnsi="宋体" w:cs="仿宋"/>
                <w:sz w:val="24"/>
              </w:rPr>
              <w:t>/</w:t>
            </w:r>
          </w:p>
        </w:tc>
      </w:tr>
      <w:tr w14:paraId="0619CF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9B92BC">
            <w:pPr>
              <w:adjustRightInd w:val="0"/>
              <w:snapToGrid w:val="0"/>
              <w:spacing w:line="360" w:lineRule="auto"/>
              <w:jc w:val="center"/>
              <w:rPr>
                <w:rFonts w:ascii="宋体" w:hAnsi="宋体" w:cs="仿宋"/>
                <w:sz w:val="24"/>
              </w:rPr>
            </w:pPr>
            <w:r>
              <w:rPr>
                <w:rFonts w:hint="eastAsia" w:ascii="宋体" w:hAnsi="宋体" w:cs="仿宋"/>
                <w:sz w:val="24"/>
              </w:rPr>
              <w:t>/</w:t>
            </w:r>
          </w:p>
        </w:tc>
        <w:tc>
          <w:tcPr>
            <w:tcW w:w="1276" w:type="dxa"/>
            <w:noWrap w:val="0"/>
            <w:vAlign w:val="center"/>
          </w:tcPr>
          <w:p w14:paraId="4113A80F">
            <w:pPr>
              <w:adjustRightInd w:val="0"/>
              <w:snapToGrid w:val="0"/>
              <w:spacing w:line="360" w:lineRule="auto"/>
              <w:jc w:val="center"/>
              <w:rPr>
                <w:rFonts w:ascii="宋体" w:hAnsi="宋体" w:cs="仿宋"/>
                <w:sz w:val="24"/>
              </w:rPr>
            </w:pPr>
            <w:r>
              <w:rPr>
                <w:rFonts w:hint="eastAsia" w:ascii="宋体" w:hAnsi="宋体" w:cs="仿宋"/>
                <w:sz w:val="24"/>
              </w:rPr>
              <w:t>/</w:t>
            </w:r>
          </w:p>
        </w:tc>
        <w:tc>
          <w:tcPr>
            <w:tcW w:w="1418" w:type="dxa"/>
            <w:noWrap w:val="0"/>
            <w:vAlign w:val="center"/>
          </w:tcPr>
          <w:p w14:paraId="19C590E1">
            <w:pPr>
              <w:adjustRightInd w:val="0"/>
              <w:snapToGrid w:val="0"/>
              <w:spacing w:line="360" w:lineRule="auto"/>
              <w:jc w:val="center"/>
              <w:rPr>
                <w:rFonts w:ascii="宋体" w:hAnsi="宋体" w:cs="仿宋"/>
                <w:sz w:val="24"/>
              </w:rPr>
            </w:pPr>
            <w:r>
              <w:rPr>
                <w:rFonts w:hint="eastAsia" w:ascii="宋体" w:hAnsi="宋体" w:cs="仿宋"/>
                <w:sz w:val="24"/>
              </w:rPr>
              <w:t>/</w:t>
            </w:r>
          </w:p>
        </w:tc>
        <w:tc>
          <w:tcPr>
            <w:tcW w:w="940" w:type="dxa"/>
            <w:noWrap w:val="0"/>
            <w:vAlign w:val="center"/>
          </w:tcPr>
          <w:p w14:paraId="0CCB2D23">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23A9121D">
            <w:pPr>
              <w:adjustRightInd w:val="0"/>
              <w:snapToGrid w:val="0"/>
              <w:spacing w:line="360" w:lineRule="auto"/>
              <w:jc w:val="center"/>
              <w:rPr>
                <w:rFonts w:ascii="宋体" w:hAnsi="宋体" w:cs="仿宋"/>
                <w:sz w:val="24"/>
              </w:rPr>
            </w:pPr>
            <w:r>
              <w:rPr>
                <w:rFonts w:hint="eastAsia" w:ascii="宋体" w:hAnsi="宋体" w:cs="仿宋"/>
                <w:sz w:val="24"/>
              </w:rPr>
              <w:t>/</w:t>
            </w:r>
          </w:p>
        </w:tc>
        <w:tc>
          <w:tcPr>
            <w:tcW w:w="1044" w:type="dxa"/>
            <w:noWrap w:val="0"/>
            <w:vAlign w:val="center"/>
          </w:tcPr>
          <w:p w14:paraId="35B49A44">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2C40EE72">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71C387EA">
            <w:pPr>
              <w:adjustRightInd w:val="0"/>
              <w:snapToGrid w:val="0"/>
              <w:spacing w:line="360" w:lineRule="auto"/>
              <w:jc w:val="center"/>
              <w:rPr>
                <w:rFonts w:ascii="宋体" w:hAnsi="宋体" w:cs="仿宋"/>
                <w:sz w:val="24"/>
              </w:rPr>
            </w:pPr>
            <w:r>
              <w:rPr>
                <w:rFonts w:hint="eastAsia" w:ascii="宋体" w:hAnsi="宋体" w:cs="仿宋"/>
                <w:sz w:val="24"/>
              </w:rPr>
              <w:t>/</w:t>
            </w:r>
          </w:p>
        </w:tc>
        <w:tc>
          <w:tcPr>
            <w:tcW w:w="1487" w:type="dxa"/>
            <w:noWrap w:val="0"/>
            <w:vAlign w:val="center"/>
          </w:tcPr>
          <w:p w14:paraId="1C7F9DEE">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709E128E">
            <w:pPr>
              <w:adjustRightInd w:val="0"/>
              <w:snapToGrid w:val="0"/>
              <w:spacing w:line="360" w:lineRule="auto"/>
              <w:jc w:val="center"/>
              <w:rPr>
                <w:rFonts w:ascii="宋体" w:hAnsi="宋体" w:cs="仿宋"/>
                <w:sz w:val="24"/>
              </w:rPr>
            </w:pPr>
            <w:r>
              <w:rPr>
                <w:rFonts w:hint="eastAsia" w:ascii="宋体" w:hAnsi="宋体" w:cs="仿宋"/>
                <w:sz w:val="24"/>
              </w:rPr>
              <w:t>/</w:t>
            </w:r>
          </w:p>
        </w:tc>
      </w:tr>
      <w:tr w14:paraId="7F6B7F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1CB9DDC">
            <w:pPr>
              <w:adjustRightInd w:val="0"/>
              <w:snapToGrid w:val="0"/>
              <w:spacing w:line="360" w:lineRule="auto"/>
              <w:jc w:val="center"/>
              <w:rPr>
                <w:rFonts w:ascii="宋体" w:hAnsi="宋体" w:cs="仿宋"/>
                <w:sz w:val="24"/>
              </w:rPr>
            </w:pPr>
            <w:r>
              <w:rPr>
                <w:rFonts w:hint="eastAsia" w:ascii="宋体" w:hAnsi="宋体" w:cs="仿宋"/>
                <w:sz w:val="24"/>
              </w:rPr>
              <w:t>/</w:t>
            </w:r>
          </w:p>
        </w:tc>
        <w:tc>
          <w:tcPr>
            <w:tcW w:w="1276" w:type="dxa"/>
            <w:noWrap w:val="0"/>
            <w:vAlign w:val="center"/>
          </w:tcPr>
          <w:p w14:paraId="3B9BDCEF">
            <w:pPr>
              <w:adjustRightInd w:val="0"/>
              <w:snapToGrid w:val="0"/>
              <w:spacing w:line="360" w:lineRule="auto"/>
              <w:jc w:val="center"/>
              <w:rPr>
                <w:rFonts w:ascii="宋体" w:hAnsi="宋体" w:cs="仿宋"/>
                <w:sz w:val="24"/>
              </w:rPr>
            </w:pPr>
            <w:r>
              <w:rPr>
                <w:rFonts w:hint="eastAsia" w:ascii="宋体" w:hAnsi="宋体" w:cs="仿宋"/>
                <w:sz w:val="24"/>
              </w:rPr>
              <w:t>/</w:t>
            </w:r>
          </w:p>
        </w:tc>
        <w:tc>
          <w:tcPr>
            <w:tcW w:w="1418" w:type="dxa"/>
            <w:noWrap w:val="0"/>
            <w:vAlign w:val="center"/>
          </w:tcPr>
          <w:p w14:paraId="36190C00">
            <w:pPr>
              <w:adjustRightInd w:val="0"/>
              <w:snapToGrid w:val="0"/>
              <w:spacing w:line="360" w:lineRule="auto"/>
              <w:jc w:val="center"/>
              <w:rPr>
                <w:rFonts w:ascii="宋体" w:hAnsi="宋体" w:cs="仿宋"/>
                <w:sz w:val="24"/>
              </w:rPr>
            </w:pPr>
            <w:r>
              <w:rPr>
                <w:rFonts w:hint="eastAsia" w:ascii="宋体" w:hAnsi="宋体" w:cs="仿宋"/>
                <w:sz w:val="24"/>
              </w:rPr>
              <w:t>/</w:t>
            </w:r>
          </w:p>
        </w:tc>
        <w:tc>
          <w:tcPr>
            <w:tcW w:w="940" w:type="dxa"/>
            <w:noWrap w:val="0"/>
            <w:vAlign w:val="center"/>
          </w:tcPr>
          <w:p w14:paraId="4D73E8A3">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014074B0">
            <w:pPr>
              <w:adjustRightInd w:val="0"/>
              <w:snapToGrid w:val="0"/>
              <w:spacing w:line="360" w:lineRule="auto"/>
              <w:jc w:val="center"/>
              <w:rPr>
                <w:rFonts w:ascii="宋体" w:hAnsi="宋体" w:cs="仿宋"/>
                <w:sz w:val="24"/>
              </w:rPr>
            </w:pPr>
            <w:r>
              <w:rPr>
                <w:rFonts w:hint="eastAsia" w:ascii="宋体" w:hAnsi="宋体" w:cs="仿宋"/>
                <w:sz w:val="24"/>
              </w:rPr>
              <w:t>/</w:t>
            </w:r>
          </w:p>
        </w:tc>
        <w:tc>
          <w:tcPr>
            <w:tcW w:w="1044" w:type="dxa"/>
            <w:noWrap w:val="0"/>
            <w:vAlign w:val="center"/>
          </w:tcPr>
          <w:p w14:paraId="13B1D299">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454085C3">
            <w:pPr>
              <w:adjustRightInd w:val="0"/>
              <w:snapToGrid w:val="0"/>
              <w:spacing w:line="360" w:lineRule="auto"/>
              <w:jc w:val="center"/>
              <w:rPr>
                <w:rFonts w:ascii="宋体" w:hAnsi="宋体" w:cs="仿宋"/>
                <w:sz w:val="24"/>
              </w:rPr>
            </w:pPr>
            <w:r>
              <w:rPr>
                <w:rFonts w:hint="eastAsia" w:ascii="宋体" w:hAnsi="宋体" w:cs="仿宋"/>
                <w:sz w:val="24"/>
              </w:rPr>
              <w:t>/</w:t>
            </w:r>
          </w:p>
        </w:tc>
        <w:tc>
          <w:tcPr>
            <w:tcW w:w="851" w:type="dxa"/>
            <w:noWrap w:val="0"/>
            <w:vAlign w:val="center"/>
          </w:tcPr>
          <w:p w14:paraId="12A1ABE8">
            <w:pPr>
              <w:adjustRightInd w:val="0"/>
              <w:snapToGrid w:val="0"/>
              <w:spacing w:line="360" w:lineRule="auto"/>
              <w:jc w:val="center"/>
              <w:rPr>
                <w:rFonts w:ascii="宋体" w:hAnsi="宋体" w:cs="仿宋"/>
                <w:sz w:val="24"/>
              </w:rPr>
            </w:pPr>
            <w:r>
              <w:rPr>
                <w:rFonts w:hint="eastAsia" w:ascii="宋体" w:hAnsi="宋体" w:cs="仿宋"/>
                <w:sz w:val="24"/>
              </w:rPr>
              <w:t>/</w:t>
            </w:r>
          </w:p>
        </w:tc>
        <w:tc>
          <w:tcPr>
            <w:tcW w:w="1487" w:type="dxa"/>
            <w:noWrap w:val="0"/>
            <w:vAlign w:val="center"/>
          </w:tcPr>
          <w:p w14:paraId="7830A230">
            <w:pPr>
              <w:adjustRightInd w:val="0"/>
              <w:snapToGrid w:val="0"/>
              <w:spacing w:line="360" w:lineRule="auto"/>
              <w:jc w:val="center"/>
              <w:rPr>
                <w:rFonts w:ascii="宋体" w:hAnsi="宋体" w:cs="仿宋"/>
                <w:sz w:val="24"/>
              </w:rPr>
            </w:pPr>
            <w:r>
              <w:rPr>
                <w:rFonts w:hint="eastAsia" w:ascii="宋体" w:hAnsi="宋体" w:cs="仿宋"/>
                <w:sz w:val="24"/>
              </w:rPr>
              <w:t>/</w:t>
            </w:r>
          </w:p>
        </w:tc>
        <w:tc>
          <w:tcPr>
            <w:tcW w:w="992" w:type="dxa"/>
            <w:noWrap w:val="0"/>
            <w:vAlign w:val="center"/>
          </w:tcPr>
          <w:p w14:paraId="2A09EE3F">
            <w:pPr>
              <w:adjustRightInd w:val="0"/>
              <w:snapToGrid w:val="0"/>
              <w:spacing w:line="360" w:lineRule="auto"/>
              <w:jc w:val="center"/>
              <w:rPr>
                <w:rFonts w:ascii="宋体" w:hAnsi="宋体" w:cs="仿宋"/>
                <w:sz w:val="24"/>
              </w:rPr>
            </w:pPr>
            <w:r>
              <w:rPr>
                <w:rFonts w:hint="eastAsia" w:ascii="宋体" w:hAnsi="宋体" w:cs="仿宋"/>
                <w:sz w:val="24"/>
              </w:rPr>
              <w:t>/</w:t>
            </w:r>
          </w:p>
        </w:tc>
      </w:tr>
    </w:tbl>
    <w:p w14:paraId="22CFF9F4">
      <w:pPr>
        <w:adjustRightInd w:val="0"/>
        <w:snapToGrid w:val="0"/>
        <w:spacing w:line="360" w:lineRule="auto"/>
        <w:outlineLvl w:val="1"/>
        <w:rPr>
          <w:rFonts w:ascii="黑体" w:hAnsi="黑体" w:eastAsia="黑体" w:cs="仿宋"/>
          <w:sz w:val="32"/>
          <w:szCs w:val="32"/>
        </w:rPr>
      </w:pPr>
      <w:r>
        <w:rPr>
          <w:rFonts w:hint="eastAsia" w:ascii="仿宋" w:hAnsi="仿宋" w:eastAsia="仿宋_GB2312" w:cs="仿宋"/>
          <w:sz w:val="24"/>
        </w:rPr>
        <w:br w:type="column"/>
      </w:r>
      <w:r>
        <w:rPr>
          <w:rFonts w:hint="eastAsia" w:ascii="黑体" w:hAnsi="黑体" w:eastAsia="黑体" w:cs="仿宋"/>
          <w:sz w:val="32"/>
          <w:szCs w:val="32"/>
        </w:rPr>
        <w:t>附件3：</w:t>
      </w:r>
    </w:p>
    <w:p w14:paraId="5E5ED203">
      <w:pPr>
        <w:keepNext/>
        <w:keepLines/>
        <w:adjustRightInd w:val="0"/>
        <w:spacing w:before="260" w:after="260" w:line="416" w:lineRule="auto"/>
        <w:jc w:val="center"/>
        <w:textAlignment w:val="baseline"/>
        <w:outlineLvl w:val="9"/>
        <w:rPr>
          <w:rFonts w:ascii="黑体" w:hAnsi="黑体" w:eastAsia="黑体" w:cs="仿宋"/>
          <w:bCs/>
          <w:sz w:val="32"/>
          <w:szCs w:val="32"/>
        </w:rPr>
      </w:pPr>
      <w:bookmarkStart w:id="27" w:name="_Toc217983399"/>
      <w:bookmarkStart w:id="28" w:name="_Toc176786392"/>
      <w:bookmarkStart w:id="29" w:name="_Toc59006213"/>
      <w:bookmarkStart w:id="30" w:name="_Toc178155242"/>
      <w:bookmarkStart w:id="31" w:name="_Toc11590491"/>
      <w:r>
        <w:rPr>
          <w:rFonts w:hint="eastAsia" w:ascii="黑体" w:hAnsi="黑体" w:eastAsia="黑体" w:cs="仿宋"/>
          <w:bCs/>
          <w:sz w:val="32"/>
          <w:szCs w:val="32"/>
        </w:rPr>
        <w:t>工程质量保修书</w:t>
      </w:r>
      <w:bookmarkEnd w:id="27"/>
      <w:bookmarkEnd w:id="28"/>
      <w:bookmarkEnd w:id="29"/>
      <w:bookmarkEnd w:id="30"/>
      <w:bookmarkEnd w:id="31"/>
    </w:p>
    <w:p w14:paraId="46339C8D">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发包人（全称）：</w:t>
      </w:r>
    </w:p>
    <w:p w14:paraId="4F988337">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承包人（全称）：</w:t>
      </w:r>
    </w:p>
    <w:p w14:paraId="27328A1C">
      <w:pPr>
        <w:adjustRightInd w:val="0"/>
        <w:spacing w:line="500" w:lineRule="exact"/>
        <w:ind w:firstLine="480" w:firstLineChars="200"/>
        <w:contextualSpacing/>
        <w:rPr>
          <w:rFonts w:ascii="宋体" w:hAnsi="宋体" w:cs="仿宋"/>
          <w:sz w:val="24"/>
        </w:rPr>
      </w:pPr>
      <w:r>
        <w:rPr>
          <w:rFonts w:hint="eastAsia" w:ascii="宋体" w:hAnsi="宋体" w:cs="仿宋"/>
          <w:sz w:val="24"/>
        </w:rPr>
        <w:t>发包人和承包人根据《中华人民共和国建筑法》和《建设工程质量管理条例》，经协商一致就（工程全称）签订工程质量保修书。</w:t>
      </w:r>
    </w:p>
    <w:p w14:paraId="4D1D9671">
      <w:pPr>
        <w:adjustRightInd w:val="0"/>
        <w:spacing w:line="500" w:lineRule="exact"/>
        <w:ind w:firstLine="480" w:firstLineChars="200"/>
        <w:contextualSpacing/>
        <w:rPr>
          <w:rFonts w:ascii="宋体" w:hAnsi="宋体" w:cs="仿宋"/>
          <w:sz w:val="24"/>
        </w:rPr>
      </w:pPr>
      <w:r>
        <w:rPr>
          <w:rFonts w:hint="eastAsia" w:ascii="宋体" w:hAnsi="宋体" w:cs="仿宋"/>
          <w:sz w:val="24"/>
        </w:rPr>
        <w:t>一、工程质量保修范围和内容</w:t>
      </w:r>
    </w:p>
    <w:p w14:paraId="2BFA74ED">
      <w:pPr>
        <w:adjustRightInd w:val="0"/>
        <w:spacing w:line="500" w:lineRule="exact"/>
        <w:ind w:firstLine="480" w:firstLineChars="200"/>
        <w:contextualSpacing/>
        <w:rPr>
          <w:rFonts w:ascii="宋体" w:hAnsi="宋体" w:cs="仿宋"/>
          <w:sz w:val="24"/>
        </w:rPr>
      </w:pPr>
      <w:r>
        <w:rPr>
          <w:rFonts w:hint="eastAsia" w:ascii="宋体" w:hAnsi="宋体" w:cs="仿宋"/>
          <w:sz w:val="24"/>
        </w:rPr>
        <w:t>承包人在质量保修期内，按照有关法律规定和合同约定，承担工程质量保修责任。</w:t>
      </w:r>
    </w:p>
    <w:p w14:paraId="5FE51BA5">
      <w:pPr>
        <w:adjustRightInd w:val="0"/>
        <w:spacing w:line="500" w:lineRule="exact"/>
        <w:ind w:firstLine="480" w:firstLineChars="200"/>
        <w:contextualSpacing/>
        <w:rPr>
          <w:rFonts w:ascii="宋体" w:hAnsi="宋体" w:cs="仿宋"/>
          <w:sz w:val="24"/>
        </w:rPr>
      </w:pPr>
      <w:r>
        <w:rPr>
          <w:rFonts w:hint="eastAsia" w:ascii="宋体" w:hAnsi="宋体" w:cs="仿宋"/>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E095BE0">
      <w:pPr>
        <w:adjustRightInd w:val="0"/>
        <w:spacing w:line="500" w:lineRule="exact"/>
        <w:ind w:firstLine="480" w:firstLineChars="200"/>
        <w:contextualSpacing/>
        <w:rPr>
          <w:rFonts w:ascii="宋体" w:hAnsi="宋体" w:cs="仿宋"/>
          <w:sz w:val="24"/>
        </w:rPr>
      </w:pPr>
      <w:r>
        <w:rPr>
          <w:rFonts w:hint="eastAsia" w:ascii="宋体" w:hAnsi="宋体" w:cs="仿宋"/>
          <w:sz w:val="24"/>
          <w:u w:val="single"/>
        </w:rPr>
        <w:t>保修承包施工范围内所有完工工程</w:t>
      </w:r>
      <w:r>
        <w:rPr>
          <w:rFonts w:hint="eastAsia" w:ascii="宋体" w:hAnsi="宋体" w:cs="仿宋"/>
          <w:sz w:val="24"/>
        </w:rPr>
        <w:t>。</w:t>
      </w:r>
    </w:p>
    <w:p w14:paraId="5216463B">
      <w:pPr>
        <w:adjustRightInd w:val="0"/>
        <w:spacing w:line="500" w:lineRule="exact"/>
        <w:ind w:firstLine="480" w:firstLineChars="200"/>
        <w:contextualSpacing/>
        <w:rPr>
          <w:rFonts w:ascii="宋体" w:hAnsi="宋体" w:cs="仿宋"/>
          <w:sz w:val="24"/>
        </w:rPr>
      </w:pPr>
      <w:r>
        <w:rPr>
          <w:rFonts w:hint="eastAsia" w:ascii="宋体" w:hAnsi="宋体" w:cs="仿宋"/>
          <w:sz w:val="24"/>
        </w:rPr>
        <w:t>二、质量保修期</w:t>
      </w:r>
    </w:p>
    <w:p w14:paraId="6361AD7F">
      <w:pPr>
        <w:adjustRightInd w:val="0"/>
        <w:spacing w:line="500" w:lineRule="exact"/>
        <w:ind w:firstLine="480" w:firstLineChars="200"/>
        <w:contextualSpacing/>
        <w:rPr>
          <w:rFonts w:ascii="宋体" w:hAnsi="宋体" w:cs="仿宋"/>
          <w:sz w:val="24"/>
        </w:rPr>
      </w:pPr>
      <w:r>
        <w:rPr>
          <w:rFonts w:hint="eastAsia" w:ascii="宋体" w:hAnsi="宋体" w:cs="仿宋"/>
          <w:sz w:val="24"/>
        </w:rPr>
        <w:t>根据《建设工程质量管理条例》及有关规定，工程的质量保修期如下：</w:t>
      </w:r>
    </w:p>
    <w:p w14:paraId="47169D76">
      <w:pPr>
        <w:adjustRightInd w:val="0"/>
        <w:spacing w:line="500" w:lineRule="exact"/>
        <w:ind w:firstLine="480" w:firstLineChars="200"/>
        <w:contextualSpacing/>
        <w:rPr>
          <w:rFonts w:ascii="宋体" w:hAnsi="宋体" w:cs="仿宋"/>
          <w:sz w:val="24"/>
        </w:rPr>
      </w:pPr>
      <w:r>
        <w:rPr>
          <w:rFonts w:hint="eastAsia" w:ascii="宋体" w:hAnsi="宋体" w:cs="仿宋"/>
          <w:sz w:val="24"/>
        </w:rPr>
        <w:t>（一）地基基础工程和主体结构工程为设计文件规定的工程合理使用年限。</w:t>
      </w:r>
    </w:p>
    <w:p w14:paraId="541209F6">
      <w:pPr>
        <w:adjustRightInd w:val="0"/>
        <w:spacing w:line="500" w:lineRule="exact"/>
        <w:ind w:firstLine="480" w:firstLineChars="200"/>
        <w:contextualSpacing/>
        <w:rPr>
          <w:rFonts w:ascii="宋体" w:hAnsi="宋体" w:cs="仿宋"/>
          <w:sz w:val="24"/>
        </w:rPr>
      </w:pPr>
      <w:r>
        <w:rPr>
          <w:rFonts w:hint="eastAsia" w:ascii="宋体" w:hAnsi="宋体" w:cs="仿宋"/>
          <w:sz w:val="24"/>
        </w:rPr>
        <w:t>（二）屋面防水工程、有防水要求的卫生间、房间和外墙面的防渗为</w:t>
      </w:r>
      <w:r>
        <w:rPr>
          <w:rFonts w:hint="eastAsia" w:ascii="宋体" w:hAnsi="宋体" w:cs="仿宋"/>
          <w:sz w:val="24"/>
          <w:u w:val="single"/>
        </w:rPr>
        <w:t>5</w:t>
      </w:r>
      <w:r>
        <w:rPr>
          <w:rFonts w:hint="eastAsia" w:ascii="宋体" w:hAnsi="宋体" w:cs="仿宋"/>
          <w:sz w:val="24"/>
        </w:rPr>
        <w:t>年。</w:t>
      </w:r>
    </w:p>
    <w:p w14:paraId="16BAB3A7">
      <w:pPr>
        <w:adjustRightInd w:val="0"/>
        <w:spacing w:line="500" w:lineRule="exact"/>
        <w:ind w:firstLine="480" w:firstLineChars="200"/>
        <w:contextualSpacing/>
        <w:rPr>
          <w:rFonts w:ascii="宋体" w:hAnsi="宋体" w:cs="仿宋"/>
          <w:sz w:val="24"/>
        </w:rPr>
      </w:pPr>
      <w:r>
        <w:rPr>
          <w:rFonts w:hint="eastAsia" w:ascii="宋体" w:hAnsi="宋体" w:cs="仿宋"/>
          <w:sz w:val="24"/>
        </w:rPr>
        <w:t>（三）装修工程为</w:t>
      </w:r>
      <w:r>
        <w:rPr>
          <w:rFonts w:hint="eastAsia" w:ascii="宋体" w:hAnsi="宋体" w:cs="仿宋"/>
          <w:sz w:val="24"/>
          <w:u w:val="single"/>
        </w:rPr>
        <w:t>2</w:t>
      </w:r>
      <w:r>
        <w:rPr>
          <w:rFonts w:hint="eastAsia" w:ascii="宋体" w:hAnsi="宋体" w:cs="仿宋"/>
          <w:sz w:val="24"/>
        </w:rPr>
        <w:t>年。</w:t>
      </w:r>
    </w:p>
    <w:p w14:paraId="00F4AB78">
      <w:pPr>
        <w:adjustRightInd w:val="0"/>
        <w:spacing w:line="500" w:lineRule="exact"/>
        <w:ind w:firstLine="480" w:firstLineChars="200"/>
        <w:contextualSpacing/>
        <w:rPr>
          <w:rFonts w:ascii="宋体" w:hAnsi="宋体" w:cs="仿宋"/>
          <w:sz w:val="24"/>
        </w:rPr>
      </w:pPr>
      <w:r>
        <w:rPr>
          <w:rFonts w:hint="eastAsia" w:ascii="宋体" w:hAnsi="宋体" w:cs="仿宋"/>
          <w:sz w:val="24"/>
        </w:rPr>
        <w:t>（四）电气管线、给排水管道、设备安装工程为</w:t>
      </w:r>
      <w:r>
        <w:rPr>
          <w:rFonts w:hint="eastAsia" w:ascii="宋体" w:hAnsi="宋体" w:cs="仿宋"/>
          <w:sz w:val="24"/>
          <w:u w:val="single"/>
        </w:rPr>
        <w:t>2</w:t>
      </w:r>
      <w:r>
        <w:rPr>
          <w:rFonts w:hint="eastAsia" w:ascii="宋体" w:hAnsi="宋体" w:cs="仿宋"/>
          <w:sz w:val="24"/>
        </w:rPr>
        <w:t>年。</w:t>
      </w:r>
    </w:p>
    <w:p w14:paraId="1DD3AFA8">
      <w:pPr>
        <w:adjustRightInd w:val="0"/>
        <w:spacing w:line="500" w:lineRule="exact"/>
        <w:ind w:firstLine="480" w:firstLineChars="200"/>
        <w:contextualSpacing/>
        <w:rPr>
          <w:rFonts w:ascii="宋体" w:hAnsi="宋体" w:cs="仿宋"/>
          <w:sz w:val="24"/>
        </w:rPr>
      </w:pPr>
      <w:r>
        <w:rPr>
          <w:rFonts w:hint="eastAsia" w:ascii="宋体" w:hAnsi="宋体" w:cs="仿宋"/>
          <w:sz w:val="24"/>
        </w:rPr>
        <w:t>（五）供热与供冷系统为</w:t>
      </w:r>
      <w:r>
        <w:rPr>
          <w:rFonts w:hint="eastAsia" w:ascii="宋体" w:hAnsi="宋体" w:cs="仿宋"/>
          <w:sz w:val="24"/>
          <w:u w:val="single"/>
        </w:rPr>
        <w:t>2</w:t>
      </w:r>
      <w:r>
        <w:rPr>
          <w:rFonts w:hint="eastAsia" w:ascii="宋体" w:hAnsi="宋体" w:cs="仿宋"/>
          <w:sz w:val="24"/>
        </w:rPr>
        <w:t>个采暖期、供冷期。</w:t>
      </w:r>
    </w:p>
    <w:p w14:paraId="689F1554">
      <w:pPr>
        <w:adjustRightInd w:val="0"/>
        <w:spacing w:line="500" w:lineRule="exact"/>
        <w:ind w:firstLine="480" w:firstLineChars="200"/>
        <w:contextualSpacing/>
        <w:rPr>
          <w:rFonts w:ascii="宋体" w:hAnsi="宋体" w:cs="仿宋"/>
          <w:sz w:val="24"/>
        </w:rPr>
      </w:pPr>
      <w:r>
        <w:rPr>
          <w:rFonts w:hint="eastAsia" w:ascii="宋体" w:hAnsi="宋体" w:cs="仿宋"/>
          <w:sz w:val="24"/>
        </w:rPr>
        <w:t>（六）住宅小区内的给排水设施、道路等配套工程为</w:t>
      </w:r>
      <w:r>
        <w:rPr>
          <w:rFonts w:hint="eastAsia" w:ascii="宋体" w:hAnsi="宋体" w:cs="仿宋"/>
          <w:sz w:val="24"/>
          <w:u w:val="single"/>
        </w:rPr>
        <w:t>2</w:t>
      </w:r>
      <w:r>
        <w:rPr>
          <w:rFonts w:hint="eastAsia" w:ascii="宋体" w:hAnsi="宋体" w:cs="仿宋"/>
          <w:sz w:val="24"/>
        </w:rPr>
        <w:t>年。</w:t>
      </w:r>
    </w:p>
    <w:p w14:paraId="5604A60F">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（七）其他项目保修期限约定如下：</w:t>
      </w:r>
      <w:r>
        <w:rPr>
          <w:rFonts w:hint="eastAsia" w:ascii="宋体" w:hAnsi="宋体" w:cs="仿宋"/>
          <w:sz w:val="24"/>
          <w:u w:val="single"/>
        </w:rPr>
        <w:t xml:space="preserve">      /                        。</w:t>
      </w:r>
    </w:p>
    <w:p w14:paraId="3C518767">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质量保修期自工程竣工验收合格之日起计算。</w:t>
      </w:r>
    </w:p>
    <w:p w14:paraId="5549F218">
      <w:pPr>
        <w:adjustRightInd w:val="0"/>
        <w:spacing w:line="500" w:lineRule="exact"/>
        <w:ind w:firstLine="480" w:firstLineChars="200"/>
        <w:contextualSpacing/>
        <w:rPr>
          <w:rFonts w:ascii="宋体" w:hAnsi="宋体" w:cs="仿宋"/>
          <w:sz w:val="24"/>
        </w:rPr>
      </w:pPr>
      <w:r>
        <w:rPr>
          <w:rFonts w:hint="eastAsia" w:ascii="宋体" w:hAnsi="宋体" w:cs="仿宋"/>
          <w:sz w:val="24"/>
        </w:rPr>
        <w:t>三、缺陷责任期</w:t>
      </w:r>
    </w:p>
    <w:p w14:paraId="6146E663">
      <w:pPr>
        <w:adjustRightInd w:val="0"/>
        <w:spacing w:line="500" w:lineRule="exact"/>
        <w:ind w:firstLine="480" w:firstLineChars="200"/>
        <w:contextualSpacing/>
        <w:rPr>
          <w:rFonts w:ascii="宋体" w:hAnsi="宋体" w:cs="仿宋"/>
          <w:sz w:val="24"/>
        </w:rPr>
      </w:pPr>
      <w:r>
        <w:rPr>
          <w:rFonts w:hint="eastAsia" w:ascii="宋体" w:hAnsi="宋体" w:cs="仿宋"/>
          <w:sz w:val="24"/>
        </w:rPr>
        <w:t>工程缺陷责任期为</w:t>
      </w:r>
      <w:r>
        <w:rPr>
          <w:rFonts w:hint="eastAsia" w:ascii="宋体" w:hAnsi="宋体" w:cs="仿宋"/>
          <w:sz w:val="24"/>
          <w:u w:val="single"/>
        </w:rPr>
        <w:t>24</w:t>
      </w:r>
      <w:r>
        <w:rPr>
          <w:rFonts w:hint="eastAsia" w:ascii="宋体" w:hAnsi="宋体" w:cs="仿宋"/>
          <w:sz w:val="24"/>
        </w:rPr>
        <w:t>个月，缺陷责任期自工程竣工验收合格之日起计算。单位工程先于全部工程进行验收，单位工程缺陷责任期自单位工程验收合格之日起算。</w:t>
      </w:r>
    </w:p>
    <w:p w14:paraId="5BDF5422">
      <w:pPr>
        <w:adjustRightInd w:val="0"/>
        <w:spacing w:line="500" w:lineRule="exact"/>
        <w:ind w:firstLine="480" w:firstLineChars="200"/>
        <w:contextualSpacing/>
        <w:rPr>
          <w:rFonts w:ascii="宋体" w:hAnsi="宋体" w:cs="仿宋"/>
          <w:sz w:val="24"/>
        </w:rPr>
      </w:pPr>
      <w:r>
        <w:rPr>
          <w:rFonts w:hint="eastAsia" w:ascii="宋体" w:hAnsi="宋体" w:cs="仿宋"/>
          <w:sz w:val="24"/>
        </w:rPr>
        <w:t>缺陷责任期终止后，发包人应退还剩余的质量保证金。</w:t>
      </w:r>
    </w:p>
    <w:p w14:paraId="06C4C71C">
      <w:pPr>
        <w:adjustRightInd w:val="0"/>
        <w:spacing w:line="500" w:lineRule="exact"/>
        <w:ind w:firstLine="480" w:firstLineChars="200"/>
        <w:contextualSpacing/>
        <w:rPr>
          <w:rFonts w:ascii="宋体" w:hAnsi="宋体" w:cs="仿宋"/>
          <w:sz w:val="24"/>
        </w:rPr>
      </w:pPr>
      <w:r>
        <w:rPr>
          <w:rFonts w:hint="eastAsia" w:ascii="宋体" w:hAnsi="宋体" w:cs="仿宋"/>
          <w:sz w:val="24"/>
        </w:rPr>
        <w:t>四、质量保修责任</w:t>
      </w:r>
    </w:p>
    <w:p w14:paraId="21100587">
      <w:pPr>
        <w:adjustRightInd w:val="0"/>
        <w:spacing w:line="500" w:lineRule="exact"/>
        <w:ind w:firstLine="480" w:firstLineChars="200"/>
        <w:contextualSpacing/>
        <w:rPr>
          <w:rFonts w:ascii="宋体" w:hAnsi="宋体" w:cs="仿宋"/>
          <w:sz w:val="24"/>
        </w:rPr>
      </w:pPr>
      <w:r>
        <w:rPr>
          <w:rFonts w:hint="eastAsia" w:ascii="宋体" w:hAnsi="宋体" w:cs="仿宋"/>
          <w:sz w:val="24"/>
        </w:rPr>
        <w:t>（一）属于保修范围、内容的项目，承包人应当在接到保修通知之日起7天内派人保修。承包人不在约定期限内派人保修的，发包人可以委托他人修理。</w:t>
      </w:r>
    </w:p>
    <w:p w14:paraId="184DCF6D">
      <w:pPr>
        <w:adjustRightInd w:val="0"/>
        <w:spacing w:line="500" w:lineRule="exact"/>
        <w:ind w:firstLine="480" w:firstLineChars="200"/>
        <w:contextualSpacing/>
        <w:rPr>
          <w:rFonts w:ascii="宋体" w:hAnsi="宋体" w:cs="仿宋"/>
          <w:sz w:val="24"/>
        </w:rPr>
      </w:pPr>
      <w:r>
        <w:rPr>
          <w:rFonts w:hint="eastAsia" w:ascii="宋体" w:hAnsi="宋体" w:cs="仿宋"/>
          <w:sz w:val="24"/>
        </w:rPr>
        <w:t>（二）发生紧急事故需抢修的，承包人在接到事故通知后，应当立即到达事故现场抢修。</w:t>
      </w:r>
    </w:p>
    <w:p w14:paraId="2793FE7D">
      <w:pPr>
        <w:adjustRightInd w:val="0"/>
        <w:spacing w:line="500" w:lineRule="exact"/>
        <w:ind w:firstLine="480" w:firstLineChars="200"/>
        <w:contextualSpacing/>
        <w:rPr>
          <w:rFonts w:ascii="宋体" w:hAnsi="宋体" w:cs="仿宋"/>
          <w:sz w:val="24"/>
        </w:rPr>
      </w:pPr>
      <w:r>
        <w:rPr>
          <w:rFonts w:hint="eastAsia" w:ascii="宋体" w:hAnsi="宋体" w:cs="仿宋"/>
          <w:sz w:val="24"/>
        </w:rPr>
        <w:t>（三）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6D757D6">
      <w:pPr>
        <w:adjustRightInd w:val="0"/>
        <w:spacing w:line="500" w:lineRule="exact"/>
        <w:ind w:firstLine="480" w:firstLineChars="200"/>
        <w:contextualSpacing/>
        <w:rPr>
          <w:rFonts w:ascii="宋体" w:hAnsi="宋体" w:cs="仿宋"/>
          <w:sz w:val="24"/>
        </w:rPr>
      </w:pPr>
      <w:r>
        <w:rPr>
          <w:rFonts w:hint="eastAsia" w:ascii="宋体" w:hAnsi="宋体" w:cs="仿宋"/>
          <w:sz w:val="24"/>
        </w:rPr>
        <w:t>（四）质量保修完成后，由发包人组织验收。</w:t>
      </w:r>
    </w:p>
    <w:p w14:paraId="17C25B0B">
      <w:pPr>
        <w:adjustRightInd w:val="0"/>
        <w:spacing w:line="500" w:lineRule="exact"/>
        <w:ind w:firstLine="480" w:firstLineChars="200"/>
        <w:contextualSpacing/>
        <w:rPr>
          <w:rFonts w:ascii="宋体" w:hAnsi="宋体" w:cs="仿宋"/>
          <w:sz w:val="24"/>
        </w:rPr>
      </w:pPr>
      <w:r>
        <w:rPr>
          <w:rFonts w:hint="eastAsia" w:ascii="宋体" w:hAnsi="宋体" w:cs="仿宋"/>
          <w:sz w:val="24"/>
        </w:rPr>
        <w:t>五、保修费用</w:t>
      </w:r>
    </w:p>
    <w:p w14:paraId="48045649">
      <w:pPr>
        <w:adjustRightInd w:val="0"/>
        <w:spacing w:line="500" w:lineRule="exact"/>
        <w:ind w:firstLine="480" w:firstLineChars="200"/>
        <w:contextualSpacing/>
        <w:rPr>
          <w:rFonts w:ascii="宋体" w:hAnsi="宋体" w:cs="仿宋"/>
          <w:sz w:val="24"/>
        </w:rPr>
      </w:pPr>
      <w:r>
        <w:rPr>
          <w:rFonts w:hint="eastAsia" w:ascii="宋体" w:hAnsi="宋体" w:cs="仿宋"/>
          <w:sz w:val="24"/>
        </w:rPr>
        <w:t>保修费用由造成质量缺陷的责任方承担。</w:t>
      </w:r>
    </w:p>
    <w:p w14:paraId="49BB84FD">
      <w:pPr>
        <w:adjustRightInd w:val="0"/>
        <w:spacing w:line="500" w:lineRule="exact"/>
        <w:ind w:firstLine="480" w:firstLineChars="200"/>
        <w:contextualSpacing/>
        <w:jc w:val="left"/>
        <w:rPr>
          <w:rFonts w:ascii="宋体" w:hAnsi="宋体" w:cs="仿宋"/>
          <w:sz w:val="24"/>
          <w:u w:val="single"/>
        </w:rPr>
      </w:pPr>
      <w:r>
        <w:rPr>
          <w:rFonts w:hint="eastAsia" w:ascii="宋体" w:hAnsi="宋体" w:cs="仿宋"/>
          <w:sz w:val="24"/>
        </w:rPr>
        <w:t>六、双方约定的其他工程质量保修事项：</w:t>
      </w:r>
      <w:r>
        <w:rPr>
          <w:rFonts w:hint="eastAsia" w:ascii="宋体" w:hAnsi="宋体" w:cs="仿宋"/>
          <w:sz w:val="24"/>
          <w:u w:val="single"/>
        </w:rPr>
        <w:t>工程质量保修金为工程结算价的3%，发包人在竣工验收后一年期满后15天内返回2%；竣工验收后两年期满后，无质量问题，15天内全部返还，但须扣除各项罚款（不计利息）。</w:t>
      </w:r>
    </w:p>
    <w:p w14:paraId="35F89DE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七、违约金</w:t>
      </w:r>
    </w:p>
    <w:p w14:paraId="1DD8752F">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（一）对承包人的下列行为,发包人有权要求承包人支付相应违约金（相应违约金从履约保证金中扣除）:</w:t>
      </w:r>
    </w:p>
    <w:p w14:paraId="72A2C57F">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1.未按规定向发包人提供保修负责人名单并明确其联系方式、分工与职责的。</w:t>
      </w:r>
    </w:p>
    <w:p w14:paraId="027403DA">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2.未按规定更换保修负责人并向发包人提交变更后的保修负责人名单的。</w:t>
      </w:r>
    </w:p>
    <w:p w14:paraId="301E4B46">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3.承包人保修人员接到报修通知后未按照规定及时到达维修现场的。</w:t>
      </w:r>
    </w:p>
    <w:p w14:paraId="48875B5C">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4.承包人保修人员未能按规定的时间完成维修工作的。</w:t>
      </w:r>
    </w:p>
    <w:p w14:paraId="6964A25E">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5.承包人以各种理由(无配件、无维修人员等)拖延、拒绝维修的。</w:t>
      </w:r>
    </w:p>
    <w:p w14:paraId="4949041E">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6.由于承包人原因造成重复维修或维修人员态度恶劣造成业主有理由投诉的。</w:t>
      </w:r>
    </w:p>
    <w:p w14:paraId="0EF0B831">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7.承包人保修人员维修完毕后未清理现场,发包人在现场发现烟头、垃圾等杂物的。</w:t>
      </w:r>
    </w:p>
    <w:p w14:paraId="7632A24E">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8.承包人保修人员不服从发包人统一管理及不遵守发包人制定的各项规章制度的。</w:t>
      </w:r>
    </w:p>
    <w:p w14:paraId="29FBB81D">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二）承包人或承包人保修人员有前款所列行为之一的,发包人可向承包人收取1000-2000元/次的违约金。承包人或承包人保修人员有前款1.3、1.4、1.5项所列行为之一的,发包人可以自行或者委托他人维修,并从承包人质量保修金中扣除相当于维修相关费用两倍的款项,不足部分,发包人有权继续向承包人追偿。</w:t>
      </w:r>
    </w:p>
    <w:p w14:paraId="2320E0C7">
      <w:pPr>
        <w:widowControl/>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三）前款规定的各项违约金可以单独或合并适用,发包人应在维修单上记录违约金扣款原因及数额并由承包人保修人员在维修单上签字,承包人保修人员对此有异议的,可以签署意见,但不得拒绝签字。承包人保修人员拒不签字的,不影响违约金扣款的实施。发包人根据维修单定期从保修款中扣除违约金金额。</w:t>
      </w:r>
    </w:p>
    <w:p w14:paraId="1D55E465">
      <w:pPr>
        <w:adjustRightInd w:val="0"/>
        <w:spacing w:line="500" w:lineRule="exact"/>
        <w:ind w:firstLine="456" w:firstLineChars="190"/>
        <w:contextualSpacing/>
        <w:rPr>
          <w:rFonts w:ascii="宋体" w:hAnsi="宋体" w:cs="仿宋"/>
          <w:sz w:val="24"/>
        </w:rPr>
      </w:pPr>
      <w:r>
        <w:rPr>
          <w:rFonts w:hint="eastAsia" w:ascii="宋体" w:hAnsi="宋体" w:cs="仿宋"/>
          <w:sz w:val="24"/>
        </w:rPr>
        <w:t>工程质量保修书由发包人、承包人在工程竣工验收前共同签署，作为施工合同附件，其有效期限至保修期满。</w:t>
      </w:r>
      <w:r>
        <w:rPr>
          <w:rFonts w:hint="eastAsia" w:ascii="宋体" w:hAnsi="宋体" w:cs="仿宋"/>
          <w:sz w:val="24"/>
        </w:rPr>
        <w:tab/>
      </w:r>
    </w:p>
    <w:p w14:paraId="33F5FDCB">
      <w:pPr>
        <w:adjustRightInd w:val="0"/>
        <w:spacing w:line="500" w:lineRule="exact"/>
        <w:ind w:firstLine="200"/>
        <w:contextualSpacing/>
        <w:rPr>
          <w:rFonts w:ascii="宋体" w:hAnsi="宋体" w:cs="仿宋"/>
          <w:sz w:val="24"/>
        </w:rPr>
      </w:pPr>
    </w:p>
    <w:p w14:paraId="224AE916">
      <w:pPr>
        <w:adjustRightInd w:val="0"/>
        <w:spacing w:line="500" w:lineRule="exact"/>
        <w:ind w:firstLine="200"/>
        <w:contextualSpacing/>
        <w:rPr>
          <w:rFonts w:ascii="宋体" w:hAnsi="宋体" w:cs="仿宋"/>
          <w:sz w:val="24"/>
        </w:rPr>
      </w:pPr>
    </w:p>
    <w:p w14:paraId="5D8F9DC4">
      <w:pPr>
        <w:adjustRightInd w:val="0"/>
        <w:spacing w:line="500" w:lineRule="exact"/>
        <w:ind w:firstLine="200"/>
        <w:contextualSpacing/>
        <w:rPr>
          <w:rFonts w:ascii="宋体" w:hAnsi="宋体" w:cs="仿宋"/>
          <w:sz w:val="24"/>
        </w:rPr>
      </w:pPr>
      <w:r>
        <w:rPr>
          <w:rFonts w:hint="eastAsia" w:ascii="宋体" w:hAnsi="宋体" w:cs="仿宋"/>
          <w:sz w:val="24"/>
        </w:rPr>
        <w:t>发包人：        (公章)                承包人：        (公章)</w:t>
      </w:r>
    </w:p>
    <w:p w14:paraId="144D9FAC">
      <w:pPr>
        <w:adjustRightInd w:val="0"/>
        <w:spacing w:line="500" w:lineRule="exact"/>
        <w:ind w:firstLine="200"/>
        <w:contextualSpacing/>
        <w:rPr>
          <w:rFonts w:ascii="宋体" w:hAnsi="宋体" w:cs="仿宋"/>
          <w:sz w:val="24"/>
        </w:rPr>
      </w:pPr>
      <w:r>
        <w:rPr>
          <w:rFonts w:hint="eastAsia" w:ascii="宋体" w:hAnsi="宋体" w:cs="仿宋"/>
          <w:sz w:val="24"/>
        </w:rPr>
        <w:t>浙商银行股份有限公司分行</w:t>
      </w:r>
    </w:p>
    <w:p w14:paraId="7A5469A5">
      <w:pPr>
        <w:adjustRightInd w:val="0"/>
        <w:spacing w:line="500" w:lineRule="exact"/>
        <w:ind w:firstLine="200"/>
        <w:contextualSpacing/>
        <w:rPr>
          <w:rFonts w:ascii="宋体" w:hAnsi="宋体" w:cs="仿宋"/>
          <w:sz w:val="24"/>
        </w:rPr>
      </w:pPr>
      <w:r>
        <w:rPr>
          <w:rFonts w:hint="eastAsia" w:ascii="宋体" w:hAnsi="宋体" w:cs="仿宋"/>
          <w:sz w:val="24"/>
        </w:rPr>
        <w:t xml:space="preserve">法定代表人（负责人） </w:t>
      </w:r>
      <w:r>
        <w:rPr>
          <w:rFonts w:ascii="宋体" w:hAnsi="宋体" w:cs="仿宋"/>
          <w:sz w:val="24"/>
        </w:rPr>
        <w:t xml:space="preserve">                 </w:t>
      </w:r>
      <w:r>
        <w:rPr>
          <w:rFonts w:hint="eastAsia" w:ascii="宋体" w:hAnsi="宋体" w:cs="仿宋"/>
          <w:sz w:val="24"/>
        </w:rPr>
        <w:t>法定代表人（负责人）</w:t>
      </w:r>
    </w:p>
    <w:p w14:paraId="2FDE3650">
      <w:pPr>
        <w:adjustRightInd w:val="0"/>
        <w:spacing w:line="500" w:lineRule="exact"/>
        <w:ind w:firstLine="200"/>
        <w:contextualSpacing/>
        <w:rPr>
          <w:rFonts w:ascii="宋体" w:hAnsi="宋体" w:cs="仿宋"/>
          <w:sz w:val="24"/>
        </w:rPr>
      </w:pPr>
      <w:r>
        <w:rPr>
          <w:rFonts w:hint="eastAsia" w:ascii="宋体" w:hAnsi="宋体" w:cs="仿宋"/>
          <w:sz w:val="24"/>
        </w:rPr>
        <w:t xml:space="preserve">或其授权代理人： </w:t>
      </w:r>
      <w:r>
        <w:rPr>
          <w:rFonts w:ascii="宋体" w:hAnsi="宋体" w:cs="仿宋"/>
          <w:sz w:val="24"/>
        </w:rPr>
        <w:t xml:space="preserve">                      </w:t>
      </w:r>
      <w:r>
        <w:rPr>
          <w:rFonts w:hint="eastAsia" w:ascii="宋体" w:hAnsi="宋体" w:cs="仿宋"/>
          <w:sz w:val="24"/>
        </w:rPr>
        <w:t>或其授权代理人：</w:t>
      </w:r>
    </w:p>
    <w:p w14:paraId="268BEECE">
      <w:pPr>
        <w:adjustRightInd w:val="0"/>
        <w:spacing w:line="500" w:lineRule="exact"/>
        <w:ind w:firstLine="720" w:firstLineChars="300"/>
        <w:contextualSpacing/>
        <w:rPr>
          <w:rFonts w:ascii="宋体" w:hAnsi="宋体" w:cs="仿宋"/>
          <w:sz w:val="24"/>
        </w:rPr>
      </w:pPr>
      <w:r>
        <w:rPr>
          <w:rFonts w:hint="eastAsia" w:ascii="宋体" w:hAnsi="宋体" w:cs="仿宋"/>
          <w:sz w:val="24"/>
        </w:rPr>
        <w:t xml:space="preserve">（签字） </w:t>
      </w:r>
      <w:r>
        <w:rPr>
          <w:rFonts w:ascii="宋体" w:hAnsi="宋体" w:cs="仿宋"/>
          <w:sz w:val="24"/>
        </w:rPr>
        <w:t xml:space="preserve">                                </w:t>
      </w:r>
      <w:r>
        <w:rPr>
          <w:rFonts w:hint="eastAsia" w:ascii="宋体" w:hAnsi="宋体" w:cs="仿宋"/>
          <w:sz w:val="24"/>
        </w:rPr>
        <w:t>（签字）</w:t>
      </w:r>
    </w:p>
    <w:p w14:paraId="0E9E6A3B">
      <w:pPr>
        <w:tabs>
          <w:tab w:val="left" w:pos="4410"/>
        </w:tabs>
        <w:adjustRightInd w:val="0"/>
        <w:spacing w:line="500" w:lineRule="exact"/>
        <w:ind w:firstLine="200"/>
        <w:contextualSpacing/>
        <w:rPr>
          <w:rFonts w:ascii="宋体" w:hAnsi="宋体" w:cs="仿宋"/>
          <w:sz w:val="24"/>
        </w:rPr>
      </w:pPr>
      <w:r>
        <w:rPr>
          <w:rFonts w:hint="eastAsia" w:ascii="宋体" w:hAnsi="宋体" w:cs="仿宋"/>
          <w:sz w:val="24"/>
        </w:rPr>
        <w:t xml:space="preserve">组织机构代码： </w:t>
      </w:r>
      <w:r>
        <w:rPr>
          <w:rFonts w:ascii="宋体" w:hAnsi="宋体" w:cs="仿宋"/>
          <w:sz w:val="24"/>
        </w:rPr>
        <w:t xml:space="preserve">                        </w:t>
      </w:r>
      <w:r>
        <w:rPr>
          <w:rFonts w:hint="eastAsia" w:ascii="宋体" w:hAnsi="宋体" w:cs="仿宋"/>
          <w:sz w:val="24"/>
        </w:rPr>
        <w:t>组织机构代码：</w:t>
      </w:r>
    </w:p>
    <w:p w14:paraId="6606C1BA">
      <w:pPr>
        <w:adjustRightInd w:val="0"/>
        <w:spacing w:line="500" w:lineRule="exact"/>
        <w:ind w:firstLine="200"/>
        <w:contextualSpacing/>
        <w:rPr>
          <w:rFonts w:ascii="宋体" w:hAnsi="宋体" w:cs="仿宋"/>
          <w:sz w:val="24"/>
        </w:rPr>
      </w:pPr>
      <w:r>
        <w:rPr>
          <w:rFonts w:hint="eastAsia" w:ascii="宋体" w:hAnsi="宋体" w:cs="仿宋"/>
          <w:sz w:val="24"/>
        </w:rPr>
        <w:t xml:space="preserve">地址： </w:t>
      </w:r>
      <w:r>
        <w:rPr>
          <w:rFonts w:ascii="宋体" w:hAnsi="宋体" w:cs="仿宋"/>
          <w:sz w:val="24"/>
        </w:rPr>
        <w:t xml:space="preserve">                                </w:t>
      </w:r>
      <w:r>
        <w:rPr>
          <w:rFonts w:hint="eastAsia" w:ascii="宋体" w:hAnsi="宋体" w:cs="仿宋"/>
          <w:sz w:val="24"/>
        </w:rPr>
        <w:t>地址：</w:t>
      </w:r>
    </w:p>
    <w:p w14:paraId="2A53675D">
      <w:pPr>
        <w:adjustRightInd w:val="0"/>
        <w:spacing w:line="500" w:lineRule="exact"/>
        <w:ind w:firstLine="200"/>
        <w:contextualSpacing/>
        <w:rPr>
          <w:rFonts w:ascii="宋体" w:hAnsi="宋体" w:cs="仿宋"/>
          <w:sz w:val="24"/>
        </w:rPr>
      </w:pPr>
      <w:r>
        <w:rPr>
          <w:rFonts w:hint="eastAsia" w:ascii="宋体" w:hAnsi="宋体" w:cs="仿宋"/>
          <w:sz w:val="24"/>
        </w:rPr>
        <w:t xml:space="preserve">邮政编码： </w:t>
      </w:r>
      <w:r>
        <w:rPr>
          <w:rFonts w:ascii="宋体" w:hAnsi="宋体" w:cs="仿宋"/>
          <w:sz w:val="24"/>
        </w:rPr>
        <w:t xml:space="preserve">                        </w:t>
      </w:r>
      <w:r>
        <w:rPr>
          <w:rFonts w:hint="eastAsia" w:ascii="宋体" w:hAnsi="宋体" w:cs="仿宋"/>
          <w:sz w:val="24"/>
        </w:rPr>
        <w:t>邮政编码：</w:t>
      </w:r>
    </w:p>
    <w:p w14:paraId="7E59C3DE">
      <w:pPr>
        <w:adjustRightInd w:val="0"/>
        <w:spacing w:line="500" w:lineRule="exact"/>
        <w:ind w:firstLine="200"/>
        <w:contextualSpacing/>
        <w:rPr>
          <w:rFonts w:ascii="宋体" w:hAnsi="宋体" w:cs="仿宋"/>
          <w:sz w:val="24"/>
        </w:rPr>
      </w:pPr>
      <w:r>
        <w:rPr>
          <w:rFonts w:hint="eastAsia" w:ascii="宋体" w:hAnsi="宋体" w:cs="仿宋"/>
          <w:sz w:val="24"/>
        </w:rPr>
        <w:t xml:space="preserve">电话： </w:t>
      </w:r>
      <w:r>
        <w:rPr>
          <w:rFonts w:ascii="宋体" w:hAnsi="宋体" w:cs="仿宋"/>
          <w:sz w:val="24"/>
        </w:rPr>
        <w:t xml:space="preserve">                            </w:t>
      </w:r>
      <w:r>
        <w:rPr>
          <w:rFonts w:hint="eastAsia" w:ascii="宋体" w:hAnsi="宋体" w:cs="仿宋"/>
          <w:sz w:val="24"/>
        </w:rPr>
        <w:t>电话：</w:t>
      </w:r>
    </w:p>
    <w:p w14:paraId="0839D466">
      <w:pPr>
        <w:adjustRightInd w:val="0"/>
        <w:spacing w:line="500" w:lineRule="exact"/>
        <w:ind w:firstLine="200"/>
        <w:contextualSpacing/>
        <w:rPr>
          <w:rFonts w:ascii="宋体" w:hAnsi="宋体" w:cs="仿宋"/>
          <w:sz w:val="24"/>
        </w:rPr>
      </w:pPr>
      <w:r>
        <w:rPr>
          <w:rFonts w:hint="eastAsia" w:ascii="宋体" w:hAnsi="宋体" w:cs="仿宋"/>
          <w:sz w:val="24"/>
        </w:rPr>
        <w:t xml:space="preserve">传真： </w:t>
      </w:r>
      <w:r>
        <w:rPr>
          <w:rFonts w:ascii="宋体" w:hAnsi="宋体" w:cs="仿宋"/>
          <w:sz w:val="24"/>
        </w:rPr>
        <w:t xml:space="preserve">                              </w:t>
      </w:r>
      <w:r>
        <w:rPr>
          <w:rFonts w:hint="eastAsia" w:ascii="宋体" w:hAnsi="宋体" w:cs="仿宋"/>
          <w:sz w:val="24"/>
        </w:rPr>
        <w:t>传真：</w:t>
      </w:r>
    </w:p>
    <w:p w14:paraId="33B6E798">
      <w:pPr>
        <w:adjustRightInd w:val="0"/>
        <w:spacing w:line="500" w:lineRule="exact"/>
        <w:ind w:firstLine="200"/>
        <w:contextualSpacing/>
        <w:rPr>
          <w:rFonts w:ascii="宋体" w:hAnsi="宋体" w:cs="仿宋"/>
          <w:sz w:val="24"/>
        </w:rPr>
      </w:pPr>
      <w:r>
        <w:rPr>
          <w:rFonts w:hint="eastAsia" w:ascii="宋体" w:hAnsi="宋体" w:cs="仿宋"/>
          <w:sz w:val="24"/>
        </w:rPr>
        <w:t xml:space="preserve">电子信箱： </w:t>
      </w:r>
      <w:r>
        <w:rPr>
          <w:rFonts w:ascii="宋体" w:hAnsi="宋体" w:cs="仿宋"/>
          <w:sz w:val="24"/>
        </w:rPr>
        <w:t xml:space="preserve">                            </w:t>
      </w:r>
      <w:r>
        <w:rPr>
          <w:rFonts w:ascii="宋体" w:hAnsi="宋体"/>
          <w:sz w:val="24"/>
        </w:rPr>
        <w:fldChar w:fldCharType="begin"/>
      </w:r>
      <w:r>
        <w:rPr>
          <w:rFonts w:ascii="宋体" w:hAnsi="宋体"/>
          <w:sz w:val="24"/>
        </w:rPr>
        <w:instrText xml:space="preserve"> HYPERLINK "mailto:meipeijian@czbank.com" </w:instrText>
      </w:r>
      <w:r>
        <w:rPr>
          <w:rFonts w:ascii="宋体" w:hAnsi="宋体"/>
          <w:sz w:val="24"/>
        </w:rPr>
        <w:fldChar w:fldCharType="separate"/>
      </w:r>
      <w:r>
        <w:rPr>
          <w:rFonts w:ascii="宋体" w:hAnsi="宋体"/>
          <w:sz w:val="24"/>
        </w:rPr>
        <w:fldChar w:fldCharType="end"/>
      </w:r>
      <w:r>
        <w:rPr>
          <w:rFonts w:hint="eastAsia" w:ascii="宋体" w:hAnsi="宋体" w:cs="仿宋"/>
          <w:sz w:val="24"/>
        </w:rPr>
        <w:t>电子信箱：</w:t>
      </w:r>
    </w:p>
    <w:p w14:paraId="261D8A5F">
      <w:pPr>
        <w:adjustRightInd w:val="0"/>
        <w:spacing w:line="500" w:lineRule="exact"/>
        <w:ind w:firstLine="200"/>
        <w:contextualSpacing/>
        <w:rPr>
          <w:rFonts w:ascii="宋体" w:hAnsi="宋体" w:cs="仿宋"/>
          <w:sz w:val="24"/>
        </w:rPr>
      </w:pPr>
      <w:r>
        <w:rPr>
          <w:rFonts w:hint="eastAsia" w:ascii="宋体" w:hAnsi="宋体" w:cs="仿宋"/>
          <w:sz w:val="24"/>
        </w:rPr>
        <w:t xml:space="preserve">开户银行：  </w:t>
      </w:r>
      <w:r>
        <w:rPr>
          <w:rFonts w:ascii="宋体" w:hAnsi="宋体" w:cs="仿宋"/>
          <w:sz w:val="24"/>
        </w:rPr>
        <w:t xml:space="preserve">                         </w:t>
      </w:r>
      <w:r>
        <w:rPr>
          <w:rFonts w:hint="eastAsia" w:ascii="宋体" w:hAnsi="宋体" w:cs="仿宋"/>
          <w:sz w:val="24"/>
        </w:rPr>
        <w:t>开户银行：</w:t>
      </w:r>
    </w:p>
    <w:p w14:paraId="3358B3CF">
      <w:pPr>
        <w:adjustRightInd w:val="0"/>
        <w:spacing w:line="500" w:lineRule="exact"/>
        <w:ind w:firstLine="200"/>
        <w:contextualSpacing/>
        <w:rPr>
          <w:rFonts w:ascii="宋体" w:hAnsi="宋体" w:cs="仿宋"/>
          <w:sz w:val="24"/>
        </w:rPr>
      </w:pPr>
      <w:r>
        <w:rPr>
          <w:rFonts w:hint="eastAsia" w:ascii="宋体" w:hAnsi="宋体" w:cs="仿宋"/>
          <w:sz w:val="24"/>
        </w:rPr>
        <w:t xml:space="preserve">账号： </w:t>
      </w:r>
      <w:r>
        <w:rPr>
          <w:rFonts w:ascii="宋体" w:hAnsi="宋体" w:cs="仿宋"/>
          <w:sz w:val="24"/>
        </w:rPr>
        <w:t xml:space="preserve">                              </w:t>
      </w:r>
      <w:r>
        <w:rPr>
          <w:rFonts w:hint="eastAsia" w:ascii="宋体" w:hAnsi="宋体" w:cs="仿宋"/>
          <w:sz w:val="24"/>
        </w:rPr>
        <w:t>账号：</w:t>
      </w:r>
    </w:p>
    <w:p w14:paraId="7866D7B3">
      <w:pPr>
        <w:adjustRightInd w:val="0"/>
        <w:snapToGrid w:val="0"/>
        <w:spacing w:line="360" w:lineRule="auto"/>
        <w:ind w:firstLine="456" w:firstLineChars="190"/>
        <w:rPr>
          <w:rFonts w:ascii="仿宋" w:hAnsi="仿宋" w:eastAsia="仿宋_GB2312" w:cs="仿宋"/>
          <w:sz w:val="24"/>
        </w:rPr>
      </w:pPr>
    </w:p>
    <w:p w14:paraId="010079A3">
      <w:pPr>
        <w:adjustRightInd w:val="0"/>
        <w:snapToGrid w:val="0"/>
        <w:spacing w:line="360" w:lineRule="auto"/>
        <w:outlineLvl w:val="1"/>
        <w:rPr>
          <w:rFonts w:ascii="黑体" w:hAnsi="黑体" w:eastAsia="黑体" w:cs="仿宋"/>
          <w:sz w:val="32"/>
          <w:szCs w:val="32"/>
        </w:rPr>
      </w:pPr>
      <w:r>
        <w:rPr>
          <w:rFonts w:hint="eastAsia" w:ascii="仿宋" w:hAnsi="仿宋" w:eastAsia="仿宋_GB2312" w:cs="仿宋"/>
          <w:sz w:val="24"/>
        </w:rPr>
        <w:br w:type="page"/>
      </w:r>
      <w:r>
        <w:rPr>
          <w:rFonts w:hint="eastAsia" w:ascii="黑体" w:hAnsi="黑体" w:eastAsia="黑体" w:cs="仿宋"/>
          <w:sz w:val="32"/>
          <w:szCs w:val="32"/>
        </w:rPr>
        <w:t>附件4：</w:t>
      </w:r>
    </w:p>
    <w:p w14:paraId="7C08FEAB">
      <w:pPr>
        <w:adjustRightInd w:val="0"/>
        <w:snapToGrid w:val="0"/>
        <w:spacing w:line="360" w:lineRule="auto"/>
        <w:jc w:val="center"/>
        <w:rPr>
          <w:rFonts w:ascii="黑体" w:hAnsi="黑体" w:eastAsia="黑体" w:cs="仿宋"/>
          <w:sz w:val="32"/>
          <w:szCs w:val="32"/>
        </w:rPr>
      </w:pPr>
      <w:bookmarkStart w:id="32" w:name="_Toc11590492"/>
      <w:r>
        <w:rPr>
          <w:rFonts w:hint="eastAsia" w:ascii="黑体" w:hAnsi="黑体" w:eastAsia="黑体" w:cs="仿宋"/>
          <w:sz w:val="32"/>
          <w:szCs w:val="32"/>
        </w:rPr>
        <w:t>主要建设工程文件目录</w:t>
      </w:r>
      <w:bookmarkEnd w:id="32"/>
    </w:p>
    <w:tbl>
      <w:tblPr>
        <w:tblStyle w:val="33"/>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89EDE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20A13B4">
            <w:pPr>
              <w:keepNext/>
              <w:adjustRightInd w:val="0"/>
              <w:snapToGrid w:val="0"/>
              <w:spacing w:line="360" w:lineRule="auto"/>
              <w:ind w:left="63" w:right="63"/>
              <w:jc w:val="center"/>
              <w:rPr>
                <w:rFonts w:ascii="宋体" w:hAnsi="宋体" w:cs="仿宋"/>
                <w:sz w:val="24"/>
              </w:rPr>
            </w:pPr>
            <w:r>
              <w:rPr>
                <w:rFonts w:hint="eastAsia" w:ascii="宋体" w:hAnsi="宋体" w:cs="仿宋"/>
                <w:sz w:val="24"/>
              </w:rPr>
              <w:t>文件名称</w:t>
            </w:r>
          </w:p>
        </w:tc>
        <w:tc>
          <w:tcPr>
            <w:tcW w:w="1276" w:type="dxa"/>
            <w:tcBorders>
              <w:top w:val="single" w:color="auto" w:sz="12" w:space="0"/>
              <w:bottom w:val="double" w:color="auto" w:sz="6" w:space="0"/>
            </w:tcBorders>
            <w:noWrap w:val="0"/>
            <w:vAlign w:val="center"/>
          </w:tcPr>
          <w:p w14:paraId="60581E3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套数</w:t>
            </w:r>
          </w:p>
        </w:tc>
        <w:tc>
          <w:tcPr>
            <w:tcW w:w="1450" w:type="dxa"/>
            <w:tcBorders>
              <w:top w:val="single" w:color="auto" w:sz="12" w:space="0"/>
              <w:bottom w:val="double" w:color="auto" w:sz="6" w:space="0"/>
            </w:tcBorders>
            <w:noWrap w:val="0"/>
            <w:vAlign w:val="center"/>
          </w:tcPr>
          <w:p w14:paraId="39A7BD98">
            <w:pPr>
              <w:keepNext/>
              <w:adjustRightInd w:val="0"/>
              <w:snapToGrid w:val="0"/>
              <w:spacing w:line="360" w:lineRule="auto"/>
              <w:ind w:left="63" w:right="63"/>
              <w:jc w:val="center"/>
              <w:rPr>
                <w:rFonts w:ascii="宋体" w:hAnsi="宋体" w:cs="仿宋"/>
                <w:sz w:val="24"/>
              </w:rPr>
            </w:pPr>
            <w:r>
              <w:rPr>
                <w:rFonts w:hint="eastAsia" w:ascii="宋体" w:hAnsi="宋体" w:cs="仿宋"/>
                <w:sz w:val="24"/>
              </w:rPr>
              <w:t>费用（元）</w:t>
            </w:r>
          </w:p>
        </w:tc>
        <w:tc>
          <w:tcPr>
            <w:tcW w:w="1243" w:type="dxa"/>
            <w:tcBorders>
              <w:top w:val="single" w:color="auto" w:sz="12" w:space="0"/>
              <w:bottom w:val="double" w:color="auto" w:sz="6" w:space="0"/>
            </w:tcBorders>
            <w:noWrap w:val="0"/>
            <w:vAlign w:val="center"/>
          </w:tcPr>
          <w:p w14:paraId="1AF2A0F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质量</w:t>
            </w:r>
          </w:p>
        </w:tc>
        <w:tc>
          <w:tcPr>
            <w:tcW w:w="1450" w:type="dxa"/>
            <w:tcBorders>
              <w:top w:val="single" w:color="auto" w:sz="12" w:space="0"/>
              <w:bottom w:val="double" w:color="auto" w:sz="6" w:space="0"/>
            </w:tcBorders>
            <w:noWrap w:val="0"/>
            <w:vAlign w:val="center"/>
          </w:tcPr>
          <w:p w14:paraId="36143FB2">
            <w:pPr>
              <w:adjustRightInd w:val="0"/>
              <w:snapToGrid w:val="0"/>
              <w:spacing w:line="360" w:lineRule="auto"/>
              <w:jc w:val="center"/>
              <w:rPr>
                <w:rFonts w:ascii="宋体" w:hAnsi="宋体" w:cs="仿宋"/>
                <w:sz w:val="24"/>
              </w:rPr>
            </w:pPr>
            <w:r>
              <w:rPr>
                <w:rFonts w:hint="eastAsia" w:ascii="宋体" w:hAnsi="宋体" w:cs="仿宋"/>
                <w:sz w:val="24"/>
              </w:rPr>
              <w:t>移交时间</w:t>
            </w:r>
          </w:p>
        </w:tc>
        <w:tc>
          <w:tcPr>
            <w:tcW w:w="1667" w:type="dxa"/>
            <w:tcBorders>
              <w:top w:val="single" w:color="auto" w:sz="12" w:space="0"/>
              <w:bottom w:val="double" w:color="auto" w:sz="6" w:space="0"/>
            </w:tcBorders>
            <w:noWrap w:val="0"/>
            <w:vAlign w:val="center"/>
          </w:tcPr>
          <w:p w14:paraId="3722A8D8">
            <w:pPr>
              <w:adjustRightInd w:val="0"/>
              <w:snapToGrid w:val="0"/>
              <w:spacing w:line="360" w:lineRule="auto"/>
              <w:jc w:val="center"/>
              <w:rPr>
                <w:rFonts w:ascii="宋体" w:hAnsi="宋体" w:cs="仿宋"/>
                <w:sz w:val="24"/>
              </w:rPr>
            </w:pPr>
            <w:r>
              <w:rPr>
                <w:rFonts w:hint="eastAsia" w:ascii="宋体" w:hAnsi="宋体" w:cs="仿宋"/>
                <w:sz w:val="24"/>
              </w:rPr>
              <w:t>责任人</w:t>
            </w:r>
          </w:p>
        </w:tc>
      </w:tr>
      <w:tr w14:paraId="6D82D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50C6F592">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76" w:type="dxa"/>
            <w:tcBorders>
              <w:top w:val="double" w:color="auto" w:sz="6" w:space="0"/>
              <w:bottom w:val="single" w:color="auto" w:sz="6" w:space="0"/>
            </w:tcBorders>
            <w:noWrap w:val="0"/>
            <w:vAlign w:val="center"/>
          </w:tcPr>
          <w:p w14:paraId="6E61A27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50" w:type="dxa"/>
            <w:tcBorders>
              <w:top w:val="double" w:color="auto" w:sz="6" w:space="0"/>
              <w:bottom w:val="single" w:color="auto" w:sz="6" w:space="0"/>
            </w:tcBorders>
            <w:noWrap w:val="0"/>
            <w:vAlign w:val="center"/>
          </w:tcPr>
          <w:p w14:paraId="362D23C0">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243" w:type="dxa"/>
            <w:tcBorders>
              <w:top w:val="double" w:color="auto" w:sz="6" w:space="0"/>
              <w:bottom w:val="single" w:color="auto" w:sz="6" w:space="0"/>
            </w:tcBorders>
            <w:noWrap w:val="0"/>
            <w:vAlign w:val="center"/>
          </w:tcPr>
          <w:p w14:paraId="31938616">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450" w:type="dxa"/>
            <w:tcBorders>
              <w:top w:val="double" w:color="auto" w:sz="6" w:space="0"/>
              <w:bottom w:val="single" w:color="auto" w:sz="6" w:space="0"/>
            </w:tcBorders>
            <w:noWrap w:val="0"/>
            <w:vAlign w:val="center"/>
          </w:tcPr>
          <w:p w14:paraId="6B49051D">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c>
          <w:tcPr>
            <w:tcW w:w="1667" w:type="dxa"/>
            <w:tcBorders>
              <w:top w:val="double" w:color="auto" w:sz="6" w:space="0"/>
              <w:bottom w:val="single" w:color="auto" w:sz="6" w:space="0"/>
            </w:tcBorders>
            <w:noWrap w:val="0"/>
            <w:vAlign w:val="center"/>
          </w:tcPr>
          <w:p w14:paraId="0CB54DD7">
            <w:pPr>
              <w:keepNext/>
              <w:adjustRightInd w:val="0"/>
              <w:snapToGrid w:val="0"/>
              <w:spacing w:line="360" w:lineRule="auto"/>
              <w:ind w:left="63" w:right="63"/>
              <w:jc w:val="center"/>
              <w:rPr>
                <w:rFonts w:ascii="宋体" w:hAnsi="宋体" w:cs="仿宋"/>
                <w:sz w:val="24"/>
              </w:rPr>
            </w:pPr>
            <w:r>
              <w:rPr>
                <w:rFonts w:hint="eastAsia" w:ascii="宋体" w:hAnsi="宋体" w:cs="仿宋"/>
                <w:sz w:val="24"/>
              </w:rPr>
              <w:t>/</w:t>
            </w:r>
          </w:p>
        </w:tc>
      </w:tr>
      <w:tr w14:paraId="232FBF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0FF6AA32">
            <w:pPr>
              <w:keepNext/>
              <w:adjustRightInd w:val="0"/>
              <w:snapToGrid w:val="0"/>
              <w:spacing w:line="360" w:lineRule="auto"/>
              <w:ind w:left="63" w:right="63"/>
              <w:jc w:val="center"/>
              <w:rPr>
                <w:rFonts w:ascii="宋体" w:hAnsi="宋体" w:cs="仿宋"/>
                <w:sz w:val="24"/>
              </w:rPr>
            </w:pPr>
          </w:p>
        </w:tc>
        <w:tc>
          <w:tcPr>
            <w:tcW w:w="1276" w:type="dxa"/>
            <w:tcBorders>
              <w:top w:val="nil"/>
            </w:tcBorders>
            <w:noWrap w:val="0"/>
            <w:vAlign w:val="center"/>
          </w:tcPr>
          <w:p w14:paraId="7717D673">
            <w:pPr>
              <w:keepNext/>
              <w:adjustRightInd w:val="0"/>
              <w:snapToGrid w:val="0"/>
              <w:spacing w:line="360" w:lineRule="auto"/>
              <w:ind w:left="63" w:right="63"/>
              <w:jc w:val="center"/>
              <w:rPr>
                <w:rFonts w:ascii="宋体" w:hAnsi="宋体" w:cs="仿宋"/>
                <w:sz w:val="24"/>
              </w:rPr>
            </w:pPr>
          </w:p>
        </w:tc>
        <w:tc>
          <w:tcPr>
            <w:tcW w:w="1450" w:type="dxa"/>
            <w:tcBorders>
              <w:top w:val="nil"/>
            </w:tcBorders>
            <w:noWrap w:val="0"/>
            <w:vAlign w:val="center"/>
          </w:tcPr>
          <w:p w14:paraId="018E8DFD">
            <w:pPr>
              <w:keepNext/>
              <w:adjustRightInd w:val="0"/>
              <w:snapToGrid w:val="0"/>
              <w:spacing w:line="360" w:lineRule="auto"/>
              <w:ind w:left="63" w:right="63"/>
              <w:jc w:val="center"/>
              <w:rPr>
                <w:rFonts w:ascii="宋体" w:hAnsi="宋体" w:cs="仿宋"/>
                <w:sz w:val="24"/>
              </w:rPr>
            </w:pPr>
          </w:p>
        </w:tc>
        <w:tc>
          <w:tcPr>
            <w:tcW w:w="1243" w:type="dxa"/>
            <w:tcBorders>
              <w:top w:val="nil"/>
            </w:tcBorders>
            <w:noWrap w:val="0"/>
            <w:vAlign w:val="center"/>
          </w:tcPr>
          <w:p w14:paraId="28AD92BE">
            <w:pPr>
              <w:keepNext/>
              <w:adjustRightInd w:val="0"/>
              <w:snapToGrid w:val="0"/>
              <w:spacing w:line="360" w:lineRule="auto"/>
              <w:ind w:left="63" w:right="63"/>
              <w:jc w:val="center"/>
              <w:rPr>
                <w:rFonts w:ascii="宋体" w:hAnsi="宋体" w:cs="仿宋"/>
                <w:sz w:val="24"/>
              </w:rPr>
            </w:pPr>
          </w:p>
        </w:tc>
        <w:tc>
          <w:tcPr>
            <w:tcW w:w="1450" w:type="dxa"/>
            <w:tcBorders>
              <w:top w:val="nil"/>
            </w:tcBorders>
            <w:noWrap w:val="0"/>
            <w:vAlign w:val="center"/>
          </w:tcPr>
          <w:p w14:paraId="6E3D7CD8">
            <w:pPr>
              <w:keepNext/>
              <w:adjustRightInd w:val="0"/>
              <w:snapToGrid w:val="0"/>
              <w:spacing w:line="360" w:lineRule="auto"/>
              <w:ind w:left="63" w:right="63"/>
              <w:jc w:val="center"/>
              <w:rPr>
                <w:rFonts w:ascii="宋体" w:hAnsi="宋体" w:cs="仿宋"/>
                <w:sz w:val="24"/>
              </w:rPr>
            </w:pPr>
          </w:p>
        </w:tc>
        <w:tc>
          <w:tcPr>
            <w:tcW w:w="1667" w:type="dxa"/>
            <w:tcBorders>
              <w:top w:val="nil"/>
            </w:tcBorders>
            <w:noWrap w:val="0"/>
            <w:vAlign w:val="center"/>
          </w:tcPr>
          <w:p w14:paraId="288B15C9">
            <w:pPr>
              <w:keepNext/>
              <w:adjustRightInd w:val="0"/>
              <w:snapToGrid w:val="0"/>
              <w:spacing w:line="360" w:lineRule="auto"/>
              <w:ind w:left="63" w:right="63"/>
              <w:jc w:val="center"/>
              <w:rPr>
                <w:rFonts w:ascii="宋体" w:hAnsi="宋体" w:cs="仿宋"/>
                <w:sz w:val="24"/>
              </w:rPr>
            </w:pPr>
          </w:p>
        </w:tc>
      </w:tr>
      <w:tr w14:paraId="07FBE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2C198D7">
            <w:pPr>
              <w:keepNext/>
              <w:adjustRightInd w:val="0"/>
              <w:snapToGrid w:val="0"/>
              <w:spacing w:line="360" w:lineRule="auto"/>
              <w:ind w:left="63" w:right="63"/>
              <w:jc w:val="center"/>
              <w:rPr>
                <w:rFonts w:ascii="宋体" w:hAnsi="宋体" w:cs="仿宋"/>
                <w:sz w:val="24"/>
              </w:rPr>
            </w:pPr>
          </w:p>
        </w:tc>
        <w:tc>
          <w:tcPr>
            <w:tcW w:w="1276" w:type="dxa"/>
            <w:noWrap w:val="0"/>
            <w:vAlign w:val="center"/>
          </w:tcPr>
          <w:p w14:paraId="5DF6F572">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3346B509">
            <w:pPr>
              <w:keepNext/>
              <w:adjustRightInd w:val="0"/>
              <w:snapToGrid w:val="0"/>
              <w:spacing w:line="360" w:lineRule="auto"/>
              <w:ind w:left="63" w:right="63"/>
              <w:jc w:val="center"/>
              <w:rPr>
                <w:rFonts w:ascii="宋体" w:hAnsi="宋体" w:cs="仿宋"/>
                <w:sz w:val="24"/>
              </w:rPr>
            </w:pPr>
          </w:p>
        </w:tc>
        <w:tc>
          <w:tcPr>
            <w:tcW w:w="1243" w:type="dxa"/>
            <w:noWrap w:val="0"/>
            <w:vAlign w:val="center"/>
          </w:tcPr>
          <w:p w14:paraId="349F075D">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55659FBC">
            <w:pPr>
              <w:keepNext/>
              <w:adjustRightInd w:val="0"/>
              <w:snapToGrid w:val="0"/>
              <w:spacing w:line="360" w:lineRule="auto"/>
              <w:ind w:left="63" w:right="63"/>
              <w:jc w:val="center"/>
              <w:rPr>
                <w:rFonts w:ascii="宋体" w:hAnsi="宋体" w:cs="仿宋"/>
                <w:sz w:val="24"/>
              </w:rPr>
            </w:pPr>
          </w:p>
        </w:tc>
        <w:tc>
          <w:tcPr>
            <w:tcW w:w="1667" w:type="dxa"/>
            <w:noWrap w:val="0"/>
            <w:vAlign w:val="center"/>
          </w:tcPr>
          <w:p w14:paraId="5B9CEED2">
            <w:pPr>
              <w:keepNext/>
              <w:adjustRightInd w:val="0"/>
              <w:snapToGrid w:val="0"/>
              <w:spacing w:line="360" w:lineRule="auto"/>
              <w:ind w:left="63" w:right="63"/>
              <w:jc w:val="center"/>
              <w:rPr>
                <w:rFonts w:ascii="宋体" w:hAnsi="宋体" w:cs="仿宋"/>
                <w:sz w:val="24"/>
              </w:rPr>
            </w:pPr>
          </w:p>
        </w:tc>
      </w:tr>
      <w:tr w14:paraId="11B1B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B668EE9">
            <w:pPr>
              <w:keepNext/>
              <w:adjustRightInd w:val="0"/>
              <w:snapToGrid w:val="0"/>
              <w:spacing w:line="360" w:lineRule="auto"/>
              <w:ind w:left="63" w:right="63"/>
              <w:jc w:val="center"/>
              <w:rPr>
                <w:rFonts w:ascii="宋体" w:hAnsi="宋体" w:cs="仿宋"/>
                <w:sz w:val="24"/>
              </w:rPr>
            </w:pPr>
          </w:p>
        </w:tc>
        <w:tc>
          <w:tcPr>
            <w:tcW w:w="1276" w:type="dxa"/>
            <w:noWrap w:val="0"/>
            <w:vAlign w:val="center"/>
          </w:tcPr>
          <w:p w14:paraId="6D36C410">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21F613D0">
            <w:pPr>
              <w:keepNext/>
              <w:adjustRightInd w:val="0"/>
              <w:snapToGrid w:val="0"/>
              <w:spacing w:line="360" w:lineRule="auto"/>
              <w:ind w:left="63" w:right="63"/>
              <w:jc w:val="center"/>
              <w:rPr>
                <w:rFonts w:ascii="宋体" w:hAnsi="宋体" w:cs="仿宋"/>
                <w:sz w:val="24"/>
              </w:rPr>
            </w:pPr>
          </w:p>
        </w:tc>
        <w:tc>
          <w:tcPr>
            <w:tcW w:w="1243" w:type="dxa"/>
            <w:noWrap w:val="0"/>
            <w:vAlign w:val="center"/>
          </w:tcPr>
          <w:p w14:paraId="69B43959">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12335170">
            <w:pPr>
              <w:keepNext/>
              <w:adjustRightInd w:val="0"/>
              <w:snapToGrid w:val="0"/>
              <w:spacing w:line="360" w:lineRule="auto"/>
              <w:ind w:left="63" w:right="63"/>
              <w:jc w:val="center"/>
              <w:rPr>
                <w:rFonts w:ascii="宋体" w:hAnsi="宋体" w:cs="仿宋"/>
                <w:sz w:val="24"/>
              </w:rPr>
            </w:pPr>
          </w:p>
        </w:tc>
        <w:tc>
          <w:tcPr>
            <w:tcW w:w="1667" w:type="dxa"/>
            <w:noWrap w:val="0"/>
            <w:vAlign w:val="center"/>
          </w:tcPr>
          <w:p w14:paraId="333CD9C9">
            <w:pPr>
              <w:keepNext/>
              <w:adjustRightInd w:val="0"/>
              <w:snapToGrid w:val="0"/>
              <w:spacing w:line="360" w:lineRule="auto"/>
              <w:ind w:left="63" w:right="63"/>
              <w:jc w:val="center"/>
              <w:rPr>
                <w:rFonts w:ascii="宋体" w:hAnsi="宋体" w:cs="仿宋"/>
                <w:sz w:val="24"/>
              </w:rPr>
            </w:pPr>
          </w:p>
        </w:tc>
      </w:tr>
      <w:tr w14:paraId="7BCB57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5B712C8">
            <w:pPr>
              <w:keepNext/>
              <w:adjustRightInd w:val="0"/>
              <w:snapToGrid w:val="0"/>
              <w:spacing w:line="360" w:lineRule="auto"/>
              <w:ind w:left="63" w:right="63"/>
              <w:jc w:val="center"/>
              <w:rPr>
                <w:rFonts w:ascii="宋体" w:hAnsi="宋体" w:cs="仿宋"/>
                <w:sz w:val="24"/>
              </w:rPr>
            </w:pPr>
          </w:p>
        </w:tc>
        <w:tc>
          <w:tcPr>
            <w:tcW w:w="1276" w:type="dxa"/>
            <w:noWrap w:val="0"/>
            <w:vAlign w:val="center"/>
          </w:tcPr>
          <w:p w14:paraId="70ED7C64">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24435A8D">
            <w:pPr>
              <w:keepNext/>
              <w:adjustRightInd w:val="0"/>
              <w:snapToGrid w:val="0"/>
              <w:spacing w:line="360" w:lineRule="auto"/>
              <w:ind w:left="63" w:right="63"/>
              <w:jc w:val="center"/>
              <w:rPr>
                <w:rFonts w:ascii="宋体" w:hAnsi="宋体" w:cs="仿宋"/>
                <w:sz w:val="24"/>
              </w:rPr>
            </w:pPr>
          </w:p>
        </w:tc>
        <w:tc>
          <w:tcPr>
            <w:tcW w:w="1243" w:type="dxa"/>
            <w:noWrap w:val="0"/>
            <w:vAlign w:val="center"/>
          </w:tcPr>
          <w:p w14:paraId="0DA8CC83">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46AF1802">
            <w:pPr>
              <w:keepNext/>
              <w:adjustRightInd w:val="0"/>
              <w:snapToGrid w:val="0"/>
              <w:spacing w:line="360" w:lineRule="auto"/>
              <w:ind w:left="63" w:right="63"/>
              <w:jc w:val="center"/>
              <w:rPr>
                <w:rFonts w:ascii="宋体" w:hAnsi="宋体" w:cs="仿宋"/>
                <w:sz w:val="24"/>
              </w:rPr>
            </w:pPr>
          </w:p>
        </w:tc>
        <w:tc>
          <w:tcPr>
            <w:tcW w:w="1667" w:type="dxa"/>
            <w:noWrap w:val="0"/>
            <w:vAlign w:val="center"/>
          </w:tcPr>
          <w:p w14:paraId="2C949CD8">
            <w:pPr>
              <w:keepNext/>
              <w:adjustRightInd w:val="0"/>
              <w:snapToGrid w:val="0"/>
              <w:spacing w:line="360" w:lineRule="auto"/>
              <w:ind w:left="63" w:right="63"/>
              <w:jc w:val="center"/>
              <w:rPr>
                <w:rFonts w:ascii="宋体" w:hAnsi="宋体" w:cs="仿宋"/>
                <w:sz w:val="24"/>
              </w:rPr>
            </w:pPr>
          </w:p>
        </w:tc>
      </w:tr>
      <w:tr w14:paraId="0405A7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0B1F0B0">
            <w:pPr>
              <w:keepNext/>
              <w:adjustRightInd w:val="0"/>
              <w:snapToGrid w:val="0"/>
              <w:spacing w:line="360" w:lineRule="auto"/>
              <w:ind w:left="63" w:right="63"/>
              <w:jc w:val="center"/>
              <w:rPr>
                <w:rFonts w:ascii="宋体" w:hAnsi="宋体" w:cs="仿宋"/>
                <w:sz w:val="24"/>
              </w:rPr>
            </w:pPr>
          </w:p>
        </w:tc>
        <w:tc>
          <w:tcPr>
            <w:tcW w:w="1276" w:type="dxa"/>
            <w:noWrap w:val="0"/>
            <w:vAlign w:val="center"/>
          </w:tcPr>
          <w:p w14:paraId="15A14952">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172C360F">
            <w:pPr>
              <w:keepNext/>
              <w:adjustRightInd w:val="0"/>
              <w:snapToGrid w:val="0"/>
              <w:spacing w:line="360" w:lineRule="auto"/>
              <w:ind w:left="63" w:right="63"/>
              <w:jc w:val="center"/>
              <w:rPr>
                <w:rFonts w:ascii="宋体" w:hAnsi="宋体" w:cs="仿宋"/>
                <w:sz w:val="24"/>
              </w:rPr>
            </w:pPr>
          </w:p>
        </w:tc>
        <w:tc>
          <w:tcPr>
            <w:tcW w:w="1243" w:type="dxa"/>
            <w:noWrap w:val="0"/>
            <w:vAlign w:val="center"/>
          </w:tcPr>
          <w:p w14:paraId="494B1E6B">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740FCBF8">
            <w:pPr>
              <w:keepNext/>
              <w:adjustRightInd w:val="0"/>
              <w:snapToGrid w:val="0"/>
              <w:spacing w:line="360" w:lineRule="auto"/>
              <w:ind w:left="63" w:right="63"/>
              <w:jc w:val="center"/>
              <w:rPr>
                <w:rFonts w:ascii="宋体" w:hAnsi="宋体" w:cs="仿宋"/>
                <w:sz w:val="24"/>
              </w:rPr>
            </w:pPr>
          </w:p>
        </w:tc>
        <w:tc>
          <w:tcPr>
            <w:tcW w:w="1667" w:type="dxa"/>
            <w:noWrap w:val="0"/>
            <w:vAlign w:val="center"/>
          </w:tcPr>
          <w:p w14:paraId="23CE030B">
            <w:pPr>
              <w:keepNext/>
              <w:adjustRightInd w:val="0"/>
              <w:snapToGrid w:val="0"/>
              <w:spacing w:line="360" w:lineRule="auto"/>
              <w:ind w:left="63" w:right="63"/>
              <w:jc w:val="center"/>
              <w:rPr>
                <w:rFonts w:ascii="宋体" w:hAnsi="宋体" w:cs="仿宋"/>
                <w:sz w:val="24"/>
              </w:rPr>
            </w:pPr>
          </w:p>
        </w:tc>
      </w:tr>
      <w:tr w14:paraId="0B0A44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3349BB9">
            <w:pPr>
              <w:keepNext/>
              <w:adjustRightInd w:val="0"/>
              <w:snapToGrid w:val="0"/>
              <w:spacing w:line="360" w:lineRule="auto"/>
              <w:ind w:left="63" w:right="63"/>
              <w:jc w:val="center"/>
              <w:rPr>
                <w:rFonts w:ascii="宋体" w:hAnsi="宋体" w:cs="仿宋"/>
                <w:sz w:val="24"/>
              </w:rPr>
            </w:pPr>
          </w:p>
        </w:tc>
        <w:tc>
          <w:tcPr>
            <w:tcW w:w="1276" w:type="dxa"/>
            <w:noWrap w:val="0"/>
            <w:vAlign w:val="center"/>
          </w:tcPr>
          <w:p w14:paraId="50896591">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066D7AE6">
            <w:pPr>
              <w:keepNext/>
              <w:adjustRightInd w:val="0"/>
              <w:snapToGrid w:val="0"/>
              <w:spacing w:line="360" w:lineRule="auto"/>
              <w:ind w:left="63" w:right="63"/>
              <w:jc w:val="center"/>
              <w:rPr>
                <w:rFonts w:ascii="宋体" w:hAnsi="宋体" w:cs="仿宋"/>
                <w:sz w:val="24"/>
              </w:rPr>
            </w:pPr>
          </w:p>
        </w:tc>
        <w:tc>
          <w:tcPr>
            <w:tcW w:w="1243" w:type="dxa"/>
            <w:noWrap w:val="0"/>
            <w:vAlign w:val="center"/>
          </w:tcPr>
          <w:p w14:paraId="118FA65E">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557254C3">
            <w:pPr>
              <w:keepNext/>
              <w:adjustRightInd w:val="0"/>
              <w:snapToGrid w:val="0"/>
              <w:spacing w:line="360" w:lineRule="auto"/>
              <w:ind w:left="63" w:right="63"/>
              <w:jc w:val="center"/>
              <w:rPr>
                <w:rFonts w:ascii="宋体" w:hAnsi="宋体" w:cs="仿宋"/>
                <w:sz w:val="24"/>
              </w:rPr>
            </w:pPr>
          </w:p>
        </w:tc>
        <w:tc>
          <w:tcPr>
            <w:tcW w:w="1667" w:type="dxa"/>
            <w:noWrap w:val="0"/>
            <w:vAlign w:val="center"/>
          </w:tcPr>
          <w:p w14:paraId="612128A7">
            <w:pPr>
              <w:keepNext/>
              <w:adjustRightInd w:val="0"/>
              <w:snapToGrid w:val="0"/>
              <w:spacing w:line="360" w:lineRule="auto"/>
              <w:ind w:left="63" w:right="63"/>
              <w:jc w:val="center"/>
              <w:rPr>
                <w:rFonts w:ascii="宋体" w:hAnsi="宋体" w:cs="仿宋"/>
                <w:sz w:val="24"/>
              </w:rPr>
            </w:pPr>
          </w:p>
        </w:tc>
      </w:tr>
      <w:tr w14:paraId="4A9F5F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73F1173">
            <w:pPr>
              <w:keepNext/>
              <w:adjustRightInd w:val="0"/>
              <w:snapToGrid w:val="0"/>
              <w:spacing w:line="360" w:lineRule="auto"/>
              <w:ind w:left="63" w:right="63"/>
              <w:jc w:val="center"/>
              <w:rPr>
                <w:rFonts w:ascii="宋体" w:hAnsi="宋体" w:cs="仿宋"/>
                <w:sz w:val="24"/>
              </w:rPr>
            </w:pPr>
          </w:p>
        </w:tc>
        <w:tc>
          <w:tcPr>
            <w:tcW w:w="1276" w:type="dxa"/>
            <w:noWrap w:val="0"/>
            <w:vAlign w:val="center"/>
          </w:tcPr>
          <w:p w14:paraId="360B585B">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68545D67">
            <w:pPr>
              <w:keepNext/>
              <w:adjustRightInd w:val="0"/>
              <w:snapToGrid w:val="0"/>
              <w:spacing w:line="360" w:lineRule="auto"/>
              <w:ind w:left="63" w:right="63"/>
              <w:jc w:val="center"/>
              <w:rPr>
                <w:rFonts w:ascii="宋体" w:hAnsi="宋体" w:cs="仿宋"/>
                <w:sz w:val="24"/>
              </w:rPr>
            </w:pPr>
          </w:p>
        </w:tc>
        <w:tc>
          <w:tcPr>
            <w:tcW w:w="1243" w:type="dxa"/>
            <w:noWrap w:val="0"/>
            <w:vAlign w:val="center"/>
          </w:tcPr>
          <w:p w14:paraId="05F74785">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4954A187">
            <w:pPr>
              <w:keepNext/>
              <w:adjustRightInd w:val="0"/>
              <w:snapToGrid w:val="0"/>
              <w:spacing w:line="360" w:lineRule="auto"/>
              <w:ind w:left="63" w:right="63"/>
              <w:jc w:val="center"/>
              <w:rPr>
                <w:rFonts w:ascii="宋体" w:hAnsi="宋体" w:cs="仿宋"/>
                <w:sz w:val="24"/>
              </w:rPr>
            </w:pPr>
          </w:p>
        </w:tc>
        <w:tc>
          <w:tcPr>
            <w:tcW w:w="1667" w:type="dxa"/>
            <w:noWrap w:val="0"/>
            <w:vAlign w:val="center"/>
          </w:tcPr>
          <w:p w14:paraId="206C8DB9">
            <w:pPr>
              <w:keepNext/>
              <w:adjustRightInd w:val="0"/>
              <w:snapToGrid w:val="0"/>
              <w:spacing w:line="360" w:lineRule="auto"/>
              <w:ind w:left="63" w:right="63"/>
              <w:jc w:val="center"/>
              <w:rPr>
                <w:rFonts w:ascii="宋体" w:hAnsi="宋体" w:cs="仿宋"/>
                <w:sz w:val="24"/>
              </w:rPr>
            </w:pPr>
          </w:p>
        </w:tc>
      </w:tr>
      <w:tr w14:paraId="6F6A67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886A232">
            <w:pPr>
              <w:adjustRightInd w:val="0"/>
              <w:snapToGrid w:val="0"/>
              <w:spacing w:line="360" w:lineRule="auto"/>
              <w:jc w:val="center"/>
              <w:rPr>
                <w:rFonts w:ascii="宋体" w:hAnsi="宋体" w:cs="仿宋"/>
                <w:sz w:val="24"/>
              </w:rPr>
            </w:pPr>
          </w:p>
        </w:tc>
        <w:tc>
          <w:tcPr>
            <w:tcW w:w="1276" w:type="dxa"/>
            <w:noWrap w:val="0"/>
            <w:vAlign w:val="center"/>
          </w:tcPr>
          <w:p w14:paraId="65F613F0">
            <w:pPr>
              <w:adjustRightInd w:val="0"/>
              <w:snapToGrid w:val="0"/>
              <w:spacing w:line="360" w:lineRule="auto"/>
              <w:jc w:val="center"/>
              <w:rPr>
                <w:rFonts w:ascii="宋体" w:hAnsi="宋体" w:cs="仿宋"/>
                <w:sz w:val="24"/>
              </w:rPr>
            </w:pPr>
          </w:p>
        </w:tc>
        <w:tc>
          <w:tcPr>
            <w:tcW w:w="1450" w:type="dxa"/>
            <w:noWrap w:val="0"/>
            <w:vAlign w:val="center"/>
          </w:tcPr>
          <w:p w14:paraId="3EDEC71D">
            <w:pPr>
              <w:adjustRightInd w:val="0"/>
              <w:snapToGrid w:val="0"/>
              <w:spacing w:line="360" w:lineRule="auto"/>
              <w:jc w:val="center"/>
              <w:rPr>
                <w:rFonts w:ascii="宋体" w:hAnsi="宋体" w:cs="仿宋"/>
                <w:sz w:val="24"/>
              </w:rPr>
            </w:pPr>
          </w:p>
        </w:tc>
        <w:tc>
          <w:tcPr>
            <w:tcW w:w="1243" w:type="dxa"/>
            <w:noWrap w:val="0"/>
            <w:vAlign w:val="center"/>
          </w:tcPr>
          <w:p w14:paraId="10D274E8">
            <w:pPr>
              <w:adjustRightInd w:val="0"/>
              <w:snapToGrid w:val="0"/>
              <w:spacing w:line="360" w:lineRule="auto"/>
              <w:jc w:val="center"/>
              <w:rPr>
                <w:rFonts w:ascii="宋体" w:hAnsi="宋体" w:cs="仿宋"/>
                <w:sz w:val="24"/>
              </w:rPr>
            </w:pPr>
          </w:p>
        </w:tc>
        <w:tc>
          <w:tcPr>
            <w:tcW w:w="1450" w:type="dxa"/>
            <w:noWrap w:val="0"/>
            <w:vAlign w:val="center"/>
          </w:tcPr>
          <w:p w14:paraId="22238D97">
            <w:pPr>
              <w:adjustRightInd w:val="0"/>
              <w:snapToGrid w:val="0"/>
              <w:spacing w:line="360" w:lineRule="auto"/>
              <w:jc w:val="center"/>
              <w:rPr>
                <w:rFonts w:ascii="宋体" w:hAnsi="宋体" w:cs="仿宋"/>
                <w:sz w:val="24"/>
              </w:rPr>
            </w:pPr>
          </w:p>
        </w:tc>
        <w:tc>
          <w:tcPr>
            <w:tcW w:w="1667" w:type="dxa"/>
            <w:noWrap w:val="0"/>
            <w:vAlign w:val="center"/>
          </w:tcPr>
          <w:p w14:paraId="34CF710D">
            <w:pPr>
              <w:adjustRightInd w:val="0"/>
              <w:snapToGrid w:val="0"/>
              <w:spacing w:line="360" w:lineRule="auto"/>
              <w:jc w:val="center"/>
              <w:rPr>
                <w:rFonts w:ascii="宋体" w:hAnsi="宋体" w:cs="仿宋"/>
                <w:sz w:val="24"/>
              </w:rPr>
            </w:pPr>
          </w:p>
        </w:tc>
      </w:tr>
      <w:tr w14:paraId="6FF462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DF12CBC">
            <w:pPr>
              <w:keepNext/>
              <w:adjustRightInd w:val="0"/>
              <w:snapToGrid w:val="0"/>
              <w:spacing w:line="360" w:lineRule="auto"/>
              <w:ind w:left="63" w:right="63"/>
              <w:jc w:val="center"/>
              <w:rPr>
                <w:rFonts w:ascii="宋体" w:hAnsi="宋体" w:cs="仿宋"/>
                <w:sz w:val="24"/>
              </w:rPr>
            </w:pPr>
          </w:p>
        </w:tc>
        <w:tc>
          <w:tcPr>
            <w:tcW w:w="1276" w:type="dxa"/>
            <w:noWrap w:val="0"/>
            <w:vAlign w:val="center"/>
          </w:tcPr>
          <w:p w14:paraId="4236B61E">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57C808A6">
            <w:pPr>
              <w:keepNext/>
              <w:adjustRightInd w:val="0"/>
              <w:snapToGrid w:val="0"/>
              <w:spacing w:line="360" w:lineRule="auto"/>
              <w:ind w:left="63" w:right="63"/>
              <w:jc w:val="center"/>
              <w:rPr>
                <w:rFonts w:ascii="宋体" w:hAnsi="宋体" w:cs="仿宋"/>
                <w:sz w:val="24"/>
              </w:rPr>
            </w:pPr>
          </w:p>
        </w:tc>
        <w:tc>
          <w:tcPr>
            <w:tcW w:w="1243" w:type="dxa"/>
            <w:noWrap w:val="0"/>
            <w:vAlign w:val="center"/>
          </w:tcPr>
          <w:p w14:paraId="4B3C966B">
            <w:pPr>
              <w:keepNext/>
              <w:adjustRightInd w:val="0"/>
              <w:snapToGrid w:val="0"/>
              <w:spacing w:line="360" w:lineRule="auto"/>
              <w:ind w:left="63" w:right="63"/>
              <w:jc w:val="center"/>
              <w:rPr>
                <w:rFonts w:ascii="宋体" w:hAnsi="宋体" w:cs="仿宋"/>
                <w:sz w:val="24"/>
              </w:rPr>
            </w:pPr>
          </w:p>
        </w:tc>
        <w:tc>
          <w:tcPr>
            <w:tcW w:w="1450" w:type="dxa"/>
            <w:noWrap w:val="0"/>
            <w:vAlign w:val="center"/>
          </w:tcPr>
          <w:p w14:paraId="475692C8">
            <w:pPr>
              <w:keepNext/>
              <w:adjustRightInd w:val="0"/>
              <w:snapToGrid w:val="0"/>
              <w:spacing w:line="360" w:lineRule="auto"/>
              <w:ind w:left="63" w:right="63"/>
              <w:jc w:val="center"/>
              <w:rPr>
                <w:rFonts w:ascii="宋体" w:hAnsi="宋体" w:cs="仿宋"/>
                <w:sz w:val="24"/>
              </w:rPr>
            </w:pPr>
          </w:p>
        </w:tc>
        <w:tc>
          <w:tcPr>
            <w:tcW w:w="1667" w:type="dxa"/>
            <w:noWrap w:val="0"/>
            <w:vAlign w:val="center"/>
          </w:tcPr>
          <w:p w14:paraId="7C5B31F6">
            <w:pPr>
              <w:keepNext/>
              <w:adjustRightInd w:val="0"/>
              <w:snapToGrid w:val="0"/>
              <w:spacing w:line="360" w:lineRule="auto"/>
              <w:ind w:left="63" w:right="63"/>
              <w:jc w:val="center"/>
              <w:rPr>
                <w:rFonts w:ascii="宋体" w:hAnsi="宋体" w:cs="仿宋"/>
                <w:sz w:val="24"/>
              </w:rPr>
            </w:pPr>
          </w:p>
        </w:tc>
      </w:tr>
      <w:tr w14:paraId="1C6567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02B1CDC">
            <w:pPr>
              <w:adjustRightInd w:val="0"/>
              <w:snapToGrid w:val="0"/>
              <w:spacing w:line="360" w:lineRule="auto"/>
              <w:jc w:val="center"/>
              <w:rPr>
                <w:rFonts w:ascii="宋体" w:hAnsi="宋体" w:cs="仿宋"/>
                <w:sz w:val="24"/>
              </w:rPr>
            </w:pPr>
          </w:p>
        </w:tc>
        <w:tc>
          <w:tcPr>
            <w:tcW w:w="1276" w:type="dxa"/>
            <w:noWrap w:val="0"/>
            <w:vAlign w:val="center"/>
          </w:tcPr>
          <w:p w14:paraId="6B192E33">
            <w:pPr>
              <w:adjustRightInd w:val="0"/>
              <w:snapToGrid w:val="0"/>
              <w:spacing w:line="360" w:lineRule="auto"/>
              <w:jc w:val="center"/>
              <w:rPr>
                <w:rFonts w:ascii="宋体" w:hAnsi="宋体" w:cs="仿宋"/>
                <w:sz w:val="24"/>
              </w:rPr>
            </w:pPr>
          </w:p>
        </w:tc>
        <w:tc>
          <w:tcPr>
            <w:tcW w:w="1450" w:type="dxa"/>
            <w:noWrap w:val="0"/>
            <w:vAlign w:val="center"/>
          </w:tcPr>
          <w:p w14:paraId="57CC3106">
            <w:pPr>
              <w:adjustRightInd w:val="0"/>
              <w:snapToGrid w:val="0"/>
              <w:spacing w:line="360" w:lineRule="auto"/>
              <w:jc w:val="center"/>
              <w:rPr>
                <w:rFonts w:ascii="宋体" w:hAnsi="宋体" w:cs="仿宋"/>
                <w:sz w:val="24"/>
              </w:rPr>
            </w:pPr>
          </w:p>
        </w:tc>
        <w:tc>
          <w:tcPr>
            <w:tcW w:w="1243" w:type="dxa"/>
            <w:noWrap w:val="0"/>
            <w:vAlign w:val="center"/>
          </w:tcPr>
          <w:p w14:paraId="50116960">
            <w:pPr>
              <w:adjustRightInd w:val="0"/>
              <w:snapToGrid w:val="0"/>
              <w:spacing w:line="360" w:lineRule="auto"/>
              <w:jc w:val="center"/>
              <w:rPr>
                <w:rFonts w:ascii="宋体" w:hAnsi="宋体" w:cs="仿宋"/>
                <w:sz w:val="24"/>
              </w:rPr>
            </w:pPr>
          </w:p>
        </w:tc>
        <w:tc>
          <w:tcPr>
            <w:tcW w:w="1450" w:type="dxa"/>
            <w:noWrap w:val="0"/>
            <w:vAlign w:val="center"/>
          </w:tcPr>
          <w:p w14:paraId="0D57660E">
            <w:pPr>
              <w:adjustRightInd w:val="0"/>
              <w:snapToGrid w:val="0"/>
              <w:spacing w:line="360" w:lineRule="auto"/>
              <w:jc w:val="center"/>
              <w:rPr>
                <w:rFonts w:ascii="宋体" w:hAnsi="宋体" w:cs="仿宋"/>
                <w:sz w:val="24"/>
              </w:rPr>
            </w:pPr>
          </w:p>
        </w:tc>
        <w:tc>
          <w:tcPr>
            <w:tcW w:w="1667" w:type="dxa"/>
            <w:noWrap w:val="0"/>
            <w:vAlign w:val="center"/>
          </w:tcPr>
          <w:p w14:paraId="349B05FD">
            <w:pPr>
              <w:adjustRightInd w:val="0"/>
              <w:snapToGrid w:val="0"/>
              <w:spacing w:line="360" w:lineRule="auto"/>
              <w:jc w:val="center"/>
              <w:rPr>
                <w:rFonts w:ascii="宋体" w:hAnsi="宋体" w:cs="仿宋"/>
                <w:sz w:val="24"/>
              </w:rPr>
            </w:pPr>
          </w:p>
        </w:tc>
      </w:tr>
      <w:tr w14:paraId="73A0F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A4814CE">
            <w:pPr>
              <w:adjustRightInd w:val="0"/>
              <w:snapToGrid w:val="0"/>
              <w:spacing w:line="360" w:lineRule="auto"/>
              <w:jc w:val="center"/>
              <w:rPr>
                <w:rFonts w:ascii="宋体" w:hAnsi="宋体" w:cs="仿宋"/>
                <w:sz w:val="24"/>
              </w:rPr>
            </w:pPr>
          </w:p>
        </w:tc>
        <w:tc>
          <w:tcPr>
            <w:tcW w:w="1276" w:type="dxa"/>
            <w:noWrap w:val="0"/>
            <w:vAlign w:val="center"/>
          </w:tcPr>
          <w:p w14:paraId="033E0A88">
            <w:pPr>
              <w:adjustRightInd w:val="0"/>
              <w:snapToGrid w:val="0"/>
              <w:spacing w:line="360" w:lineRule="auto"/>
              <w:jc w:val="center"/>
              <w:rPr>
                <w:rFonts w:ascii="宋体" w:hAnsi="宋体" w:cs="仿宋"/>
                <w:sz w:val="24"/>
              </w:rPr>
            </w:pPr>
          </w:p>
        </w:tc>
        <w:tc>
          <w:tcPr>
            <w:tcW w:w="1450" w:type="dxa"/>
            <w:noWrap w:val="0"/>
            <w:vAlign w:val="center"/>
          </w:tcPr>
          <w:p w14:paraId="4ED77EAB">
            <w:pPr>
              <w:adjustRightInd w:val="0"/>
              <w:snapToGrid w:val="0"/>
              <w:spacing w:line="360" w:lineRule="auto"/>
              <w:jc w:val="center"/>
              <w:rPr>
                <w:rFonts w:ascii="宋体" w:hAnsi="宋体" w:cs="仿宋"/>
                <w:sz w:val="24"/>
              </w:rPr>
            </w:pPr>
          </w:p>
        </w:tc>
        <w:tc>
          <w:tcPr>
            <w:tcW w:w="1243" w:type="dxa"/>
            <w:noWrap w:val="0"/>
            <w:vAlign w:val="center"/>
          </w:tcPr>
          <w:p w14:paraId="3D3F3DAB">
            <w:pPr>
              <w:adjustRightInd w:val="0"/>
              <w:snapToGrid w:val="0"/>
              <w:spacing w:line="360" w:lineRule="auto"/>
              <w:jc w:val="center"/>
              <w:rPr>
                <w:rFonts w:ascii="宋体" w:hAnsi="宋体" w:cs="仿宋"/>
                <w:sz w:val="24"/>
              </w:rPr>
            </w:pPr>
          </w:p>
        </w:tc>
        <w:tc>
          <w:tcPr>
            <w:tcW w:w="1450" w:type="dxa"/>
            <w:noWrap w:val="0"/>
            <w:vAlign w:val="center"/>
          </w:tcPr>
          <w:p w14:paraId="22E6C94D">
            <w:pPr>
              <w:adjustRightInd w:val="0"/>
              <w:snapToGrid w:val="0"/>
              <w:spacing w:line="360" w:lineRule="auto"/>
              <w:jc w:val="center"/>
              <w:rPr>
                <w:rFonts w:ascii="宋体" w:hAnsi="宋体" w:cs="仿宋"/>
                <w:sz w:val="24"/>
              </w:rPr>
            </w:pPr>
          </w:p>
        </w:tc>
        <w:tc>
          <w:tcPr>
            <w:tcW w:w="1667" w:type="dxa"/>
            <w:noWrap w:val="0"/>
            <w:vAlign w:val="center"/>
          </w:tcPr>
          <w:p w14:paraId="16B81BFB">
            <w:pPr>
              <w:adjustRightInd w:val="0"/>
              <w:snapToGrid w:val="0"/>
              <w:spacing w:line="360" w:lineRule="auto"/>
              <w:jc w:val="center"/>
              <w:rPr>
                <w:rFonts w:ascii="宋体" w:hAnsi="宋体" w:cs="仿宋"/>
                <w:sz w:val="24"/>
              </w:rPr>
            </w:pPr>
          </w:p>
        </w:tc>
      </w:tr>
      <w:tr w14:paraId="6F6E2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0224967">
            <w:pPr>
              <w:adjustRightInd w:val="0"/>
              <w:snapToGrid w:val="0"/>
              <w:spacing w:line="360" w:lineRule="auto"/>
              <w:jc w:val="center"/>
              <w:rPr>
                <w:rFonts w:ascii="宋体" w:hAnsi="宋体" w:cs="仿宋"/>
                <w:sz w:val="24"/>
              </w:rPr>
            </w:pPr>
          </w:p>
        </w:tc>
        <w:tc>
          <w:tcPr>
            <w:tcW w:w="1276" w:type="dxa"/>
            <w:noWrap w:val="0"/>
            <w:vAlign w:val="center"/>
          </w:tcPr>
          <w:p w14:paraId="49B854B6">
            <w:pPr>
              <w:adjustRightInd w:val="0"/>
              <w:snapToGrid w:val="0"/>
              <w:spacing w:line="360" w:lineRule="auto"/>
              <w:jc w:val="center"/>
              <w:rPr>
                <w:rFonts w:ascii="宋体" w:hAnsi="宋体" w:cs="仿宋"/>
                <w:sz w:val="24"/>
              </w:rPr>
            </w:pPr>
          </w:p>
        </w:tc>
        <w:tc>
          <w:tcPr>
            <w:tcW w:w="1450" w:type="dxa"/>
            <w:noWrap w:val="0"/>
            <w:vAlign w:val="center"/>
          </w:tcPr>
          <w:p w14:paraId="247125F4">
            <w:pPr>
              <w:adjustRightInd w:val="0"/>
              <w:snapToGrid w:val="0"/>
              <w:spacing w:line="360" w:lineRule="auto"/>
              <w:jc w:val="center"/>
              <w:rPr>
                <w:rFonts w:ascii="宋体" w:hAnsi="宋体" w:cs="仿宋"/>
                <w:sz w:val="24"/>
              </w:rPr>
            </w:pPr>
          </w:p>
        </w:tc>
        <w:tc>
          <w:tcPr>
            <w:tcW w:w="1243" w:type="dxa"/>
            <w:noWrap w:val="0"/>
            <w:vAlign w:val="center"/>
          </w:tcPr>
          <w:p w14:paraId="7341D90D">
            <w:pPr>
              <w:adjustRightInd w:val="0"/>
              <w:snapToGrid w:val="0"/>
              <w:spacing w:line="360" w:lineRule="auto"/>
              <w:jc w:val="center"/>
              <w:rPr>
                <w:rFonts w:ascii="宋体" w:hAnsi="宋体" w:cs="仿宋"/>
                <w:sz w:val="24"/>
              </w:rPr>
            </w:pPr>
          </w:p>
        </w:tc>
        <w:tc>
          <w:tcPr>
            <w:tcW w:w="1450" w:type="dxa"/>
            <w:noWrap w:val="0"/>
            <w:vAlign w:val="center"/>
          </w:tcPr>
          <w:p w14:paraId="01044089">
            <w:pPr>
              <w:adjustRightInd w:val="0"/>
              <w:snapToGrid w:val="0"/>
              <w:spacing w:line="360" w:lineRule="auto"/>
              <w:jc w:val="center"/>
              <w:rPr>
                <w:rFonts w:ascii="宋体" w:hAnsi="宋体" w:cs="仿宋"/>
                <w:sz w:val="24"/>
              </w:rPr>
            </w:pPr>
          </w:p>
        </w:tc>
        <w:tc>
          <w:tcPr>
            <w:tcW w:w="1667" w:type="dxa"/>
            <w:noWrap w:val="0"/>
            <w:vAlign w:val="center"/>
          </w:tcPr>
          <w:p w14:paraId="67698468">
            <w:pPr>
              <w:adjustRightInd w:val="0"/>
              <w:snapToGrid w:val="0"/>
              <w:spacing w:line="360" w:lineRule="auto"/>
              <w:jc w:val="center"/>
              <w:rPr>
                <w:rFonts w:ascii="宋体" w:hAnsi="宋体" w:cs="仿宋"/>
                <w:sz w:val="24"/>
              </w:rPr>
            </w:pPr>
          </w:p>
        </w:tc>
      </w:tr>
      <w:tr w14:paraId="3AA45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273FCBC">
            <w:pPr>
              <w:adjustRightInd w:val="0"/>
              <w:snapToGrid w:val="0"/>
              <w:spacing w:line="360" w:lineRule="auto"/>
              <w:jc w:val="center"/>
              <w:rPr>
                <w:rFonts w:ascii="宋体" w:hAnsi="宋体" w:cs="仿宋"/>
                <w:sz w:val="24"/>
              </w:rPr>
            </w:pPr>
          </w:p>
        </w:tc>
        <w:tc>
          <w:tcPr>
            <w:tcW w:w="1276" w:type="dxa"/>
            <w:noWrap w:val="0"/>
            <w:vAlign w:val="center"/>
          </w:tcPr>
          <w:p w14:paraId="5692EA20">
            <w:pPr>
              <w:adjustRightInd w:val="0"/>
              <w:snapToGrid w:val="0"/>
              <w:spacing w:line="360" w:lineRule="auto"/>
              <w:jc w:val="center"/>
              <w:rPr>
                <w:rFonts w:ascii="宋体" w:hAnsi="宋体" w:cs="仿宋"/>
                <w:sz w:val="24"/>
              </w:rPr>
            </w:pPr>
          </w:p>
        </w:tc>
        <w:tc>
          <w:tcPr>
            <w:tcW w:w="1450" w:type="dxa"/>
            <w:noWrap w:val="0"/>
            <w:vAlign w:val="center"/>
          </w:tcPr>
          <w:p w14:paraId="4F775474">
            <w:pPr>
              <w:adjustRightInd w:val="0"/>
              <w:snapToGrid w:val="0"/>
              <w:spacing w:line="360" w:lineRule="auto"/>
              <w:jc w:val="center"/>
              <w:rPr>
                <w:rFonts w:ascii="宋体" w:hAnsi="宋体" w:cs="仿宋"/>
                <w:sz w:val="24"/>
              </w:rPr>
            </w:pPr>
          </w:p>
        </w:tc>
        <w:tc>
          <w:tcPr>
            <w:tcW w:w="1243" w:type="dxa"/>
            <w:noWrap w:val="0"/>
            <w:vAlign w:val="center"/>
          </w:tcPr>
          <w:p w14:paraId="2728774B">
            <w:pPr>
              <w:adjustRightInd w:val="0"/>
              <w:snapToGrid w:val="0"/>
              <w:spacing w:line="360" w:lineRule="auto"/>
              <w:jc w:val="center"/>
              <w:rPr>
                <w:rFonts w:ascii="宋体" w:hAnsi="宋体" w:cs="仿宋"/>
                <w:sz w:val="24"/>
              </w:rPr>
            </w:pPr>
          </w:p>
        </w:tc>
        <w:tc>
          <w:tcPr>
            <w:tcW w:w="1450" w:type="dxa"/>
            <w:noWrap w:val="0"/>
            <w:vAlign w:val="center"/>
          </w:tcPr>
          <w:p w14:paraId="10189B65">
            <w:pPr>
              <w:adjustRightInd w:val="0"/>
              <w:snapToGrid w:val="0"/>
              <w:spacing w:line="360" w:lineRule="auto"/>
              <w:jc w:val="center"/>
              <w:rPr>
                <w:rFonts w:ascii="宋体" w:hAnsi="宋体" w:cs="仿宋"/>
                <w:sz w:val="24"/>
              </w:rPr>
            </w:pPr>
          </w:p>
        </w:tc>
        <w:tc>
          <w:tcPr>
            <w:tcW w:w="1667" w:type="dxa"/>
            <w:noWrap w:val="0"/>
            <w:vAlign w:val="center"/>
          </w:tcPr>
          <w:p w14:paraId="68087EA0">
            <w:pPr>
              <w:adjustRightInd w:val="0"/>
              <w:snapToGrid w:val="0"/>
              <w:spacing w:line="360" w:lineRule="auto"/>
              <w:jc w:val="center"/>
              <w:rPr>
                <w:rFonts w:ascii="宋体" w:hAnsi="宋体" w:cs="仿宋"/>
                <w:sz w:val="24"/>
              </w:rPr>
            </w:pPr>
          </w:p>
        </w:tc>
      </w:tr>
      <w:tr w14:paraId="5A305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15D7867">
            <w:pPr>
              <w:adjustRightInd w:val="0"/>
              <w:snapToGrid w:val="0"/>
              <w:spacing w:line="360" w:lineRule="auto"/>
              <w:jc w:val="center"/>
              <w:rPr>
                <w:rFonts w:ascii="宋体" w:hAnsi="宋体" w:cs="仿宋"/>
                <w:sz w:val="24"/>
              </w:rPr>
            </w:pPr>
          </w:p>
        </w:tc>
        <w:tc>
          <w:tcPr>
            <w:tcW w:w="1276" w:type="dxa"/>
            <w:noWrap w:val="0"/>
            <w:vAlign w:val="center"/>
          </w:tcPr>
          <w:p w14:paraId="0C316D99">
            <w:pPr>
              <w:adjustRightInd w:val="0"/>
              <w:snapToGrid w:val="0"/>
              <w:spacing w:line="360" w:lineRule="auto"/>
              <w:jc w:val="center"/>
              <w:rPr>
                <w:rFonts w:ascii="宋体" w:hAnsi="宋体" w:cs="仿宋"/>
                <w:sz w:val="24"/>
              </w:rPr>
            </w:pPr>
          </w:p>
        </w:tc>
        <w:tc>
          <w:tcPr>
            <w:tcW w:w="1450" w:type="dxa"/>
            <w:noWrap w:val="0"/>
            <w:vAlign w:val="center"/>
          </w:tcPr>
          <w:p w14:paraId="7CAA8AFE">
            <w:pPr>
              <w:adjustRightInd w:val="0"/>
              <w:snapToGrid w:val="0"/>
              <w:spacing w:line="360" w:lineRule="auto"/>
              <w:jc w:val="center"/>
              <w:rPr>
                <w:rFonts w:ascii="宋体" w:hAnsi="宋体" w:cs="仿宋"/>
                <w:sz w:val="24"/>
              </w:rPr>
            </w:pPr>
          </w:p>
        </w:tc>
        <w:tc>
          <w:tcPr>
            <w:tcW w:w="1243" w:type="dxa"/>
            <w:noWrap w:val="0"/>
            <w:vAlign w:val="center"/>
          </w:tcPr>
          <w:p w14:paraId="328522CD">
            <w:pPr>
              <w:adjustRightInd w:val="0"/>
              <w:snapToGrid w:val="0"/>
              <w:spacing w:line="360" w:lineRule="auto"/>
              <w:jc w:val="center"/>
              <w:rPr>
                <w:rFonts w:ascii="宋体" w:hAnsi="宋体" w:cs="仿宋"/>
                <w:sz w:val="24"/>
              </w:rPr>
            </w:pPr>
          </w:p>
        </w:tc>
        <w:tc>
          <w:tcPr>
            <w:tcW w:w="1450" w:type="dxa"/>
            <w:noWrap w:val="0"/>
            <w:vAlign w:val="center"/>
          </w:tcPr>
          <w:p w14:paraId="2DCF3576">
            <w:pPr>
              <w:adjustRightInd w:val="0"/>
              <w:snapToGrid w:val="0"/>
              <w:spacing w:line="360" w:lineRule="auto"/>
              <w:jc w:val="center"/>
              <w:rPr>
                <w:rFonts w:ascii="宋体" w:hAnsi="宋体" w:cs="仿宋"/>
                <w:sz w:val="24"/>
              </w:rPr>
            </w:pPr>
          </w:p>
        </w:tc>
        <w:tc>
          <w:tcPr>
            <w:tcW w:w="1667" w:type="dxa"/>
            <w:noWrap w:val="0"/>
            <w:vAlign w:val="center"/>
          </w:tcPr>
          <w:p w14:paraId="19D7D0B2">
            <w:pPr>
              <w:adjustRightInd w:val="0"/>
              <w:snapToGrid w:val="0"/>
              <w:spacing w:line="360" w:lineRule="auto"/>
              <w:jc w:val="center"/>
              <w:rPr>
                <w:rFonts w:ascii="宋体" w:hAnsi="宋体" w:cs="仿宋"/>
                <w:sz w:val="24"/>
              </w:rPr>
            </w:pPr>
          </w:p>
        </w:tc>
      </w:tr>
      <w:tr w14:paraId="3BF6A2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39E09C36">
            <w:pPr>
              <w:adjustRightInd w:val="0"/>
              <w:snapToGrid w:val="0"/>
              <w:spacing w:line="360" w:lineRule="auto"/>
              <w:jc w:val="center"/>
              <w:rPr>
                <w:rFonts w:ascii="宋体" w:hAnsi="宋体" w:cs="仿宋"/>
                <w:sz w:val="24"/>
              </w:rPr>
            </w:pPr>
          </w:p>
        </w:tc>
        <w:tc>
          <w:tcPr>
            <w:tcW w:w="1276" w:type="dxa"/>
            <w:noWrap w:val="0"/>
            <w:vAlign w:val="center"/>
          </w:tcPr>
          <w:p w14:paraId="1EBADB47">
            <w:pPr>
              <w:adjustRightInd w:val="0"/>
              <w:snapToGrid w:val="0"/>
              <w:spacing w:line="360" w:lineRule="auto"/>
              <w:jc w:val="center"/>
              <w:rPr>
                <w:rFonts w:ascii="宋体" w:hAnsi="宋体" w:cs="仿宋"/>
                <w:sz w:val="24"/>
              </w:rPr>
            </w:pPr>
          </w:p>
        </w:tc>
        <w:tc>
          <w:tcPr>
            <w:tcW w:w="1450" w:type="dxa"/>
            <w:noWrap w:val="0"/>
            <w:vAlign w:val="center"/>
          </w:tcPr>
          <w:p w14:paraId="08FBC909">
            <w:pPr>
              <w:adjustRightInd w:val="0"/>
              <w:snapToGrid w:val="0"/>
              <w:spacing w:line="360" w:lineRule="auto"/>
              <w:jc w:val="center"/>
              <w:rPr>
                <w:rFonts w:ascii="宋体" w:hAnsi="宋体" w:cs="仿宋"/>
                <w:sz w:val="24"/>
              </w:rPr>
            </w:pPr>
          </w:p>
        </w:tc>
        <w:tc>
          <w:tcPr>
            <w:tcW w:w="1243" w:type="dxa"/>
            <w:noWrap w:val="0"/>
            <w:vAlign w:val="center"/>
          </w:tcPr>
          <w:p w14:paraId="001BB93E">
            <w:pPr>
              <w:adjustRightInd w:val="0"/>
              <w:snapToGrid w:val="0"/>
              <w:spacing w:line="360" w:lineRule="auto"/>
              <w:jc w:val="center"/>
              <w:rPr>
                <w:rFonts w:ascii="宋体" w:hAnsi="宋体" w:cs="仿宋"/>
                <w:sz w:val="24"/>
              </w:rPr>
            </w:pPr>
          </w:p>
        </w:tc>
        <w:tc>
          <w:tcPr>
            <w:tcW w:w="1450" w:type="dxa"/>
            <w:noWrap w:val="0"/>
            <w:vAlign w:val="center"/>
          </w:tcPr>
          <w:p w14:paraId="46B68F51">
            <w:pPr>
              <w:adjustRightInd w:val="0"/>
              <w:snapToGrid w:val="0"/>
              <w:spacing w:line="360" w:lineRule="auto"/>
              <w:jc w:val="center"/>
              <w:rPr>
                <w:rFonts w:ascii="宋体" w:hAnsi="宋体" w:cs="仿宋"/>
                <w:sz w:val="24"/>
              </w:rPr>
            </w:pPr>
          </w:p>
        </w:tc>
        <w:tc>
          <w:tcPr>
            <w:tcW w:w="1667" w:type="dxa"/>
            <w:noWrap w:val="0"/>
            <w:vAlign w:val="center"/>
          </w:tcPr>
          <w:p w14:paraId="12816877">
            <w:pPr>
              <w:adjustRightInd w:val="0"/>
              <w:snapToGrid w:val="0"/>
              <w:spacing w:line="360" w:lineRule="auto"/>
              <w:jc w:val="center"/>
              <w:rPr>
                <w:rFonts w:ascii="宋体" w:hAnsi="宋体" w:cs="仿宋"/>
                <w:sz w:val="24"/>
              </w:rPr>
            </w:pPr>
          </w:p>
        </w:tc>
      </w:tr>
    </w:tbl>
    <w:p w14:paraId="6C4EE450">
      <w:pPr>
        <w:adjustRightInd w:val="0"/>
        <w:snapToGrid w:val="0"/>
        <w:spacing w:line="360" w:lineRule="auto"/>
        <w:rPr>
          <w:rFonts w:ascii="仿宋" w:hAnsi="仿宋" w:eastAsia="仿宋_GB2312" w:cs="仿宋"/>
          <w:sz w:val="24"/>
          <w:u w:val="single"/>
        </w:rPr>
      </w:pPr>
    </w:p>
    <w:p w14:paraId="268686B0">
      <w:pPr>
        <w:adjustRightInd w:val="0"/>
        <w:snapToGrid w:val="0"/>
        <w:spacing w:line="360" w:lineRule="auto"/>
        <w:outlineLvl w:val="1"/>
        <w:rPr>
          <w:rFonts w:ascii="黑体" w:hAnsi="黑体" w:eastAsia="黑体" w:cs="仿宋"/>
          <w:bCs/>
          <w:sz w:val="32"/>
          <w:szCs w:val="32"/>
        </w:rPr>
      </w:pPr>
      <w:r>
        <w:rPr>
          <w:rFonts w:hint="eastAsia" w:ascii="仿宋" w:hAnsi="仿宋" w:eastAsia="仿宋_GB2312" w:cs="仿宋"/>
          <w:sz w:val="24"/>
        </w:rPr>
        <w:br w:type="column"/>
      </w:r>
      <w:r>
        <w:rPr>
          <w:rFonts w:hint="eastAsia" w:ascii="黑体" w:hAnsi="黑体" w:eastAsia="黑体" w:cs="仿宋"/>
          <w:bCs/>
          <w:sz w:val="32"/>
          <w:szCs w:val="32"/>
        </w:rPr>
        <w:t>附件5：</w:t>
      </w:r>
    </w:p>
    <w:p w14:paraId="2B3BB852">
      <w:pPr>
        <w:adjustRightInd w:val="0"/>
        <w:snapToGrid w:val="0"/>
        <w:spacing w:line="360" w:lineRule="auto"/>
        <w:jc w:val="center"/>
        <w:rPr>
          <w:rFonts w:ascii="黑体" w:hAnsi="黑体" w:eastAsia="黑体" w:cs="仿宋"/>
          <w:sz w:val="32"/>
          <w:szCs w:val="32"/>
        </w:rPr>
      </w:pPr>
      <w:bookmarkStart w:id="33" w:name="_Toc178155243"/>
      <w:bookmarkStart w:id="34" w:name="_Toc59006214"/>
      <w:bookmarkStart w:id="35" w:name="_Toc176786393"/>
      <w:bookmarkStart w:id="36" w:name="_Toc11590493"/>
      <w:bookmarkStart w:id="37" w:name="_Toc217983400"/>
      <w:r>
        <w:rPr>
          <w:rFonts w:hint="eastAsia" w:ascii="黑体" w:hAnsi="黑体" w:eastAsia="黑体" w:cs="仿宋"/>
          <w:sz w:val="32"/>
          <w:szCs w:val="32"/>
        </w:rPr>
        <w:t>承包人用于本工程施工的机械设备表</w:t>
      </w:r>
      <w:bookmarkEnd w:id="33"/>
      <w:bookmarkEnd w:id="34"/>
      <w:bookmarkEnd w:id="35"/>
      <w:bookmarkEnd w:id="36"/>
      <w:bookmarkEnd w:id="37"/>
    </w:p>
    <w:tbl>
      <w:tblPr>
        <w:tblStyle w:val="33"/>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3"/>
        <w:gridCol w:w="1645"/>
        <w:gridCol w:w="1776"/>
        <w:gridCol w:w="590"/>
        <w:gridCol w:w="815"/>
        <w:gridCol w:w="822"/>
        <w:gridCol w:w="1056"/>
        <w:gridCol w:w="749"/>
        <w:gridCol w:w="1379"/>
      </w:tblGrid>
      <w:tr w14:paraId="2FC7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5" w:hRule="atLeast"/>
          <w:tblHeader/>
          <w:jc w:val="center"/>
        </w:trPr>
        <w:tc>
          <w:tcPr>
            <w:tcW w:w="523" w:type="dxa"/>
            <w:shd w:val="clear" w:color="auto" w:fill="auto"/>
            <w:noWrap w:val="0"/>
            <w:vAlign w:val="center"/>
          </w:tcPr>
          <w:p w14:paraId="731DC755">
            <w:pPr>
              <w:widowControl/>
              <w:adjustRightInd w:val="0"/>
              <w:snapToGrid w:val="0"/>
              <w:spacing w:after="120"/>
              <w:jc w:val="center"/>
              <w:rPr>
                <w:rFonts w:ascii="宋体" w:hAnsi="宋体" w:cs="仿宋"/>
                <w:bCs/>
                <w:sz w:val="24"/>
              </w:rPr>
            </w:pPr>
            <w:r>
              <w:rPr>
                <w:rFonts w:hint="eastAsia" w:ascii="宋体" w:hAnsi="宋体" w:cs="仿宋"/>
                <w:bCs/>
                <w:sz w:val="24"/>
                <w:lang w:val="zh-CN"/>
              </w:rPr>
              <w:t>序号</w:t>
            </w:r>
          </w:p>
        </w:tc>
        <w:tc>
          <w:tcPr>
            <w:tcW w:w="1645" w:type="dxa"/>
            <w:shd w:val="clear" w:color="auto" w:fill="auto"/>
            <w:noWrap w:val="0"/>
            <w:vAlign w:val="center"/>
          </w:tcPr>
          <w:p w14:paraId="45973C77">
            <w:pPr>
              <w:widowControl/>
              <w:adjustRightInd w:val="0"/>
              <w:snapToGrid w:val="0"/>
              <w:spacing w:after="120"/>
              <w:jc w:val="center"/>
              <w:rPr>
                <w:rFonts w:ascii="宋体" w:hAnsi="宋体" w:cs="仿宋"/>
                <w:bCs/>
                <w:sz w:val="24"/>
              </w:rPr>
            </w:pPr>
            <w:r>
              <w:rPr>
                <w:rFonts w:hint="eastAsia" w:ascii="宋体" w:hAnsi="宋体" w:cs="仿宋"/>
                <w:bCs/>
                <w:sz w:val="24"/>
                <w:lang w:val="zh-CN"/>
              </w:rPr>
              <w:t>机械或设备名称</w:t>
            </w:r>
          </w:p>
        </w:tc>
        <w:tc>
          <w:tcPr>
            <w:tcW w:w="1776" w:type="dxa"/>
            <w:shd w:val="clear" w:color="auto" w:fill="auto"/>
            <w:noWrap w:val="0"/>
            <w:vAlign w:val="center"/>
          </w:tcPr>
          <w:p w14:paraId="365378EF">
            <w:pPr>
              <w:widowControl/>
              <w:adjustRightInd w:val="0"/>
              <w:snapToGrid w:val="0"/>
              <w:spacing w:after="120"/>
              <w:jc w:val="center"/>
              <w:rPr>
                <w:rFonts w:ascii="宋体" w:hAnsi="宋体" w:cs="仿宋"/>
                <w:bCs/>
                <w:sz w:val="24"/>
              </w:rPr>
            </w:pPr>
            <w:r>
              <w:rPr>
                <w:rFonts w:hint="eastAsia" w:ascii="宋体" w:hAnsi="宋体" w:cs="仿宋"/>
                <w:bCs/>
                <w:sz w:val="24"/>
                <w:lang w:val="zh-CN"/>
              </w:rPr>
              <w:t>型号规格</w:t>
            </w:r>
          </w:p>
        </w:tc>
        <w:tc>
          <w:tcPr>
            <w:tcW w:w="590" w:type="dxa"/>
            <w:shd w:val="clear" w:color="auto" w:fill="auto"/>
            <w:noWrap w:val="0"/>
            <w:vAlign w:val="center"/>
          </w:tcPr>
          <w:p w14:paraId="3FE5117C">
            <w:pPr>
              <w:widowControl/>
              <w:adjustRightInd w:val="0"/>
              <w:snapToGrid w:val="0"/>
              <w:spacing w:after="120"/>
              <w:jc w:val="center"/>
              <w:rPr>
                <w:rFonts w:ascii="宋体" w:hAnsi="宋体" w:cs="仿宋"/>
                <w:bCs/>
                <w:sz w:val="24"/>
              </w:rPr>
            </w:pPr>
            <w:r>
              <w:rPr>
                <w:rFonts w:hint="eastAsia" w:ascii="宋体" w:hAnsi="宋体" w:cs="仿宋"/>
                <w:bCs/>
                <w:sz w:val="24"/>
                <w:lang w:val="zh-CN"/>
              </w:rPr>
              <w:t>数量</w:t>
            </w:r>
          </w:p>
        </w:tc>
        <w:tc>
          <w:tcPr>
            <w:tcW w:w="815" w:type="dxa"/>
            <w:shd w:val="clear" w:color="auto" w:fill="auto"/>
            <w:noWrap w:val="0"/>
            <w:vAlign w:val="center"/>
          </w:tcPr>
          <w:p w14:paraId="3E6E1EE3">
            <w:pPr>
              <w:widowControl/>
              <w:adjustRightInd w:val="0"/>
              <w:snapToGrid w:val="0"/>
              <w:spacing w:after="120"/>
              <w:jc w:val="center"/>
              <w:rPr>
                <w:rFonts w:ascii="宋体" w:hAnsi="宋体" w:cs="仿宋"/>
                <w:bCs/>
                <w:sz w:val="24"/>
              </w:rPr>
            </w:pPr>
            <w:r>
              <w:rPr>
                <w:rFonts w:hint="eastAsia" w:ascii="宋体" w:hAnsi="宋体" w:cs="仿宋"/>
                <w:bCs/>
                <w:sz w:val="24"/>
                <w:lang w:val="zh-CN"/>
              </w:rPr>
              <w:t>国别产地</w:t>
            </w:r>
          </w:p>
        </w:tc>
        <w:tc>
          <w:tcPr>
            <w:tcW w:w="822" w:type="dxa"/>
            <w:shd w:val="clear" w:color="auto" w:fill="auto"/>
            <w:noWrap w:val="0"/>
            <w:vAlign w:val="center"/>
          </w:tcPr>
          <w:p w14:paraId="0B746D23">
            <w:pPr>
              <w:widowControl/>
              <w:adjustRightInd w:val="0"/>
              <w:snapToGrid w:val="0"/>
              <w:spacing w:after="120"/>
              <w:jc w:val="center"/>
              <w:rPr>
                <w:rFonts w:ascii="宋体" w:hAnsi="宋体" w:cs="仿宋"/>
                <w:bCs/>
                <w:sz w:val="24"/>
              </w:rPr>
            </w:pPr>
            <w:r>
              <w:rPr>
                <w:rFonts w:hint="eastAsia" w:ascii="宋体" w:hAnsi="宋体" w:cs="仿宋"/>
                <w:bCs/>
                <w:sz w:val="24"/>
                <w:lang w:val="zh-CN"/>
              </w:rPr>
              <w:t>制造年份</w:t>
            </w:r>
          </w:p>
        </w:tc>
        <w:tc>
          <w:tcPr>
            <w:tcW w:w="1056" w:type="dxa"/>
            <w:shd w:val="clear" w:color="auto" w:fill="auto"/>
            <w:noWrap w:val="0"/>
            <w:vAlign w:val="center"/>
          </w:tcPr>
          <w:p w14:paraId="075AF22B">
            <w:pPr>
              <w:widowControl/>
              <w:adjustRightInd w:val="0"/>
              <w:snapToGrid w:val="0"/>
              <w:spacing w:after="120"/>
              <w:jc w:val="center"/>
              <w:rPr>
                <w:rFonts w:ascii="宋体" w:hAnsi="宋体" w:cs="仿宋"/>
                <w:bCs/>
                <w:sz w:val="24"/>
              </w:rPr>
            </w:pPr>
            <w:r>
              <w:rPr>
                <w:rFonts w:hint="eastAsia" w:ascii="宋体" w:hAnsi="宋体" w:cs="仿宋"/>
                <w:bCs/>
                <w:sz w:val="24"/>
                <w:lang w:val="zh-CN"/>
              </w:rPr>
              <w:t>额定功率（KW）</w:t>
            </w:r>
          </w:p>
        </w:tc>
        <w:tc>
          <w:tcPr>
            <w:tcW w:w="749" w:type="dxa"/>
            <w:shd w:val="clear" w:color="auto" w:fill="auto"/>
            <w:noWrap w:val="0"/>
            <w:vAlign w:val="center"/>
          </w:tcPr>
          <w:p w14:paraId="579F9154">
            <w:pPr>
              <w:widowControl/>
              <w:adjustRightInd w:val="0"/>
              <w:snapToGrid w:val="0"/>
              <w:spacing w:after="120"/>
              <w:jc w:val="center"/>
              <w:rPr>
                <w:rFonts w:ascii="宋体" w:hAnsi="宋体" w:cs="仿宋"/>
                <w:bCs/>
                <w:sz w:val="24"/>
              </w:rPr>
            </w:pPr>
            <w:r>
              <w:rPr>
                <w:rFonts w:hint="eastAsia" w:ascii="宋体" w:hAnsi="宋体" w:cs="仿宋"/>
                <w:bCs/>
                <w:sz w:val="24"/>
                <w:lang w:val="zh-CN"/>
              </w:rPr>
              <w:t>生产能力</w:t>
            </w:r>
          </w:p>
        </w:tc>
        <w:tc>
          <w:tcPr>
            <w:tcW w:w="1379" w:type="dxa"/>
            <w:shd w:val="clear" w:color="auto" w:fill="auto"/>
            <w:noWrap w:val="0"/>
            <w:vAlign w:val="center"/>
          </w:tcPr>
          <w:p w14:paraId="3A285BE3">
            <w:pPr>
              <w:widowControl/>
              <w:adjustRightInd w:val="0"/>
              <w:snapToGrid w:val="0"/>
              <w:spacing w:after="120"/>
              <w:jc w:val="center"/>
              <w:rPr>
                <w:rFonts w:ascii="宋体" w:hAnsi="宋体" w:cs="仿宋"/>
                <w:bCs/>
                <w:sz w:val="24"/>
              </w:rPr>
            </w:pPr>
            <w:r>
              <w:rPr>
                <w:rFonts w:hint="eastAsia" w:ascii="宋体" w:hAnsi="宋体" w:cs="仿宋"/>
                <w:bCs/>
                <w:sz w:val="24"/>
                <w:lang w:val="zh-CN"/>
              </w:rPr>
              <w:t>用于施工部位备注</w:t>
            </w:r>
          </w:p>
        </w:tc>
      </w:tr>
      <w:tr w14:paraId="7E049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523" w:type="dxa"/>
            <w:shd w:val="clear" w:color="auto" w:fill="auto"/>
            <w:noWrap w:val="0"/>
            <w:vAlign w:val="center"/>
          </w:tcPr>
          <w:p w14:paraId="512595E4">
            <w:pPr>
              <w:widowControl/>
              <w:adjustRightInd w:val="0"/>
              <w:snapToGrid w:val="0"/>
              <w:spacing w:after="120"/>
              <w:jc w:val="center"/>
              <w:rPr>
                <w:rFonts w:ascii="宋体" w:hAnsi="宋体" w:cs="仿宋"/>
                <w:sz w:val="24"/>
              </w:rPr>
            </w:pPr>
            <w:r>
              <w:rPr>
                <w:rFonts w:hint="eastAsia" w:ascii="宋体" w:hAnsi="宋体" w:cs="仿宋"/>
                <w:sz w:val="24"/>
                <w:lang w:val="zh-CN"/>
              </w:rPr>
              <w:t>1</w:t>
            </w:r>
          </w:p>
        </w:tc>
        <w:tc>
          <w:tcPr>
            <w:tcW w:w="1645" w:type="dxa"/>
            <w:shd w:val="clear" w:color="auto" w:fill="auto"/>
            <w:noWrap w:val="0"/>
            <w:vAlign w:val="center"/>
          </w:tcPr>
          <w:p w14:paraId="0B5949DC">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6BE941C3">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079C4C15">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069D2F15">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3AC59816">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55EAF4AB">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67C3948F">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35231E6B">
            <w:pPr>
              <w:widowControl/>
              <w:adjustRightInd w:val="0"/>
              <w:snapToGrid w:val="0"/>
              <w:spacing w:after="120"/>
              <w:jc w:val="center"/>
              <w:rPr>
                <w:rFonts w:ascii="宋体" w:hAnsi="宋体" w:cs="仿宋"/>
                <w:sz w:val="24"/>
              </w:rPr>
            </w:pPr>
          </w:p>
        </w:tc>
      </w:tr>
      <w:tr w14:paraId="079C0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0E25F183">
            <w:pPr>
              <w:widowControl/>
              <w:adjustRightInd w:val="0"/>
              <w:snapToGrid w:val="0"/>
              <w:spacing w:after="120"/>
              <w:jc w:val="center"/>
              <w:rPr>
                <w:rFonts w:ascii="宋体" w:hAnsi="宋体" w:cs="仿宋"/>
                <w:sz w:val="24"/>
              </w:rPr>
            </w:pPr>
            <w:r>
              <w:rPr>
                <w:rFonts w:hint="eastAsia" w:ascii="宋体" w:hAnsi="宋体" w:cs="仿宋"/>
                <w:sz w:val="24"/>
                <w:lang w:val="zh-CN"/>
              </w:rPr>
              <w:t>2</w:t>
            </w:r>
          </w:p>
        </w:tc>
        <w:tc>
          <w:tcPr>
            <w:tcW w:w="1645" w:type="dxa"/>
            <w:shd w:val="clear" w:color="auto" w:fill="auto"/>
            <w:noWrap w:val="0"/>
            <w:vAlign w:val="center"/>
          </w:tcPr>
          <w:p w14:paraId="2B6FE9FC">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10208525">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5B77FA84">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70C4A13A">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007D38AE">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5CD243E9">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50C0C593">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4B6B38C4">
            <w:pPr>
              <w:widowControl/>
              <w:adjustRightInd w:val="0"/>
              <w:snapToGrid w:val="0"/>
              <w:spacing w:after="120"/>
              <w:jc w:val="center"/>
              <w:rPr>
                <w:rFonts w:ascii="宋体" w:hAnsi="宋体" w:cs="仿宋"/>
                <w:sz w:val="24"/>
              </w:rPr>
            </w:pPr>
          </w:p>
        </w:tc>
      </w:tr>
      <w:tr w14:paraId="7AD46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23" w:type="dxa"/>
            <w:shd w:val="clear" w:color="auto" w:fill="auto"/>
            <w:noWrap w:val="0"/>
            <w:vAlign w:val="center"/>
          </w:tcPr>
          <w:p w14:paraId="1EA5D8AC">
            <w:pPr>
              <w:widowControl/>
              <w:adjustRightInd w:val="0"/>
              <w:snapToGrid w:val="0"/>
              <w:spacing w:after="120"/>
              <w:jc w:val="center"/>
              <w:rPr>
                <w:rFonts w:ascii="宋体" w:hAnsi="宋体" w:cs="仿宋"/>
                <w:sz w:val="24"/>
              </w:rPr>
            </w:pPr>
            <w:r>
              <w:rPr>
                <w:rFonts w:hint="eastAsia" w:ascii="宋体" w:hAnsi="宋体" w:cs="仿宋"/>
                <w:sz w:val="24"/>
                <w:lang w:val="zh-CN"/>
              </w:rPr>
              <w:t>3</w:t>
            </w:r>
          </w:p>
        </w:tc>
        <w:tc>
          <w:tcPr>
            <w:tcW w:w="1645" w:type="dxa"/>
            <w:shd w:val="clear" w:color="auto" w:fill="auto"/>
            <w:noWrap w:val="0"/>
            <w:vAlign w:val="center"/>
          </w:tcPr>
          <w:p w14:paraId="58FDD095">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5B0472FA">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1E89A2CD">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282BDA4C">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3AB87F3A">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42270A66">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6CDFD8CD">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727260A4">
            <w:pPr>
              <w:widowControl/>
              <w:adjustRightInd w:val="0"/>
              <w:snapToGrid w:val="0"/>
              <w:spacing w:after="120"/>
              <w:jc w:val="center"/>
              <w:rPr>
                <w:rFonts w:ascii="宋体" w:hAnsi="宋体" w:cs="仿宋"/>
                <w:sz w:val="24"/>
              </w:rPr>
            </w:pPr>
          </w:p>
        </w:tc>
      </w:tr>
      <w:tr w14:paraId="253C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23" w:type="dxa"/>
            <w:shd w:val="clear" w:color="auto" w:fill="auto"/>
            <w:noWrap w:val="0"/>
            <w:vAlign w:val="center"/>
          </w:tcPr>
          <w:p w14:paraId="102CC782">
            <w:pPr>
              <w:widowControl/>
              <w:adjustRightInd w:val="0"/>
              <w:snapToGrid w:val="0"/>
              <w:spacing w:after="120"/>
              <w:jc w:val="center"/>
              <w:rPr>
                <w:rFonts w:ascii="宋体" w:hAnsi="宋体" w:cs="仿宋"/>
                <w:sz w:val="24"/>
              </w:rPr>
            </w:pPr>
            <w:r>
              <w:rPr>
                <w:rFonts w:hint="eastAsia" w:ascii="宋体" w:hAnsi="宋体" w:cs="仿宋"/>
                <w:sz w:val="24"/>
                <w:lang w:val="zh-CN"/>
              </w:rPr>
              <w:t>4</w:t>
            </w:r>
          </w:p>
        </w:tc>
        <w:tc>
          <w:tcPr>
            <w:tcW w:w="1645" w:type="dxa"/>
            <w:shd w:val="clear" w:color="auto" w:fill="auto"/>
            <w:noWrap w:val="0"/>
            <w:vAlign w:val="center"/>
          </w:tcPr>
          <w:p w14:paraId="5C79DFB9">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16079F6F">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683E8730">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7EB07968">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277A2FF1">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5248BA5D">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3667D037">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6CD3F265">
            <w:pPr>
              <w:widowControl/>
              <w:adjustRightInd w:val="0"/>
              <w:snapToGrid w:val="0"/>
              <w:spacing w:after="120"/>
              <w:jc w:val="center"/>
              <w:rPr>
                <w:rFonts w:ascii="宋体" w:hAnsi="宋体" w:cs="仿宋"/>
                <w:sz w:val="24"/>
              </w:rPr>
            </w:pPr>
          </w:p>
        </w:tc>
      </w:tr>
      <w:tr w14:paraId="676A3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1570C74D">
            <w:pPr>
              <w:widowControl/>
              <w:adjustRightInd w:val="0"/>
              <w:snapToGrid w:val="0"/>
              <w:spacing w:after="120"/>
              <w:jc w:val="center"/>
              <w:rPr>
                <w:rFonts w:ascii="宋体" w:hAnsi="宋体" w:cs="仿宋"/>
                <w:sz w:val="24"/>
              </w:rPr>
            </w:pPr>
            <w:r>
              <w:rPr>
                <w:rFonts w:hint="eastAsia" w:ascii="宋体" w:hAnsi="宋体" w:cs="仿宋"/>
                <w:sz w:val="24"/>
                <w:lang w:val="zh-CN"/>
              </w:rPr>
              <w:t>5</w:t>
            </w:r>
          </w:p>
        </w:tc>
        <w:tc>
          <w:tcPr>
            <w:tcW w:w="1645" w:type="dxa"/>
            <w:shd w:val="clear" w:color="auto" w:fill="auto"/>
            <w:noWrap w:val="0"/>
            <w:vAlign w:val="center"/>
          </w:tcPr>
          <w:p w14:paraId="166FB786">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6CC5E26A">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40AB03F3">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1AF0AFDF">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5C9E4FFD">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708B6695">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15876901">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2D1150E6">
            <w:pPr>
              <w:widowControl/>
              <w:adjustRightInd w:val="0"/>
              <w:snapToGrid w:val="0"/>
              <w:spacing w:after="120"/>
              <w:jc w:val="center"/>
              <w:rPr>
                <w:rFonts w:ascii="宋体" w:hAnsi="宋体" w:cs="仿宋"/>
                <w:sz w:val="24"/>
              </w:rPr>
            </w:pPr>
          </w:p>
        </w:tc>
      </w:tr>
      <w:tr w14:paraId="5CA3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034A1462">
            <w:pPr>
              <w:widowControl/>
              <w:adjustRightInd w:val="0"/>
              <w:snapToGrid w:val="0"/>
              <w:spacing w:after="120"/>
              <w:jc w:val="center"/>
              <w:rPr>
                <w:rFonts w:ascii="宋体" w:hAnsi="宋体" w:cs="仿宋"/>
                <w:sz w:val="24"/>
              </w:rPr>
            </w:pPr>
            <w:r>
              <w:rPr>
                <w:rFonts w:hint="eastAsia" w:ascii="宋体" w:hAnsi="宋体" w:cs="仿宋"/>
                <w:sz w:val="24"/>
                <w:lang w:val="zh-CN"/>
              </w:rPr>
              <w:t>6</w:t>
            </w:r>
          </w:p>
        </w:tc>
        <w:tc>
          <w:tcPr>
            <w:tcW w:w="1645" w:type="dxa"/>
            <w:shd w:val="clear" w:color="auto" w:fill="auto"/>
            <w:noWrap w:val="0"/>
            <w:vAlign w:val="center"/>
          </w:tcPr>
          <w:p w14:paraId="644C6746">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52693C3F">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61384F64">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3D6AEF13">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1A88614E">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771BE388">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60B40FBE">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3760AABD">
            <w:pPr>
              <w:widowControl/>
              <w:adjustRightInd w:val="0"/>
              <w:snapToGrid w:val="0"/>
              <w:spacing w:after="120"/>
              <w:jc w:val="center"/>
              <w:rPr>
                <w:rFonts w:ascii="宋体" w:hAnsi="宋体" w:cs="仿宋"/>
                <w:sz w:val="24"/>
              </w:rPr>
            </w:pPr>
          </w:p>
        </w:tc>
      </w:tr>
      <w:tr w14:paraId="4CF8C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53AFEDAB">
            <w:pPr>
              <w:widowControl/>
              <w:adjustRightInd w:val="0"/>
              <w:snapToGrid w:val="0"/>
              <w:spacing w:after="120"/>
              <w:jc w:val="center"/>
              <w:rPr>
                <w:rFonts w:ascii="宋体" w:hAnsi="宋体" w:cs="仿宋"/>
                <w:sz w:val="24"/>
              </w:rPr>
            </w:pPr>
            <w:r>
              <w:rPr>
                <w:rFonts w:hint="eastAsia" w:ascii="宋体" w:hAnsi="宋体" w:cs="仿宋"/>
                <w:sz w:val="24"/>
                <w:lang w:val="zh-CN"/>
              </w:rPr>
              <w:t>7</w:t>
            </w:r>
          </w:p>
        </w:tc>
        <w:tc>
          <w:tcPr>
            <w:tcW w:w="1645" w:type="dxa"/>
            <w:shd w:val="clear" w:color="auto" w:fill="auto"/>
            <w:noWrap w:val="0"/>
            <w:vAlign w:val="center"/>
          </w:tcPr>
          <w:p w14:paraId="3407CFB0">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6FDFA95F">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14B28D0B">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48AF3EA6">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2798AF9E">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6FAB0BE2">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3007AF0B">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453EE9D1">
            <w:pPr>
              <w:widowControl/>
              <w:adjustRightInd w:val="0"/>
              <w:snapToGrid w:val="0"/>
              <w:spacing w:after="120"/>
              <w:jc w:val="center"/>
              <w:rPr>
                <w:rFonts w:ascii="宋体" w:hAnsi="宋体" w:cs="仿宋"/>
                <w:sz w:val="24"/>
              </w:rPr>
            </w:pPr>
          </w:p>
        </w:tc>
      </w:tr>
      <w:tr w14:paraId="27A09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6DC6D09D">
            <w:pPr>
              <w:widowControl/>
              <w:adjustRightInd w:val="0"/>
              <w:snapToGrid w:val="0"/>
              <w:spacing w:after="120"/>
              <w:jc w:val="center"/>
              <w:rPr>
                <w:rFonts w:ascii="宋体" w:hAnsi="宋体" w:cs="仿宋"/>
                <w:sz w:val="24"/>
              </w:rPr>
            </w:pPr>
            <w:r>
              <w:rPr>
                <w:rFonts w:hint="eastAsia" w:ascii="宋体" w:hAnsi="宋体" w:cs="仿宋"/>
                <w:sz w:val="24"/>
                <w:lang w:val="zh-CN"/>
              </w:rPr>
              <w:t>8</w:t>
            </w:r>
          </w:p>
        </w:tc>
        <w:tc>
          <w:tcPr>
            <w:tcW w:w="1645" w:type="dxa"/>
            <w:shd w:val="clear" w:color="auto" w:fill="auto"/>
            <w:noWrap w:val="0"/>
            <w:vAlign w:val="center"/>
          </w:tcPr>
          <w:p w14:paraId="583F2B18">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77D4F2D5">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647BE257">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6D44AF66">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3BA3447E">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6850C750">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5FDC8DCF">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3221362D">
            <w:pPr>
              <w:widowControl/>
              <w:adjustRightInd w:val="0"/>
              <w:snapToGrid w:val="0"/>
              <w:spacing w:after="120"/>
              <w:jc w:val="center"/>
              <w:rPr>
                <w:rFonts w:ascii="宋体" w:hAnsi="宋体" w:cs="仿宋"/>
                <w:sz w:val="24"/>
              </w:rPr>
            </w:pPr>
          </w:p>
        </w:tc>
      </w:tr>
      <w:tr w14:paraId="53E0D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23" w:type="dxa"/>
            <w:shd w:val="clear" w:color="auto" w:fill="auto"/>
            <w:noWrap w:val="0"/>
            <w:vAlign w:val="center"/>
          </w:tcPr>
          <w:p w14:paraId="7191BEE6">
            <w:pPr>
              <w:widowControl/>
              <w:adjustRightInd w:val="0"/>
              <w:snapToGrid w:val="0"/>
              <w:spacing w:after="120"/>
              <w:jc w:val="center"/>
              <w:rPr>
                <w:rFonts w:ascii="宋体" w:hAnsi="宋体" w:cs="仿宋"/>
                <w:sz w:val="24"/>
              </w:rPr>
            </w:pPr>
            <w:r>
              <w:rPr>
                <w:rFonts w:hint="eastAsia" w:ascii="宋体" w:hAnsi="宋体" w:cs="仿宋"/>
                <w:sz w:val="24"/>
                <w:lang w:val="zh-CN"/>
              </w:rPr>
              <w:t>9</w:t>
            </w:r>
          </w:p>
        </w:tc>
        <w:tc>
          <w:tcPr>
            <w:tcW w:w="1645" w:type="dxa"/>
            <w:shd w:val="clear" w:color="auto" w:fill="auto"/>
            <w:noWrap w:val="0"/>
            <w:vAlign w:val="center"/>
          </w:tcPr>
          <w:p w14:paraId="14E39E06">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51B87B9C">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44FBE7DD">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69BDFE71">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66CF7557">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4B3BE89F">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50D97872">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7B28188F">
            <w:pPr>
              <w:widowControl/>
              <w:adjustRightInd w:val="0"/>
              <w:snapToGrid w:val="0"/>
              <w:spacing w:after="120"/>
              <w:jc w:val="center"/>
              <w:rPr>
                <w:rFonts w:ascii="宋体" w:hAnsi="宋体" w:cs="仿宋"/>
                <w:sz w:val="24"/>
              </w:rPr>
            </w:pPr>
          </w:p>
        </w:tc>
      </w:tr>
      <w:tr w14:paraId="731D6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425A39B5">
            <w:pPr>
              <w:widowControl/>
              <w:adjustRightInd w:val="0"/>
              <w:snapToGrid w:val="0"/>
              <w:spacing w:after="120"/>
              <w:jc w:val="center"/>
              <w:rPr>
                <w:rFonts w:ascii="宋体" w:hAnsi="宋体" w:cs="仿宋"/>
                <w:sz w:val="24"/>
              </w:rPr>
            </w:pPr>
            <w:r>
              <w:rPr>
                <w:rFonts w:hint="eastAsia" w:ascii="宋体" w:hAnsi="宋体" w:cs="仿宋"/>
                <w:sz w:val="24"/>
                <w:lang w:val="zh-CN"/>
              </w:rPr>
              <w:t>10</w:t>
            </w:r>
          </w:p>
        </w:tc>
        <w:tc>
          <w:tcPr>
            <w:tcW w:w="1645" w:type="dxa"/>
            <w:shd w:val="clear" w:color="auto" w:fill="auto"/>
            <w:noWrap w:val="0"/>
            <w:vAlign w:val="center"/>
          </w:tcPr>
          <w:p w14:paraId="0221E5F2">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50152670">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2A254B22">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0D2F3986">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4CD0088E">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1A6F043C">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61067277">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4B7998D7">
            <w:pPr>
              <w:widowControl/>
              <w:adjustRightInd w:val="0"/>
              <w:snapToGrid w:val="0"/>
              <w:spacing w:after="120"/>
              <w:jc w:val="center"/>
              <w:rPr>
                <w:rFonts w:ascii="宋体" w:hAnsi="宋体" w:cs="仿宋"/>
                <w:sz w:val="24"/>
              </w:rPr>
            </w:pPr>
          </w:p>
        </w:tc>
      </w:tr>
      <w:tr w14:paraId="4D08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3" w:type="dxa"/>
            <w:shd w:val="clear" w:color="auto" w:fill="auto"/>
            <w:noWrap w:val="0"/>
            <w:vAlign w:val="center"/>
          </w:tcPr>
          <w:p w14:paraId="1D34E44B">
            <w:pPr>
              <w:widowControl/>
              <w:adjustRightInd w:val="0"/>
              <w:snapToGrid w:val="0"/>
              <w:spacing w:after="120"/>
              <w:jc w:val="center"/>
              <w:rPr>
                <w:rFonts w:ascii="宋体" w:hAnsi="宋体" w:cs="仿宋"/>
                <w:sz w:val="24"/>
              </w:rPr>
            </w:pPr>
            <w:r>
              <w:rPr>
                <w:rFonts w:hint="eastAsia" w:ascii="宋体" w:hAnsi="宋体" w:cs="仿宋"/>
                <w:sz w:val="24"/>
              </w:rPr>
              <w:t>11</w:t>
            </w:r>
          </w:p>
        </w:tc>
        <w:tc>
          <w:tcPr>
            <w:tcW w:w="1645" w:type="dxa"/>
            <w:shd w:val="clear" w:color="auto" w:fill="auto"/>
            <w:noWrap w:val="0"/>
            <w:vAlign w:val="center"/>
          </w:tcPr>
          <w:p w14:paraId="1C69E677">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5731A9D4">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7E5817C1">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377481F5">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4BDF41E9">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63B38F4C">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656E91BA">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37E0E0C1">
            <w:pPr>
              <w:widowControl/>
              <w:adjustRightInd w:val="0"/>
              <w:snapToGrid w:val="0"/>
              <w:spacing w:after="120"/>
              <w:jc w:val="center"/>
              <w:rPr>
                <w:rFonts w:ascii="宋体" w:hAnsi="宋体" w:cs="仿宋"/>
                <w:sz w:val="24"/>
              </w:rPr>
            </w:pPr>
          </w:p>
        </w:tc>
      </w:tr>
      <w:tr w14:paraId="594A8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36939E91">
            <w:pPr>
              <w:widowControl/>
              <w:adjustRightInd w:val="0"/>
              <w:snapToGrid w:val="0"/>
              <w:spacing w:after="120"/>
              <w:jc w:val="center"/>
              <w:rPr>
                <w:rFonts w:ascii="宋体" w:hAnsi="宋体" w:cs="仿宋"/>
                <w:sz w:val="24"/>
              </w:rPr>
            </w:pPr>
            <w:r>
              <w:rPr>
                <w:rFonts w:hint="eastAsia" w:ascii="宋体" w:hAnsi="宋体" w:cs="仿宋"/>
                <w:sz w:val="24"/>
                <w:lang w:val="zh-CN"/>
              </w:rPr>
              <w:t>12</w:t>
            </w:r>
          </w:p>
        </w:tc>
        <w:tc>
          <w:tcPr>
            <w:tcW w:w="1645" w:type="dxa"/>
            <w:shd w:val="clear" w:color="auto" w:fill="auto"/>
            <w:noWrap w:val="0"/>
            <w:vAlign w:val="center"/>
          </w:tcPr>
          <w:p w14:paraId="75DC7E76">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1EBC86B5">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74B4B60D">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718F1EAE">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4D2D0AC8">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429458BC">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64455ABA">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42C66FF7">
            <w:pPr>
              <w:widowControl/>
              <w:adjustRightInd w:val="0"/>
              <w:snapToGrid w:val="0"/>
              <w:spacing w:after="120"/>
              <w:jc w:val="center"/>
              <w:rPr>
                <w:rFonts w:ascii="宋体" w:hAnsi="宋体" w:cs="仿宋"/>
                <w:sz w:val="24"/>
              </w:rPr>
            </w:pPr>
          </w:p>
        </w:tc>
      </w:tr>
      <w:tr w14:paraId="5C4BC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141C82D4">
            <w:pPr>
              <w:widowControl/>
              <w:adjustRightInd w:val="0"/>
              <w:snapToGrid w:val="0"/>
              <w:spacing w:after="120"/>
              <w:jc w:val="center"/>
              <w:rPr>
                <w:rFonts w:ascii="宋体" w:hAnsi="宋体" w:cs="仿宋"/>
                <w:sz w:val="24"/>
              </w:rPr>
            </w:pPr>
            <w:r>
              <w:rPr>
                <w:rFonts w:hint="eastAsia" w:ascii="宋体" w:hAnsi="宋体" w:cs="仿宋"/>
                <w:sz w:val="24"/>
                <w:lang w:val="zh-CN"/>
              </w:rPr>
              <w:t>13</w:t>
            </w:r>
          </w:p>
        </w:tc>
        <w:tc>
          <w:tcPr>
            <w:tcW w:w="1645" w:type="dxa"/>
            <w:shd w:val="clear" w:color="auto" w:fill="auto"/>
            <w:noWrap w:val="0"/>
            <w:vAlign w:val="center"/>
          </w:tcPr>
          <w:p w14:paraId="6BBF6DF7">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01954266">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0A84D12A">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5A0BEAC8">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54A9AFE4">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36CF4CE9">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519313EA">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7CABEFCB">
            <w:pPr>
              <w:widowControl/>
              <w:adjustRightInd w:val="0"/>
              <w:snapToGrid w:val="0"/>
              <w:spacing w:after="120"/>
              <w:jc w:val="center"/>
              <w:rPr>
                <w:rFonts w:ascii="宋体" w:hAnsi="宋体" w:cs="仿宋"/>
                <w:sz w:val="24"/>
              </w:rPr>
            </w:pPr>
          </w:p>
        </w:tc>
      </w:tr>
      <w:tr w14:paraId="60BBC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23" w:type="dxa"/>
            <w:shd w:val="clear" w:color="auto" w:fill="auto"/>
            <w:noWrap w:val="0"/>
            <w:vAlign w:val="center"/>
          </w:tcPr>
          <w:p w14:paraId="2AABAE64">
            <w:pPr>
              <w:widowControl/>
              <w:adjustRightInd w:val="0"/>
              <w:snapToGrid w:val="0"/>
              <w:spacing w:after="120"/>
              <w:jc w:val="center"/>
              <w:rPr>
                <w:rFonts w:ascii="宋体" w:hAnsi="宋体" w:cs="仿宋"/>
                <w:sz w:val="24"/>
              </w:rPr>
            </w:pPr>
            <w:r>
              <w:rPr>
                <w:rFonts w:hint="eastAsia" w:ascii="宋体" w:hAnsi="宋体" w:cs="仿宋"/>
                <w:sz w:val="24"/>
                <w:lang w:val="zh-CN"/>
              </w:rPr>
              <w:t>14</w:t>
            </w:r>
          </w:p>
        </w:tc>
        <w:tc>
          <w:tcPr>
            <w:tcW w:w="1645" w:type="dxa"/>
            <w:shd w:val="clear" w:color="auto" w:fill="auto"/>
            <w:noWrap w:val="0"/>
            <w:vAlign w:val="center"/>
          </w:tcPr>
          <w:p w14:paraId="1F60CF81">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1BEB7DA0">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49616F82">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03594CE3">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5B28C161">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5722ADF9">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2818940D">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25030530">
            <w:pPr>
              <w:widowControl/>
              <w:adjustRightInd w:val="0"/>
              <w:snapToGrid w:val="0"/>
              <w:spacing w:after="120"/>
              <w:jc w:val="center"/>
              <w:rPr>
                <w:rFonts w:ascii="宋体" w:hAnsi="宋体" w:cs="仿宋"/>
                <w:sz w:val="24"/>
              </w:rPr>
            </w:pPr>
          </w:p>
        </w:tc>
      </w:tr>
      <w:tr w14:paraId="141E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03A22918">
            <w:pPr>
              <w:widowControl/>
              <w:adjustRightInd w:val="0"/>
              <w:snapToGrid w:val="0"/>
              <w:spacing w:after="120"/>
              <w:jc w:val="center"/>
              <w:rPr>
                <w:rFonts w:ascii="宋体" w:hAnsi="宋体" w:cs="仿宋"/>
                <w:sz w:val="24"/>
              </w:rPr>
            </w:pPr>
            <w:r>
              <w:rPr>
                <w:rFonts w:hint="eastAsia" w:ascii="宋体" w:hAnsi="宋体" w:cs="仿宋"/>
                <w:sz w:val="24"/>
                <w:lang w:val="zh-CN"/>
              </w:rPr>
              <w:t>15</w:t>
            </w:r>
          </w:p>
        </w:tc>
        <w:tc>
          <w:tcPr>
            <w:tcW w:w="1645" w:type="dxa"/>
            <w:shd w:val="clear" w:color="auto" w:fill="auto"/>
            <w:noWrap w:val="0"/>
            <w:vAlign w:val="center"/>
          </w:tcPr>
          <w:p w14:paraId="21F97333">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0446EDDE">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72EED5C9">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72BE14D2">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3420F12C">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66B6997E">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4BB9247B">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6B0278E2">
            <w:pPr>
              <w:widowControl/>
              <w:adjustRightInd w:val="0"/>
              <w:snapToGrid w:val="0"/>
              <w:spacing w:after="120"/>
              <w:jc w:val="center"/>
              <w:rPr>
                <w:rFonts w:ascii="宋体" w:hAnsi="宋体" w:cs="仿宋"/>
                <w:sz w:val="24"/>
              </w:rPr>
            </w:pPr>
          </w:p>
        </w:tc>
      </w:tr>
      <w:tr w14:paraId="60771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6B2221E6">
            <w:pPr>
              <w:widowControl/>
              <w:adjustRightInd w:val="0"/>
              <w:snapToGrid w:val="0"/>
              <w:spacing w:after="120"/>
              <w:jc w:val="center"/>
              <w:rPr>
                <w:rFonts w:ascii="宋体" w:hAnsi="宋体" w:cs="仿宋"/>
                <w:sz w:val="24"/>
              </w:rPr>
            </w:pPr>
            <w:r>
              <w:rPr>
                <w:rFonts w:hint="eastAsia" w:ascii="宋体" w:hAnsi="宋体" w:cs="仿宋"/>
                <w:sz w:val="24"/>
                <w:lang w:val="zh-CN"/>
              </w:rPr>
              <w:t>16</w:t>
            </w:r>
          </w:p>
        </w:tc>
        <w:tc>
          <w:tcPr>
            <w:tcW w:w="1645" w:type="dxa"/>
            <w:shd w:val="clear" w:color="auto" w:fill="auto"/>
            <w:noWrap w:val="0"/>
            <w:vAlign w:val="center"/>
          </w:tcPr>
          <w:p w14:paraId="2A77050D">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3440B352">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592B5230">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4E127880">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1BF8E61C">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74C058C6">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7D40FE6B">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674B622D">
            <w:pPr>
              <w:widowControl/>
              <w:adjustRightInd w:val="0"/>
              <w:snapToGrid w:val="0"/>
              <w:spacing w:after="120"/>
              <w:jc w:val="center"/>
              <w:rPr>
                <w:rFonts w:ascii="宋体" w:hAnsi="宋体" w:cs="仿宋"/>
                <w:sz w:val="24"/>
              </w:rPr>
            </w:pPr>
          </w:p>
        </w:tc>
      </w:tr>
      <w:tr w14:paraId="27E26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23A732B6">
            <w:pPr>
              <w:widowControl/>
              <w:adjustRightInd w:val="0"/>
              <w:snapToGrid w:val="0"/>
              <w:spacing w:after="120"/>
              <w:jc w:val="center"/>
              <w:rPr>
                <w:rFonts w:ascii="宋体" w:hAnsi="宋体" w:cs="仿宋"/>
                <w:sz w:val="24"/>
              </w:rPr>
            </w:pPr>
            <w:r>
              <w:rPr>
                <w:rFonts w:hint="eastAsia" w:ascii="宋体" w:hAnsi="宋体" w:cs="仿宋"/>
                <w:sz w:val="24"/>
                <w:lang w:val="zh-CN"/>
              </w:rPr>
              <w:t>17</w:t>
            </w:r>
          </w:p>
        </w:tc>
        <w:tc>
          <w:tcPr>
            <w:tcW w:w="1645" w:type="dxa"/>
            <w:shd w:val="clear" w:color="auto" w:fill="auto"/>
            <w:noWrap w:val="0"/>
            <w:vAlign w:val="center"/>
          </w:tcPr>
          <w:p w14:paraId="638CD694">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29A99ED9">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01087968">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638A83E9">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7E1DE319">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6F9B88F7">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367D0735">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5F482D08">
            <w:pPr>
              <w:widowControl/>
              <w:adjustRightInd w:val="0"/>
              <w:snapToGrid w:val="0"/>
              <w:spacing w:after="120"/>
              <w:jc w:val="center"/>
              <w:rPr>
                <w:rFonts w:ascii="宋体" w:hAnsi="宋体" w:cs="仿宋"/>
                <w:sz w:val="24"/>
              </w:rPr>
            </w:pPr>
          </w:p>
        </w:tc>
      </w:tr>
      <w:tr w14:paraId="2DC6C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79F4D90E">
            <w:pPr>
              <w:widowControl/>
              <w:adjustRightInd w:val="0"/>
              <w:snapToGrid w:val="0"/>
              <w:spacing w:after="120"/>
              <w:jc w:val="center"/>
              <w:rPr>
                <w:rFonts w:ascii="宋体" w:hAnsi="宋体" w:cs="仿宋"/>
                <w:sz w:val="24"/>
              </w:rPr>
            </w:pPr>
            <w:r>
              <w:rPr>
                <w:rFonts w:hint="eastAsia" w:ascii="宋体" w:hAnsi="宋体" w:cs="仿宋"/>
                <w:sz w:val="24"/>
                <w:lang w:val="zh-CN"/>
              </w:rPr>
              <w:t>18</w:t>
            </w:r>
          </w:p>
        </w:tc>
        <w:tc>
          <w:tcPr>
            <w:tcW w:w="1645" w:type="dxa"/>
            <w:shd w:val="clear" w:color="auto" w:fill="auto"/>
            <w:noWrap w:val="0"/>
            <w:vAlign w:val="center"/>
          </w:tcPr>
          <w:p w14:paraId="6686B88E">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3B539C52">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22FF5F47">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71DF976F">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616ECAB9">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28BF665E">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483AA450">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290495DD">
            <w:pPr>
              <w:widowControl/>
              <w:adjustRightInd w:val="0"/>
              <w:snapToGrid w:val="0"/>
              <w:spacing w:after="120"/>
              <w:jc w:val="center"/>
              <w:rPr>
                <w:rFonts w:ascii="宋体" w:hAnsi="宋体" w:cs="仿宋"/>
                <w:sz w:val="24"/>
              </w:rPr>
            </w:pPr>
          </w:p>
        </w:tc>
      </w:tr>
      <w:tr w14:paraId="5329E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23" w:type="dxa"/>
            <w:shd w:val="clear" w:color="auto" w:fill="auto"/>
            <w:noWrap w:val="0"/>
            <w:vAlign w:val="center"/>
          </w:tcPr>
          <w:p w14:paraId="59D0C55C">
            <w:pPr>
              <w:widowControl/>
              <w:adjustRightInd w:val="0"/>
              <w:snapToGrid w:val="0"/>
              <w:spacing w:after="120"/>
              <w:jc w:val="center"/>
              <w:rPr>
                <w:rFonts w:ascii="宋体" w:hAnsi="宋体" w:cs="仿宋"/>
                <w:sz w:val="24"/>
              </w:rPr>
            </w:pPr>
            <w:r>
              <w:rPr>
                <w:rFonts w:hint="eastAsia" w:ascii="宋体" w:hAnsi="宋体" w:cs="仿宋"/>
                <w:sz w:val="24"/>
                <w:lang w:val="zh-CN"/>
              </w:rPr>
              <w:t>19</w:t>
            </w:r>
          </w:p>
        </w:tc>
        <w:tc>
          <w:tcPr>
            <w:tcW w:w="1645" w:type="dxa"/>
            <w:shd w:val="clear" w:color="auto" w:fill="auto"/>
            <w:noWrap w:val="0"/>
            <w:vAlign w:val="center"/>
          </w:tcPr>
          <w:p w14:paraId="17AC48E5">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7B3B6E20">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5FA884EA">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1ADE2D05">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25CCA4E7">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04B52930">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4DBEABBD">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633DAFD0">
            <w:pPr>
              <w:widowControl/>
              <w:adjustRightInd w:val="0"/>
              <w:snapToGrid w:val="0"/>
              <w:spacing w:after="120"/>
              <w:jc w:val="center"/>
              <w:rPr>
                <w:rFonts w:ascii="宋体" w:hAnsi="宋体" w:cs="仿宋"/>
                <w:sz w:val="24"/>
              </w:rPr>
            </w:pPr>
          </w:p>
        </w:tc>
      </w:tr>
      <w:tr w14:paraId="323D5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23" w:type="dxa"/>
            <w:shd w:val="clear" w:color="auto" w:fill="auto"/>
            <w:noWrap w:val="0"/>
            <w:vAlign w:val="center"/>
          </w:tcPr>
          <w:p w14:paraId="591D3FBC">
            <w:pPr>
              <w:widowControl/>
              <w:adjustRightInd w:val="0"/>
              <w:snapToGrid w:val="0"/>
              <w:spacing w:after="120"/>
              <w:jc w:val="center"/>
              <w:rPr>
                <w:rFonts w:ascii="宋体" w:hAnsi="宋体" w:cs="仿宋"/>
                <w:sz w:val="24"/>
              </w:rPr>
            </w:pPr>
            <w:r>
              <w:rPr>
                <w:rFonts w:hint="eastAsia" w:ascii="宋体" w:hAnsi="宋体" w:cs="仿宋"/>
                <w:sz w:val="24"/>
                <w:lang w:val="zh-CN"/>
              </w:rPr>
              <w:t>20</w:t>
            </w:r>
          </w:p>
        </w:tc>
        <w:tc>
          <w:tcPr>
            <w:tcW w:w="1645" w:type="dxa"/>
            <w:shd w:val="clear" w:color="auto" w:fill="auto"/>
            <w:noWrap w:val="0"/>
            <w:vAlign w:val="center"/>
          </w:tcPr>
          <w:p w14:paraId="75F45D22">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62247DFE">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3226ECAF">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002158C1">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4D24CCE5">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2003521F">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68116B38">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4E27B3B3">
            <w:pPr>
              <w:widowControl/>
              <w:adjustRightInd w:val="0"/>
              <w:snapToGrid w:val="0"/>
              <w:spacing w:after="120"/>
              <w:jc w:val="center"/>
              <w:rPr>
                <w:rFonts w:ascii="宋体" w:hAnsi="宋体" w:cs="仿宋"/>
                <w:sz w:val="24"/>
              </w:rPr>
            </w:pPr>
          </w:p>
        </w:tc>
      </w:tr>
      <w:tr w14:paraId="0D944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3" w:type="dxa"/>
            <w:shd w:val="clear" w:color="auto" w:fill="auto"/>
            <w:noWrap w:val="0"/>
            <w:vAlign w:val="center"/>
          </w:tcPr>
          <w:p w14:paraId="244E5C3F">
            <w:pPr>
              <w:widowControl/>
              <w:adjustRightInd w:val="0"/>
              <w:snapToGrid w:val="0"/>
              <w:spacing w:after="120"/>
              <w:jc w:val="center"/>
              <w:rPr>
                <w:rFonts w:ascii="宋体" w:hAnsi="宋体" w:cs="仿宋"/>
                <w:sz w:val="24"/>
              </w:rPr>
            </w:pPr>
            <w:r>
              <w:rPr>
                <w:rFonts w:hint="eastAsia" w:ascii="宋体" w:hAnsi="宋体" w:cs="仿宋"/>
                <w:sz w:val="24"/>
              </w:rPr>
              <w:t>21</w:t>
            </w:r>
          </w:p>
        </w:tc>
        <w:tc>
          <w:tcPr>
            <w:tcW w:w="1645" w:type="dxa"/>
            <w:shd w:val="clear" w:color="auto" w:fill="auto"/>
            <w:noWrap w:val="0"/>
            <w:vAlign w:val="center"/>
          </w:tcPr>
          <w:p w14:paraId="0E9E2728">
            <w:pPr>
              <w:widowControl/>
              <w:adjustRightInd w:val="0"/>
              <w:snapToGrid w:val="0"/>
              <w:spacing w:after="120"/>
              <w:jc w:val="center"/>
              <w:rPr>
                <w:rFonts w:ascii="宋体" w:hAnsi="宋体" w:cs="仿宋"/>
                <w:bCs/>
                <w:sz w:val="24"/>
              </w:rPr>
            </w:pPr>
          </w:p>
        </w:tc>
        <w:tc>
          <w:tcPr>
            <w:tcW w:w="1776" w:type="dxa"/>
            <w:shd w:val="clear" w:color="auto" w:fill="auto"/>
            <w:noWrap w:val="0"/>
            <w:vAlign w:val="center"/>
          </w:tcPr>
          <w:p w14:paraId="45BBE941">
            <w:pPr>
              <w:widowControl/>
              <w:adjustRightInd w:val="0"/>
              <w:snapToGrid w:val="0"/>
              <w:spacing w:after="120"/>
              <w:jc w:val="center"/>
              <w:rPr>
                <w:rFonts w:ascii="宋体" w:hAnsi="宋体" w:cs="仿宋"/>
                <w:sz w:val="24"/>
              </w:rPr>
            </w:pPr>
          </w:p>
        </w:tc>
        <w:tc>
          <w:tcPr>
            <w:tcW w:w="590" w:type="dxa"/>
            <w:shd w:val="clear" w:color="auto" w:fill="auto"/>
            <w:noWrap w:val="0"/>
            <w:vAlign w:val="center"/>
          </w:tcPr>
          <w:p w14:paraId="6A869802">
            <w:pPr>
              <w:widowControl/>
              <w:adjustRightInd w:val="0"/>
              <w:snapToGrid w:val="0"/>
              <w:spacing w:after="120"/>
              <w:jc w:val="center"/>
              <w:rPr>
                <w:rFonts w:ascii="宋体" w:hAnsi="宋体" w:cs="仿宋"/>
                <w:sz w:val="24"/>
              </w:rPr>
            </w:pPr>
          </w:p>
        </w:tc>
        <w:tc>
          <w:tcPr>
            <w:tcW w:w="815" w:type="dxa"/>
            <w:shd w:val="clear" w:color="auto" w:fill="auto"/>
            <w:noWrap w:val="0"/>
            <w:vAlign w:val="center"/>
          </w:tcPr>
          <w:p w14:paraId="299F5D99">
            <w:pPr>
              <w:widowControl/>
              <w:adjustRightInd w:val="0"/>
              <w:snapToGrid w:val="0"/>
              <w:spacing w:after="120"/>
              <w:jc w:val="center"/>
              <w:rPr>
                <w:rFonts w:ascii="宋体" w:hAnsi="宋体" w:cs="仿宋"/>
                <w:sz w:val="24"/>
              </w:rPr>
            </w:pPr>
          </w:p>
        </w:tc>
        <w:tc>
          <w:tcPr>
            <w:tcW w:w="822" w:type="dxa"/>
            <w:shd w:val="clear" w:color="auto" w:fill="auto"/>
            <w:noWrap w:val="0"/>
            <w:vAlign w:val="center"/>
          </w:tcPr>
          <w:p w14:paraId="6BAE5BAC">
            <w:pPr>
              <w:widowControl/>
              <w:adjustRightInd w:val="0"/>
              <w:snapToGrid w:val="0"/>
              <w:spacing w:after="120"/>
              <w:jc w:val="center"/>
              <w:rPr>
                <w:rFonts w:ascii="宋体" w:hAnsi="宋体" w:cs="仿宋"/>
                <w:sz w:val="24"/>
              </w:rPr>
            </w:pPr>
          </w:p>
        </w:tc>
        <w:tc>
          <w:tcPr>
            <w:tcW w:w="1056" w:type="dxa"/>
            <w:shd w:val="clear" w:color="auto" w:fill="auto"/>
            <w:noWrap w:val="0"/>
            <w:vAlign w:val="center"/>
          </w:tcPr>
          <w:p w14:paraId="354B21FD">
            <w:pPr>
              <w:widowControl/>
              <w:adjustRightInd w:val="0"/>
              <w:snapToGrid w:val="0"/>
              <w:spacing w:after="120"/>
              <w:jc w:val="center"/>
              <w:rPr>
                <w:rFonts w:ascii="宋体" w:hAnsi="宋体" w:cs="仿宋"/>
                <w:sz w:val="24"/>
              </w:rPr>
            </w:pPr>
          </w:p>
        </w:tc>
        <w:tc>
          <w:tcPr>
            <w:tcW w:w="749" w:type="dxa"/>
            <w:shd w:val="clear" w:color="auto" w:fill="auto"/>
            <w:noWrap w:val="0"/>
            <w:vAlign w:val="center"/>
          </w:tcPr>
          <w:p w14:paraId="22C09C96">
            <w:pPr>
              <w:widowControl/>
              <w:adjustRightInd w:val="0"/>
              <w:snapToGrid w:val="0"/>
              <w:spacing w:after="120"/>
              <w:jc w:val="center"/>
              <w:rPr>
                <w:rFonts w:ascii="宋体" w:hAnsi="宋体" w:cs="仿宋"/>
                <w:sz w:val="24"/>
              </w:rPr>
            </w:pPr>
          </w:p>
        </w:tc>
        <w:tc>
          <w:tcPr>
            <w:tcW w:w="1379" w:type="dxa"/>
            <w:shd w:val="clear" w:color="auto" w:fill="auto"/>
            <w:noWrap w:val="0"/>
            <w:vAlign w:val="center"/>
          </w:tcPr>
          <w:p w14:paraId="30411DC1">
            <w:pPr>
              <w:widowControl/>
              <w:adjustRightInd w:val="0"/>
              <w:snapToGrid w:val="0"/>
              <w:spacing w:after="120"/>
              <w:jc w:val="center"/>
              <w:rPr>
                <w:rFonts w:ascii="宋体" w:hAnsi="宋体" w:cs="仿宋"/>
                <w:sz w:val="24"/>
              </w:rPr>
            </w:pPr>
          </w:p>
        </w:tc>
      </w:tr>
    </w:tbl>
    <w:p w14:paraId="200C5E83">
      <w:pPr>
        <w:adjustRightInd w:val="0"/>
        <w:snapToGrid w:val="0"/>
        <w:spacing w:line="360" w:lineRule="auto"/>
        <w:outlineLvl w:val="1"/>
        <w:rPr>
          <w:rFonts w:ascii="黑体" w:hAnsi="黑体" w:eastAsia="黑体" w:cs="仿宋"/>
          <w:bCs/>
          <w:sz w:val="32"/>
          <w:szCs w:val="32"/>
        </w:rPr>
      </w:pPr>
      <w:r>
        <w:rPr>
          <w:rFonts w:hint="eastAsia" w:ascii="仿宋" w:hAnsi="仿宋" w:eastAsia="仿宋_GB2312" w:cs="仿宋"/>
          <w:sz w:val="24"/>
        </w:rPr>
        <w:br w:type="page"/>
      </w:r>
      <w:r>
        <w:rPr>
          <w:rFonts w:hint="eastAsia" w:ascii="黑体" w:hAnsi="黑体" w:eastAsia="黑体" w:cs="仿宋"/>
          <w:bCs/>
          <w:sz w:val="32"/>
          <w:szCs w:val="32"/>
        </w:rPr>
        <w:t>附件6：</w:t>
      </w:r>
    </w:p>
    <w:p w14:paraId="1A1A2DF4">
      <w:pPr>
        <w:adjustRightInd w:val="0"/>
        <w:snapToGrid w:val="0"/>
        <w:spacing w:line="360" w:lineRule="auto"/>
        <w:jc w:val="center"/>
        <w:rPr>
          <w:rFonts w:ascii="黑体" w:hAnsi="黑体" w:eastAsia="黑体" w:cs="仿宋"/>
          <w:sz w:val="32"/>
          <w:szCs w:val="32"/>
        </w:rPr>
      </w:pPr>
      <w:bookmarkStart w:id="38" w:name="_Toc11590494"/>
      <w:bookmarkStart w:id="39" w:name="_Toc176786394"/>
      <w:bookmarkStart w:id="40" w:name="_Toc217983401"/>
      <w:bookmarkStart w:id="41" w:name="_Toc59006215"/>
      <w:bookmarkStart w:id="42" w:name="_Toc178155244"/>
      <w:r>
        <w:rPr>
          <w:rFonts w:hint="eastAsia" w:ascii="黑体" w:hAnsi="黑体" w:eastAsia="黑体" w:cs="仿宋"/>
          <w:sz w:val="32"/>
          <w:szCs w:val="32"/>
        </w:rPr>
        <w:t>承包人主要施工管理人员表</w:t>
      </w:r>
      <w:bookmarkEnd w:id="38"/>
      <w:bookmarkEnd w:id="39"/>
      <w:bookmarkEnd w:id="40"/>
      <w:bookmarkEnd w:id="41"/>
      <w:bookmarkEnd w:id="42"/>
    </w:p>
    <w:tbl>
      <w:tblPr>
        <w:tblStyle w:val="33"/>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38"/>
        <w:gridCol w:w="1213"/>
        <w:gridCol w:w="1475"/>
        <w:gridCol w:w="1246"/>
        <w:gridCol w:w="4437"/>
      </w:tblGrid>
      <w:tr w14:paraId="7A598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jc w:val="center"/>
        </w:trPr>
        <w:tc>
          <w:tcPr>
            <w:tcW w:w="1438" w:type="dxa"/>
            <w:tcBorders>
              <w:top w:val="single" w:color="auto" w:sz="12" w:space="0"/>
              <w:bottom w:val="double" w:color="auto" w:sz="6" w:space="0"/>
            </w:tcBorders>
            <w:noWrap w:val="0"/>
            <w:vAlign w:val="center"/>
          </w:tcPr>
          <w:p w14:paraId="13464A16">
            <w:pPr>
              <w:keepNext/>
              <w:adjustRightInd w:val="0"/>
              <w:snapToGrid w:val="0"/>
              <w:spacing w:line="312" w:lineRule="auto"/>
              <w:ind w:left="62" w:right="62"/>
              <w:jc w:val="center"/>
              <w:rPr>
                <w:rFonts w:ascii="宋体" w:hAnsi="宋体" w:cs="仿宋"/>
                <w:sz w:val="24"/>
              </w:rPr>
            </w:pPr>
            <w:r>
              <w:rPr>
                <w:rFonts w:hint="eastAsia" w:ascii="宋体" w:hAnsi="宋体" w:cs="仿宋"/>
                <w:sz w:val="24"/>
              </w:rPr>
              <w:t>名称</w:t>
            </w:r>
          </w:p>
        </w:tc>
        <w:tc>
          <w:tcPr>
            <w:tcW w:w="1213" w:type="dxa"/>
            <w:tcBorders>
              <w:top w:val="single" w:color="auto" w:sz="12" w:space="0"/>
              <w:bottom w:val="double" w:color="auto" w:sz="6" w:space="0"/>
            </w:tcBorders>
            <w:noWrap w:val="0"/>
            <w:vAlign w:val="center"/>
          </w:tcPr>
          <w:p w14:paraId="67F0F1D5">
            <w:pPr>
              <w:keepNext/>
              <w:adjustRightInd w:val="0"/>
              <w:snapToGrid w:val="0"/>
              <w:spacing w:line="312" w:lineRule="auto"/>
              <w:ind w:left="62" w:right="62"/>
              <w:jc w:val="center"/>
              <w:rPr>
                <w:rFonts w:ascii="宋体" w:hAnsi="宋体" w:cs="仿宋"/>
                <w:sz w:val="24"/>
              </w:rPr>
            </w:pPr>
            <w:r>
              <w:rPr>
                <w:rFonts w:hint="eastAsia" w:ascii="宋体" w:hAnsi="宋体" w:cs="仿宋"/>
                <w:sz w:val="24"/>
              </w:rPr>
              <w:t>姓名</w:t>
            </w:r>
          </w:p>
        </w:tc>
        <w:tc>
          <w:tcPr>
            <w:tcW w:w="1475" w:type="dxa"/>
            <w:tcBorders>
              <w:top w:val="single" w:color="auto" w:sz="12" w:space="0"/>
              <w:bottom w:val="double" w:color="auto" w:sz="6" w:space="0"/>
            </w:tcBorders>
            <w:noWrap w:val="0"/>
            <w:vAlign w:val="center"/>
          </w:tcPr>
          <w:p w14:paraId="174F70B4">
            <w:pPr>
              <w:keepNext/>
              <w:adjustRightInd w:val="0"/>
              <w:snapToGrid w:val="0"/>
              <w:spacing w:line="312" w:lineRule="auto"/>
              <w:ind w:left="62" w:right="62"/>
              <w:jc w:val="center"/>
              <w:rPr>
                <w:rFonts w:ascii="宋体" w:hAnsi="宋体" w:cs="仿宋"/>
                <w:sz w:val="24"/>
              </w:rPr>
            </w:pPr>
            <w:r>
              <w:rPr>
                <w:rFonts w:hint="eastAsia" w:ascii="宋体" w:hAnsi="宋体" w:cs="仿宋"/>
                <w:sz w:val="24"/>
              </w:rPr>
              <w:t>职务</w:t>
            </w:r>
          </w:p>
        </w:tc>
        <w:tc>
          <w:tcPr>
            <w:tcW w:w="1246" w:type="dxa"/>
            <w:tcBorders>
              <w:top w:val="single" w:color="auto" w:sz="12" w:space="0"/>
              <w:bottom w:val="double" w:color="auto" w:sz="6" w:space="0"/>
            </w:tcBorders>
            <w:noWrap w:val="0"/>
            <w:vAlign w:val="center"/>
          </w:tcPr>
          <w:p w14:paraId="6C101598">
            <w:pPr>
              <w:keepNext/>
              <w:adjustRightInd w:val="0"/>
              <w:snapToGrid w:val="0"/>
              <w:spacing w:line="312" w:lineRule="auto"/>
              <w:ind w:left="62" w:right="62"/>
              <w:jc w:val="center"/>
              <w:rPr>
                <w:rFonts w:ascii="宋体" w:hAnsi="宋体" w:cs="仿宋"/>
                <w:sz w:val="24"/>
              </w:rPr>
            </w:pPr>
            <w:r>
              <w:rPr>
                <w:rFonts w:hint="eastAsia" w:ascii="宋体" w:hAnsi="宋体" w:cs="仿宋"/>
                <w:sz w:val="24"/>
              </w:rPr>
              <w:t>职称</w:t>
            </w:r>
          </w:p>
        </w:tc>
        <w:tc>
          <w:tcPr>
            <w:tcW w:w="4437" w:type="dxa"/>
            <w:tcBorders>
              <w:top w:val="single" w:color="auto" w:sz="12" w:space="0"/>
              <w:bottom w:val="double" w:color="auto" w:sz="6" w:space="0"/>
            </w:tcBorders>
            <w:noWrap w:val="0"/>
            <w:vAlign w:val="center"/>
          </w:tcPr>
          <w:p w14:paraId="0C683D9A">
            <w:pPr>
              <w:keepNext/>
              <w:adjustRightInd w:val="0"/>
              <w:snapToGrid w:val="0"/>
              <w:spacing w:line="312" w:lineRule="auto"/>
              <w:ind w:left="62" w:right="62"/>
              <w:jc w:val="center"/>
              <w:rPr>
                <w:rFonts w:ascii="宋体" w:hAnsi="宋体" w:cs="仿宋"/>
                <w:sz w:val="24"/>
              </w:rPr>
            </w:pPr>
            <w:r>
              <w:rPr>
                <w:rFonts w:hint="eastAsia" w:ascii="宋体" w:hAnsi="宋体" w:cs="仿宋"/>
                <w:sz w:val="24"/>
              </w:rPr>
              <w:t>主要资历、经验及承担过的项目</w:t>
            </w:r>
          </w:p>
        </w:tc>
      </w:tr>
      <w:tr w14:paraId="542FF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0" w:hRule="atLeast"/>
          <w:jc w:val="center"/>
        </w:trPr>
        <w:tc>
          <w:tcPr>
            <w:tcW w:w="1438" w:type="dxa"/>
            <w:tcBorders>
              <w:top w:val="single" w:color="auto" w:sz="6" w:space="0"/>
              <w:bottom w:val="single" w:color="auto" w:sz="6" w:space="0"/>
            </w:tcBorders>
            <w:noWrap w:val="0"/>
            <w:vAlign w:val="center"/>
          </w:tcPr>
          <w:p w14:paraId="5C304238">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69D9B6C8">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1B22B8B6">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1A586E96">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0D167751">
            <w:pPr>
              <w:keepNext/>
              <w:adjustRightInd w:val="0"/>
              <w:snapToGrid w:val="0"/>
              <w:spacing w:line="312" w:lineRule="auto"/>
              <w:ind w:left="62" w:right="62"/>
              <w:jc w:val="center"/>
              <w:rPr>
                <w:rFonts w:ascii="宋体" w:hAnsi="宋体" w:cs="仿宋"/>
                <w:sz w:val="24"/>
              </w:rPr>
            </w:pPr>
          </w:p>
        </w:tc>
      </w:tr>
      <w:tr w14:paraId="7A621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438" w:type="dxa"/>
            <w:tcBorders>
              <w:top w:val="single" w:color="auto" w:sz="6" w:space="0"/>
              <w:bottom w:val="single" w:color="auto" w:sz="6" w:space="0"/>
            </w:tcBorders>
            <w:noWrap w:val="0"/>
            <w:vAlign w:val="center"/>
          </w:tcPr>
          <w:p w14:paraId="03E7A005">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77BD45CE">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58D1493E">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E1DB923">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7AFB4886">
            <w:pPr>
              <w:keepNext/>
              <w:adjustRightInd w:val="0"/>
              <w:snapToGrid w:val="0"/>
              <w:spacing w:line="312" w:lineRule="auto"/>
              <w:ind w:left="62" w:right="62"/>
              <w:jc w:val="center"/>
              <w:rPr>
                <w:rFonts w:ascii="宋体" w:hAnsi="宋体" w:cs="仿宋"/>
                <w:sz w:val="24"/>
              </w:rPr>
            </w:pPr>
          </w:p>
        </w:tc>
      </w:tr>
      <w:tr w14:paraId="350E1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7" w:hRule="atLeast"/>
          <w:jc w:val="center"/>
        </w:trPr>
        <w:tc>
          <w:tcPr>
            <w:tcW w:w="1438" w:type="dxa"/>
            <w:tcBorders>
              <w:top w:val="single" w:color="auto" w:sz="6" w:space="0"/>
              <w:bottom w:val="single" w:color="auto" w:sz="6" w:space="0"/>
            </w:tcBorders>
            <w:noWrap w:val="0"/>
            <w:vAlign w:val="center"/>
          </w:tcPr>
          <w:p w14:paraId="46689098">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04764FB0">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1ADF62FF">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014A2256">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4ED66620">
            <w:pPr>
              <w:keepNext/>
              <w:adjustRightInd w:val="0"/>
              <w:snapToGrid w:val="0"/>
              <w:spacing w:line="312" w:lineRule="auto"/>
              <w:ind w:left="62" w:right="62"/>
              <w:jc w:val="center"/>
              <w:rPr>
                <w:rFonts w:ascii="宋体" w:hAnsi="宋体" w:cs="仿宋"/>
                <w:sz w:val="24"/>
              </w:rPr>
            </w:pPr>
          </w:p>
        </w:tc>
      </w:tr>
      <w:tr w14:paraId="08513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5" w:hRule="atLeast"/>
          <w:jc w:val="center"/>
        </w:trPr>
        <w:tc>
          <w:tcPr>
            <w:tcW w:w="1438" w:type="dxa"/>
            <w:tcBorders>
              <w:top w:val="single" w:color="auto" w:sz="6" w:space="0"/>
              <w:bottom w:val="single" w:color="auto" w:sz="6" w:space="0"/>
            </w:tcBorders>
            <w:noWrap w:val="0"/>
            <w:vAlign w:val="center"/>
          </w:tcPr>
          <w:p w14:paraId="347F9CFF">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783FCE63">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1741CECC">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2347C794">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48A64F24">
            <w:pPr>
              <w:keepNext/>
              <w:adjustRightInd w:val="0"/>
              <w:snapToGrid w:val="0"/>
              <w:spacing w:line="312" w:lineRule="auto"/>
              <w:ind w:left="62" w:right="62"/>
              <w:jc w:val="center"/>
              <w:rPr>
                <w:rFonts w:ascii="宋体" w:hAnsi="宋体" w:cs="仿宋"/>
                <w:sz w:val="24"/>
              </w:rPr>
            </w:pPr>
          </w:p>
        </w:tc>
      </w:tr>
      <w:tr w14:paraId="5E8086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572383C5">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6C4B3B2A">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41FDAA57">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DEA73A6">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60F1B2F6">
            <w:pPr>
              <w:keepNext/>
              <w:adjustRightInd w:val="0"/>
              <w:snapToGrid w:val="0"/>
              <w:spacing w:line="312" w:lineRule="auto"/>
              <w:ind w:left="62" w:right="62"/>
              <w:jc w:val="center"/>
              <w:rPr>
                <w:rFonts w:ascii="宋体" w:hAnsi="宋体" w:cs="仿宋"/>
                <w:sz w:val="24"/>
              </w:rPr>
            </w:pPr>
          </w:p>
        </w:tc>
      </w:tr>
      <w:tr w14:paraId="127C75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44B1E66B">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0984D8A0">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2F93B559">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0F8062E6">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5A198515">
            <w:pPr>
              <w:keepNext/>
              <w:adjustRightInd w:val="0"/>
              <w:snapToGrid w:val="0"/>
              <w:spacing w:line="312" w:lineRule="auto"/>
              <w:ind w:left="62" w:right="62"/>
              <w:jc w:val="center"/>
              <w:rPr>
                <w:rFonts w:ascii="宋体" w:hAnsi="宋体" w:cs="仿宋"/>
                <w:sz w:val="24"/>
              </w:rPr>
            </w:pPr>
          </w:p>
        </w:tc>
      </w:tr>
      <w:tr w14:paraId="2A0FE7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76054341">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4C8A654D">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48E902C0">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4F970E52">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0E5753CA">
            <w:pPr>
              <w:keepNext/>
              <w:adjustRightInd w:val="0"/>
              <w:snapToGrid w:val="0"/>
              <w:spacing w:line="312" w:lineRule="auto"/>
              <w:ind w:left="62" w:right="62"/>
              <w:jc w:val="center"/>
              <w:rPr>
                <w:rFonts w:ascii="宋体" w:hAnsi="宋体" w:cs="仿宋"/>
                <w:sz w:val="24"/>
              </w:rPr>
            </w:pPr>
          </w:p>
        </w:tc>
      </w:tr>
      <w:tr w14:paraId="03D15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139DA71C">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46068336">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09F06113">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9B5D487">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6BAF44DC">
            <w:pPr>
              <w:keepNext/>
              <w:adjustRightInd w:val="0"/>
              <w:snapToGrid w:val="0"/>
              <w:spacing w:line="312" w:lineRule="auto"/>
              <w:ind w:left="62" w:right="62"/>
              <w:jc w:val="center"/>
              <w:rPr>
                <w:rFonts w:ascii="宋体" w:hAnsi="宋体" w:cs="仿宋"/>
                <w:sz w:val="24"/>
              </w:rPr>
            </w:pPr>
          </w:p>
        </w:tc>
      </w:tr>
      <w:tr w14:paraId="19C60B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053A0D2A">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22084136">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0CB9408A">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06AE521B">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5B43F72F">
            <w:pPr>
              <w:keepNext/>
              <w:adjustRightInd w:val="0"/>
              <w:snapToGrid w:val="0"/>
              <w:spacing w:line="312" w:lineRule="auto"/>
              <w:ind w:left="62" w:right="62"/>
              <w:jc w:val="center"/>
              <w:rPr>
                <w:rFonts w:ascii="宋体" w:hAnsi="宋体" w:cs="仿宋"/>
                <w:sz w:val="24"/>
              </w:rPr>
            </w:pPr>
          </w:p>
        </w:tc>
      </w:tr>
      <w:tr w14:paraId="43CB7A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6E2A2F83">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2345FBB1">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0219BF6F">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7306DC85">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123D76E2">
            <w:pPr>
              <w:keepNext/>
              <w:adjustRightInd w:val="0"/>
              <w:snapToGrid w:val="0"/>
              <w:spacing w:line="312" w:lineRule="auto"/>
              <w:ind w:left="62" w:right="62"/>
              <w:jc w:val="center"/>
              <w:rPr>
                <w:rFonts w:ascii="宋体" w:hAnsi="宋体" w:cs="仿宋"/>
                <w:sz w:val="24"/>
              </w:rPr>
            </w:pPr>
          </w:p>
        </w:tc>
      </w:tr>
      <w:tr w14:paraId="093BCA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16E7E914">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3CC8256B">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27C76260">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6CC045E7">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58C7C7B7">
            <w:pPr>
              <w:keepNext/>
              <w:adjustRightInd w:val="0"/>
              <w:snapToGrid w:val="0"/>
              <w:spacing w:line="312" w:lineRule="auto"/>
              <w:ind w:left="62" w:right="62"/>
              <w:jc w:val="center"/>
              <w:rPr>
                <w:rFonts w:ascii="宋体" w:hAnsi="宋体" w:cs="仿宋"/>
                <w:sz w:val="24"/>
              </w:rPr>
            </w:pPr>
          </w:p>
        </w:tc>
      </w:tr>
      <w:tr w14:paraId="7A582D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4B58CA0A">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2843CE88">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64A4B42A">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10E490CD">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08ECBDE7">
            <w:pPr>
              <w:keepNext/>
              <w:adjustRightInd w:val="0"/>
              <w:snapToGrid w:val="0"/>
              <w:spacing w:line="312" w:lineRule="auto"/>
              <w:ind w:left="62" w:right="62"/>
              <w:jc w:val="center"/>
              <w:rPr>
                <w:rFonts w:ascii="宋体" w:hAnsi="宋体" w:cs="仿宋"/>
                <w:sz w:val="24"/>
              </w:rPr>
            </w:pPr>
          </w:p>
        </w:tc>
      </w:tr>
      <w:tr w14:paraId="6B0DF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741E6DCE">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1FBE9DC7">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39FFB936">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61EDEB2D">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4EC124FF">
            <w:pPr>
              <w:keepNext/>
              <w:adjustRightInd w:val="0"/>
              <w:snapToGrid w:val="0"/>
              <w:spacing w:line="312" w:lineRule="auto"/>
              <w:ind w:left="62" w:right="62"/>
              <w:jc w:val="center"/>
              <w:rPr>
                <w:rFonts w:ascii="宋体" w:hAnsi="宋体" w:cs="仿宋"/>
                <w:sz w:val="24"/>
              </w:rPr>
            </w:pPr>
          </w:p>
        </w:tc>
      </w:tr>
      <w:tr w14:paraId="7BF932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2064FDFE">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034B2B27">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26F87CF4">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5510D52F">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3C06C790">
            <w:pPr>
              <w:keepNext/>
              <w:adjustRightInd w:val="0"/>
              <w:snapToGrid w:val="0"/>
              <w:spacing w:line="312" w:lineRule="auto"/>
              <w:ind w:left="62" w:right="62"/>
              <w:jc w:val="center"/>
              <w:rPr>
                <w:rFonts w:ascii="宋体" w:hAnsi="宋体" w:cs="仿宋"/>
                <w:sz w:val="24"/>
              </w:rPr>
            </w:pPr>
          </w:p>
        </w:tc>
      </w:tr>
      <w:tr w14:paraId="3DE22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5" w:hRule="atLeast"/>
          <w:jc w:val="center"/>
        </w:trPr>
        <w:tc>
          <w:tcPr>
            <w:tcW w:w="1438" w:type="dxa"/>
            <w:tcBorders>
              <w:top w:val="single" w:color="auto" w:sz="6" w:space="0"/>
              <w:bottom w:val="single" w:color="auto" w:sz="6" w:space="0"/>
            </w:tcBorders>
            <w:noWrap w:val="0"/>
            <w:vAlign w:val="center"/>
          </w:tcPr>
          <w:p w14:paraId="77D004C6">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1330928F">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23FF7BCA">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135D4035">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4E3E3724">
            <w:pPr>
              <w:keepNext/>
              <w:adjustRightInd w:val="0"/>
              <w:snapToGrid w:val="0"/>
              <w:spacing w:line="312" w:lineRule="auto"/>
              <w:ind w:left="62" w:right="62"/>
              <w:jc w:val="center"/>
              <w:rPr>
                <w:rFonts w:ascii="宋体" w:hAnsi="宋体" w:cs="仿宋"/>
                <w:sz w:val="24"/>
              </w:rPr>
            </w:pPr>
          </w:p>
        </w:tc>
      </w:tr>
      <w:tr w14:paraId="40EFEC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4" w:hRule="atLeast"/>
          <w:jc w:val="center"/>
        </w:trPr>
        <w:tc>
          <w:tcPr>
            <w:tcW w:w="1438" w:type="dxa"/>
            <w:tcBorders>
              <w:top w:val="single" w:color="auto" w:sz="6" w:space="0"/>
              <w:bottom w:val="single" w:color="auto" w:sz="6" w:space="0"/>
            </w:tcBorders>
            <w:noWrap w:val="0"/>
            <w:vAlign w:val="center"/>
          </w:tcPr>
          <w:p w14:paraId="36A26231">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32369CC2">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365C5DEA">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114DB06">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7F938760">
            <w:pPr>
              <w:keepNext/>
              <w:adjustRightInd w:val="0"/>
              <w:snapToGrid w:val="0"/>
              <w:spacing w:line="312" w:lineRule="auto"/>
              <w:ind w:left="62" w:right="62"/>
              <w:jc w:val="center"/>
              <w:rPr>
                <w:rFonts w:ascii="宋体" w:hAnsi="宋体" w:cs="仿宋"/>
                <w:sz w:val="24"/>
              </w:rPr>
            </w:pPr>
          </w:p>
        </w:tc>
      </w:tr>
      <w:tr w14:paraId="198CCC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438" w:type="dxa"/>
            <w:tcBorders>
              <w:top w:val="single" w:color="auto" w:sz="6" w:space="0"/>
              <w:bottom w:val="single" w:color="auto" w:sz="6" w:space="0"/>
            </w:tcBorders>
            <w:noWrap w:val="0"/>
            <w:vAlign w:val="center"/>
          </w:tcPr>
          <w:p w14:paraId="71F90512">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3356F7F1">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3575C082">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2E12D87B">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4D14D724">
            <w:pPr>
              <w:keepNext/>
              <w:adjustRightInd w:val="0"/>
              <w:snapToGrid w:val="0"/>
              <w:spacing w:line="312" w:lineRule="auto"/>
              <w:ind w:left="62" w:right="62"/>
              <w:jc w:val="center"/>
              <w:rPr>
                <w:rFonts w:ascii="宋体" w:hAnsi="宋体" w:cs="仿宋"/>
                <w:sz w:val="24"/>
              </w:rPr>
            </w:pPr>
          </w:p>
        </w:tc>
      </w:tr>
    </w:tbl>
    <w:p w14:paraId="34F38065">
      <w:pPr>
        <w:adjustRightInd w:val="0"/>
        <w:snapToGrid w:val="0"/>
        <w:spacing w:line="360" w:lineRule="auto"/>
        <w:outlineLvl w:val="1"/>
        <w:rPr>
          <w:rFonts w:ascii="黑体" w:hAnsi="黑体" w:eastAsia="黑体" w:cs="仿宋"/>
          <w:bCs/>
          <w:sz w:val="32"/>
          <w:szCs w:val="32"/>
        </w:rPr>
      </w:pPr>
      <w:r>
        <w:rPr>
          <w:rFonts w:hint="eastAsia" w:ascii="仿宋" w:hAnsi="仿宋" w:eastAsia="仿宋_GB2312" w:cs="仿宋"/>
          <w:sz w:val="24"/>
        </w:rPr>
        <w:br w:type="column"/>
      </w:r>
      <w:r>
        <w:rPr>
          <w:rFonts w:hint="eastAsia" w:ascii="黑体" w:hAnsi="黑体" w:eastAsia="黑体" w:cs="仿宋"/>
          <w:bCs/>
          <w:sz w:val="32"/>
          <w:szCs w:val="32"/>
        </w:rPr>
        <w:t>附件7：</w:t>
      </w:r>
    </w:p>
    <w:p w14:paraId="2C3C96D0">
      <w:pPr>
        <w:adjustRightInd w:val="0"/>
        <w:snapToGrid w:val="0"/>
        <w:spacing w:line="360" w:lineRule="auto"/>
        <w:jc w:val="center"/>
        <w:rPr>
          <w:rFonts w:ascii="黑体" w:hAnsi="黑体" w:eastAsia="黑体" w:cs="仿宋"/>
          <w:sz w:val="32"/>
          <w:szCs w:val="32"/>
        </w:rPr>
      </w:pPr>
      <w:bookmarkStart w:id="43" w:name="_Toc176786395"/>
      <w:bookmarkStart w:id="44" w:name="_Toc217983402"/>
      <w:bookmarkStart w:id="45" w:name="_Toc59006216"/>
      <w:bookmarkStart w:id="46" w:name="_Toc178155245"/>
      <w:bookmarkStart w:id="47" w:name="_Toc11590495"/>
      <w:r>
        <w:rPr>
          <w:rFonts w:hint="eastAsia" w:ascii="黑体" w:hAnsi="黑体" w:eastAsia="黑体" w:cs="仿宋"/>
          <w:sz w:val="32"/>
          <w:szCs w:val="32"/>
        </w:rPr>
        <w:t>分包人主要施工管理人员表</w:t>
      </w:r>
      <w:bookmarkEnd w:id="43"/>
      <w:bookmarkEnd w:id="44"/>
      <w:bookmarkEnd w:id="45"/>
      <w:bookmarkEnd w:id="46"/>
      <w:bookmarkEnd w:id="47"/>
    </w:p>
    <w:tbl>
      <w:tblPr>
        <w:tblStyle w:val="33"/>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38"/>
        <w:gridCol w:w="1213"/>
        <w:gridCol w:w="1475"/>
        <w:gridCol w:w="1246"/>
        <w:gridCol w:w="4437"/>
      </w:tblGrid>
      <w:tr w14:paraId="404611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jc w:val="center"/>
        </w:trPr>
        <w:tc>
          <w:tcPr>
            <w:tcW w:w="1438" w:type="dxa"/>
            <w:tcBorders>
              <w:top w:val="single" w:color="auto" w:sz="12" w:space="0"/>
              <w:bottom w:val="double" w:color="auto" w:sz="6" w:space="0"/>
            </w:tcBorders>
            <w:noWrap w:val="0"/>
            <w:vAlign w:val="center"/>
          </w:tcPr>
          <w:p w14:paraId="3D7B45EA">
            <w:pPr>
              <w:keepNext/>
              <w:adjustRightInd w:val="0"/>
              <w:snapToGrid w:val="0"/>
              <w:spacing w:line="312" w:lineRule="auto"/>
              <w:ind w:left="62" w:right="62"/>
              <w:jc w:val="center"/>
              <w:rPr>
                <w:rFonts w:ascii="宋体" w:hAnsi="宋体" w:cs="仿宋"/>
                <w:sz w:val="24"/>
              </w:rPr>
            </w:pPr>
            <w:r>
              <w:rPr>
                <w:rFonts w:hint="eastAsia" w:ascii="宋体" w:hAnsi="宋体" w:cs="仿宋"/>
                <w:sz w:val="24"/>
              </w:rPr>
              <w:t>名称</w:t>
            </w:r>
          </w:p>
        </w:tc>
        <w:tc>
          <w:tcPr>
            <w:tcW w:w="1213" w:type="dxa"/>
            <w:tcBorders>
              <w:top w:val="single" w:color="auto" w:sz="12" w:space="0"/>
              <w:bottom w:val="double" w:color="auto" w:sz="6" w:space="0"/>
            </w:tcBorders>
            <w:noWrap w:val="0"/>
            <w:vAlign w:val="center"/>
          </w:tcPr>
          <w:p w14:paraId="44B673A5">
            <w:pPr>
              <w:keepNext/>
              <w:adjustRightInd w:val="0"/>
              <w:snapToGrid w:val="0"/>
              <w:spacing w:line="312" w:lineRule="auto"/>
              <w:ind w:left="62" w:right="62"/>
              <w:jc w:val="center"/>
              <w:rPr>
                <w:rFonts w:ascii="宋体" w:hAnsi="宋体" w:cs="仿宋"/>
                <w:sz w:val="24"/>
              </w:rPr>
            </w:pPr>
            <w:r>
              <w:rPr>
                <w:rFonts w:hint="eastAsia" w:ascii="宋体" w:hAnsi="宋体" w:cs="仿宋"/>
                <w:sz w:val="24"/>
              </w:rPr>
              <w:t>姓名</w:t>
            </w:r>
          </w:p>
        </w:tc>
        <w:tc>
          <w:tcPr>
            <w:tcW w:w="1475" w:type="dxa"/>
            <w:tcBorders>
              <w:top w:val="single" w:color="auto" w:sz="12" w:space="0"/>
              <w:bottom w:val="double" w:color="auto" w:sz="6" w:space="0"/>
            </w:tcBorders>
            <w:noWrap w:val="0"/>
            <w:vAlign w:val="center"/>
          </w:tcPr>
          <w:p w14:paraId="69FFC456">
            <w:pPr>
              <w:keepNext/>
              <w:adjustRightInd w:val="0"/>
              <w:snapToGrid w:val="0"/>
              <w:spacing w:line="312" w:lineRule="auto"/>
              <w:ind w:left="62" w:right="62"/>
              <w:jc w:val="center"/>
              <w:rPr>
                <w:rFonts w:ascii="宋体" w:hAnsi="宋体" w:cs="仿宋"/>
                <w:sz w:val="24"/>
              </w:rPr>
            </w:pPr>
            <w:r>
              <w:rPr>
                <w:rFonts w:hint="eastAsia" w:ascii="宋体" w:hAnsi="宋体" w:cs="仿宋"/>
                <w:sz w:val="24"/>
              </w:rPr>
              <w:t>职务</w:t>
            </w:r>
          </w:p>
        </w:tc>
        <w:tc>
          <w:tcPr>
            <w:tcW w:w="1246" w:type="dxa"/>
            <w:tcBorders>
              <w:top w:val="single" w:color="auto" w:sz="12" w:space="0"/>
              <w:bottom w:val="double" w:color="auto" w:sz="6" w:space="0"/>
            </w:tcBorders>
            <w:noWrap w:val="0"/>
            <w:vAlign w:val="center"/>
          </w:tcPr>
          <w:p w14:paraId="40D081A0">
            <w:pPr>
              <w:keepNext/>
              <w:adjustRightInd w:val="0"/>
              <w:snapToGrid w:val="0"/>
              <w:spacing w:line="312" w:lineRule="auto"/>
              <w:ind w:left="62" w:right="62"/>
              <w:jc w:val="center"/>
              <w:rPr>
                <w:rFonts w:ascii="宋体" w:hAnsi="宋体" w:cs="仿宋"/>
                <w:sz w:val="24"/>
              </w:rPr>
            </w:pPr>
            <w:r>
              <w:rPr>
                <w:rFonts w:hint="eastAsia" w:ascii="宋体" w:hAnsi="宋体" w:cs="仿宋"/>
                <w:sz w:val="24"/>
              </w:rPr>
              <w:t>职称</w:t>
            </w:r>
          </w:p>
        </w:tc>
        <w:tc>
          <w:tcPr>
            <w:tcW w:w="4437" w:type="dxa"/>
            <w:tcBorders>
              <w:top w:val="single" w:color="auto" w:sz="12" w:space="0"/>
              <w:bottom w:val="double" w:color="auto" w:sz="6" w:space="0"/>
            </w:tcBorders>
            <w:noWrap w:val="0"/>
            <w:vAlign w:val="center"/>
          </w:tcPr>
          <w:p w14:paraId="297B24EE">
            <w:pPr>
              <w:keepNext/>
              <w:adjustRightInd w:val="0"/>
              <w:snapToGrid w:val="0"/>
              <w:spacing w:line="312" w:lineRule="auto"/>
              <w:ind w:left="62" w:right="62"/>
              <w:jc w:val="center"/>
              <w:rPr>
                <w:rFonts w:ascii="宋体" w:hAnsi="宋体" w:cs="仿宋"/>
                <w:sz w:val="24"/>
              </w:rPr>
            </w:pPr>
            <w:r>
              <w:rPr>
                <w:rFonts w:hint="eastAsia" w:ascii="宋体" w:hAnsi="宋体" w:cs="仿宋"/>
                <w:sz w:val="24"/>
              </w:rPr>
              <w:t>主要资历、经验及承担过的项目</w:t>
            </w:r>
          </w:p>
        </w:tc>
      </w:tr>
      <w:tr w14:paraId="27CAA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0" w:hRule="atLeast"/>
          <w:jc w:val="center"/>
        </w:trPr>
        <w:tc>
          <w:tcPr>
            <w:tcW w:w="1438" w:type="dxa"/>
            <w:tcBorders>
              <w:top w:val="single" w:color="auto" w:sz="6" w:space="0"/>
              <w:bottom w:val="single" w:color="auto" w:sz="6" w:space="0"/>
            </w:tcBorders>
            <w:noWrap w:val="0"/>
            <w:vAlign w:val="center"/>
          </w:tcPr>
          <w:p w14:paraId="21464FFB">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7568CCA9">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4BFA4168">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74A3FC5E">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47E5CCC4">
            <w:pPr>
              <w:keepNext/>
              <w:adjustRightInd w:val="0"/>
              <w:snapToGrid w:val="0"/>
              <w:spacing w:line="312" w:lineRule="auto"/>
              <w:ind w:left="62" w:right="62"/>
              <w:jc w:val="center"/>
              <w:rPr>
                <w:rFonts w:ascii="宋体" w:hAnsi="宋体" w:cs="仿宋"/>
                <w:sz w:val="24"/>
              </w:rPr>
            </w:pPr>
          </w:p>
        </w:tc>
      </w:tr>
      <w:tr w14:paraId="27BF37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438" w:type="dxa"/>
            <w:tcBorders>
              <w:top w:val="single" w:color="auto" w:sz="6" w:space="0"/>
              <w:bottom w:val="single" w:color="auto" w:sz="6" w:space="0"/>
            </w:tcBorders>
            <w:noWrap w:val="0"/>
            <w:vAlign w:val="center"/>
          </w:tcPr>
          <w:p w14:paraId="4197C1C8">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0CAA263F">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47F8BA46">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7FF08163">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024F5332">
            <w:pPr>
              <w:keepNext/>
              <w:adjustRightInd w:val="0"/>
              <w:snapToGrid w:val="0"/>
              <w:spacing w:line="312" w:lineRule="auto"/>
              <w:ind w:left="62" w:right="62"/>
              <w:jc w:val="center"/>
              <w:rPr>
                <w:rFonts w:ascii="宋体" w:hAnsi="宋体" w:cs="仿宋"/>
                <w:sz w:val="24"/>
              </w:rPr>
            </w:pPr>
          </w:p>
        </w:tc>
      </w:tr>
      <w:tr w14:paraId="71EB9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7" w:hRule="atLeast"/>
          <w:jc w:val="center"/>
        </w:trPr>
        <w:tc>
          <w:tcPr>
            <w:tcW w:w="1438" w:type="dxa"/>
            <w:tcBorders>
              <w:top w:val="single" w:color="auto" w:sz="6" w:space="0"/>
              <w:bottom w:val="single" w:color="auto" w:sz="6" w:space="0"/>
            </w:tcBorders>
            <w:noWrap w:val="0"/>
            <w:vAlign w:val="center"/>
          </w:tcPr>
          <w:p w14:paraId="2954FE13">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1E87A699">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0D880D01">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4A760404">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0CE0C029">
            <w:pPr>
              <w:keepNext/>
              <w:adjustRightInd w:val="0"/>
              <w:snapToGrid w:val="0"/>
              <w:spacing w:line="312" w:lineRule="auto"/>
              <w:ind w:left="62" w:right="62"/>
              <w:jc w:val="center"/>
              <w:rPr>
                <w:rFonts w:ascii="宋体" w:hAnsi="宋体" w:cs="仿宋"/>
                <w:sz w:val="24"/>
              </w:rPr>
            </w:pPr>
          </w:p>
        </w:tc>
      </w:tr>
      <w:tr w14:paraId="529272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5" w:hRule="atLeast"/>
          <w:jc w:val="center"/>
        </w:trPr>
        <w:tc>
          <w:tcPr>
            <w:tcW w:w="1438" w:type="dxa"/>
            <w:tcBorders>
              <w:top w:val="single" w:color="auto" w:sz="6" w:space="0"/>
              <w:bottom w:val="single" w:color="auto" w:sz="6" w:space="0"/>
            </w:tcBorders>
            <w:noWrap w:val="0"/>
            <w:vAlign w:val="center"/>
          </w:tcPr>
          <w:p w14:paraId="26A3D20A">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5AA60809">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55638490">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B8A5605">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27C4C1B6">
            <w:pPr>
              <w:keepNext/>
              <w:adjustRightInd w:val="0"/>
              <w:snapToGrid w:val="0"/>
              <w:spacing w:line="312" w:lineRule="auto"/>
              <w:ind w:left="62" w:right="62"/>
              <w:jc w:val="center"/>
              <w:rPr>
                <w:rFonts w:ascii="宋体" w:hAnsi="宋体" w:cs="仿宋"/>
                <w:sz w:val="24"/>
              </w:rPr>
            </w:pPr>
          </w:p>
        </w:tc>
      </w:tr>
      <w:tr w14:paraId="2CF9B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09B3EE84">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245B5909">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1F26B540">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B98C036">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5B1E2E60">
            <w:pPr>
              <w:keepNext/>
              <w:adjustRightInd w:val="0"/>
              <w:snapToGrid w:val="0"/>
              <w:spacing w:line="312" w:lineRule="auto"/>
              <w:ind w:left="62" w:right="62"/>
              <w:jc w:val="center"/>
              <w:rPr>
                <w:rFonts w:ascii="宋体" w:hAnsi="宋体" w:cs="仿宋"/>
                <w:sz w:val="24"/>
              </w:rPr>
            </w:pPr>
          </w:p>
        </w:tc>
      </w:tr>
      <w:tr w14:paraId="24483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1B0A55D5">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6840C03D">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07D4AE53">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6E48F005">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6F7C8473">
            <w:pPr>
              <w:keepNext/>
              <w:adjustRightInd w:val="0"/>
              <w:snapToGrid w:val="0"/>
              <w:spacing w:line="312" w:lineRule="auto"/>
              <w:ind w:left="62" w:right="62"/>
              <w:jc w:val="center"/>
              <w:rPr>
                <w:rFonts w:ascii="宋体" w:hAnsi="宋体" w:cs="仿宋"/>
                <w:sz w:val="24"/>
              </w:rPr>
            </w:pPr>
          </w:p>
        </w:tc>
      </w:tr>
      <w:tr w14:paraId="6B8B4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2F917AF7">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11452241">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6B20AD61">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E4322F9">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49668597">
            <w:pPr>
              <w:keepNext/>
              <w:adjustRightInd w:val="0"/>
              <w:snapToGrid w:val="0"/>
              <w:spacing w:line="312" w:lineRule="auto"/>
              <w:ind w:left="62" w:right="62"/>
              <w:jc w:val="center"/>
              <w:rPr>
                <w:rFonts w:ascii="宋体" w:hAnsi="宋体" w:cs="仿宋"/>
                <w:sz w:val="24"/>
              </w:rPr>
            </w:pPr>
          </w:p>
        </w:tc>
      </w:tr>
      <w:tr w14:paraId="1549C4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62C9E1DF">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48555B50">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6F7174FA">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2EEB8AA8">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3B3B146B">
            <w:pPr>
              <w:keepNext/>
              <w:adjustRightInd w:val="0"/>
              <w:snapToGrid w:val="0"/>
              <w:spacing w:line="312" w:lineRule="auto"/>
              <w:ind w:left="62" w:right="62"/>
              <w:jc w:val="center"/>
              <w:rPr>
                <w:rFonts w:ascii="宋体" w:hAnsi="宋体" w:cs="仿宋"/>
                <w:sz w:val="24"/>
              </w:rPr>
            </w:pPr>
          </w:p>
        </w:tc>
      </w:tr>
      <w:tr w14:paraId="712A4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21" w:hRule="atLeast"/>
          <w:jc w:val="center"/>
        </w:trPr>
        <w:tc>
          <w:tcPr>
            <w:tcW w:w="1438" w:type="dxa"/>
            <w:tcBorders>
              <w:top w:val="single" w:color="auto" w:sz="6" w:space="0"/>
              <w:bottom w:val="single" w:color="auto" w:sz="6" w:space="0"/>
            </w:tcBorders>
            <w:noWrap w:val="0"/>
            <w:vAlign w:val="center"/>
          </w:tcPr>
          <w:p w14:paraId="085D9DD6">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124EE107">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5D522E6E">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A39F348">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0D3BD529">
            <w:pPr>
              <w:keepNext/>
              <w:adjustRightInd w:val="0"/>
              <w:snapToGrid w:val="0"/>
              <w:spacing w:line="312" w:lineRule="auto"/>
              <w:ind w:left="62" w:right="62"/>
              <w:jc w:val="center"/>
              <w:rPr>
                <w:rFonts w:ascii="宋体" w:hAnsi="宋体" w:cs="仿宋"/>
                <w:sz w:val="24"/>
              </w:rPr>
            </w:pPr>
          </w:p>
        </w:tc>
      </w:tr>
      <w:tr w14:paraId="53C490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4C5E96FB">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6522E2A9">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335539F0">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7E5075EC">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0E2D1008">
            <w:pPr>
              <w:keepNext/>
              <w:adjustRightInd w:val="0"/>
              <w:snapToGrid w:val="0"/>
              <w:spacing w:line="312" w:lineRule="auto"/>
              <w:ind w:left="62" w:right="62"/>
              <w:jc w:val="center"/>
              <w:rPr>
                <w:rFonts w:ascii="宋体" w:hAnsi="宋体" w:cs="仿宋"/>
                <w:sz w:val="24"/>
              </w:rPr>
            </w:pPr>
          </w:p>
        </w:tc>
      </w:tr>
      <w:tr w14:paraId="3B783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1716D23C">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17B3E54E">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0860EAE9">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4B97F84E">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3F86FDDF">
            <w:pPr>
              <w:keepNext/>
              <w:adjustRightInd w:val="0"/>
              <w:snapToGrid w:val="0"/>
              <w:spacing w:line="312" w:lineRule="auto"/>
              <w:ind w:left="62" w:right="62"/>
              <w:jc w:val="center"/>
              <w:rPr>
                <w:rFonts w:ascii="宋体" w:hAnsi="宋体" w:cs="仿宋"/>
                <w:sz w:val="24"/>
              </w:rPr>
            </w:pPr>
          </w:p>
        </w:tc>
      </w:tr>
      <w:tr w14:paraId="672E4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08CB0FFD">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30A71F32">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59D6063C">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053476C5">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742ACFA5">
            <w:pPr>
              <w:keepNext/>
              <w:adjustRightInd w:val="0"/>
              <w:snapToGrid w:val="0"/>
              <w:spacing w:line="312" w:lineRule="auto"/>
              <w:ind w:left="62" w:right="62"/>
              <w:jc w:val="center"/>
              <w:rPr>
                <w:rFonts w:ascii="宋体" w:hAnsi="宋体" w:cs="仿宋"/>
                <w:sz w:val="24"/>
              </w:rPr>
            </w:pPr>
          </w:p>
        </w:tc>
      </w:tr>
      <w:tr w14:paraId="2F84FE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072A5B20">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1871C9A1">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28DAFBD2">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501E168D">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5CEE5E34">
            <w:pPr>
              <w:keepNext/>
              <w:adjustRightInd w:val="0"/>
              <w:snapToGrid w:val="0"/>
              <w:spacing w:line="312" w:lineRule="auto"/>
              <w:ind w:left="62" w:right="62"/>
              <w:jc w:val="center"/>
              <w:rPr>
                <w:rFonts w:ascii="宋体" w:hAnsi="宋体" w:cs="仿宋"/>
                <w:sz w:val="24"/>
              </w:rPr>
            </w:pPr>
          </w:p>
        </w:tc>
      </w:tr>
      <w:tr w14:paraId="0A257C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1438" w:type="dxa"/>
            <w:tcBorders>
              <w:top w:val="single" w:color="auto" w:sz="6" w:space="0"/>
              <w:bottom w:val="single" w:color="auto" w:sz="6" w:space="0"/>
            </w:tcBorders>
            <w:noWrap w:val="0"/>
            <w:vAlign w:val="center"/>
          </w:tcPr>
          <w:p w14:paraId="3E438148">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050E4223">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3AEBEE57">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A3F715C">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63527C62">
            <w:pPr>
              <w:keepNext/>
              <w:adjustRightInd w:val="0"/>
              <w:snapToGrid w:val="0"/>
              <w:spacing w:line="312" w:lineRule="auto"/>
              <w:ind w:left="62" w:right="62"/>
              <w:jc w:val="center"/>
              <w:rPr>
                <w:rFonts w:ascii="宋体" w:hAnsi="宋体" w:cs="仿宋"/>
                <w:sz w:val="24"/>
              </w:rPr>
            </w:pPr>
          </w:p>
        </w:tc>
      </w:tr>
      <w:tr w14:paraId="4B0F2F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5" w:hRule="atLeast"/>
          <w:jc w:val="center"/>
        </w:trPr>
        <w:tc>
          <w:tcPr>
            <w:tcW w:w="1438" w:type="dxa"/>
            <w:tcBorders>
              <w:top w:val="single" w:color="auto" w:sz="6" w:space="0"/>
              <w:bottom w:val="single" w:color="auto" w:sz="6" w:space="0"/>
            </w:tcBorders>
            <w:noWrap w:val="0"/>
            <w:vAlign w:val="center"/>
          </w:tcPr>
          <w:p w14:paraId="02E170DD">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126FFE72">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60F95019">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3E9A63DD">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40A75F02">
            <w:pPr>
              <w:keepNext/>
              <w:adjustRightInd w:val="0"/>
              <w:snapToGrid w:val="0"/>
              <w:spacing w:line="312" w:lineRule="auto"/>
              <w:ind w:left="62" w:right="62"/>
              <w:jc w:val="center"/>
              <w:rPr>
                <w:rFonts w:ascii="宋体" w:hAnsi="宋体" w:cs="仿宋"/>
                <w:sz w:val="24"/>
              </w:rPr>
            </w:pPr>
          </w:p>
        </w:tc>
      </w:tr>
      <w:tr w14:paraId="63CAD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4" w:hRule="atLeast"/>
          <w:jc w:val="center"/>
        </w:trPr>
        <w:tc>
          <w:tcPr>
            <w:tcW w:w="1438" w:type="dxa"/>
            <w:tcBorders>
              <w:top w:val="single" w:color="auto" w:sz="6" w:space="0"/>
              <w:bottom w:val="single" w:color="auto" w:sz="6" w:space="0"/>
            </w:tcBorders>
            <w:noWrap w:val="0"/>
            <w:vAlign w:val="center"/>
          </w:tcPr>
          <w:p w14:paraId="5C66F6CA">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6E08D96B">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3C505E19">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138FB336">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6F601782">
            <w:pPr>
              <w:keepNext/>
              <w:adjustRightInd w:val="0"/>
              <w:snapToGrid w:val="0"/>
              <w:spacing w:line="312" w:lineRule="auto"/>
              <w:ind w:left="62" w:right="62"/>
              <w:jc w:val="center"/>
              <w:rPr>
                <w:rFonts w:ascii="宋体" w:hAnsi="宋体" w:cs="仿宋"/>
                <w:sz w:val="24"/>
              </w:rPr>
            </w:pPr>
          </w:p>
        </w:tc>
      </w:tr>
      <w:tr w14:paraId="6944B8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438" w:type="dxa"/>
            <w:tcBorders>
              <w:top w:val="single" w:color="auto" w:sz="6" w:space="0"/>
              <w:bottom w:val="single" w:color="auto" w:sz="6" w:space="0"/>
            </w:tcBorders>
            <w:noWrap w:val="0"/>
            <w:vAlign w:val="center"/>
          </w:tcPr>
          <w:p w14:paraId="63182B4C">
            <w:pPr>
              <w:keepNext/>
              <w:adjustRightInd w:val="0"/>
              <w:snapToGrid w:val="0"/>
              <w:spacing w:line="312" w:lineRule="auto"/>
              <w:ind w:left="62" w:right="62"/>
              <w:jc w:val="center"/>
              <w:rPr>
                <w:rFonts w:ascii="宋体" w:hAnsi="宋体" w:cs="仿宋"/>
                <w:sz w:val="24"/>
              </w:rPr>
            </w:pPr>
          </w:p>
        </w:tc>
        <w:tc>
          <w:tcPr>
            <w:tcW w:w="1213" w:type="dxa"/>
            <w:noWrap w:val="0"/>
            <w:vAlign w:val="center"/>
          </w:tcPr>
          <w:p w14:paraId="048213BD">
            <w:pPr>
              <w:keepNext/>
              <w:adjustRightInd w:val="0"/>
              <w:snapToGrid w:val="0"/>
              <w:spacing w:line="312" w:lineRule="auto"/>
              <w:ind w:left="62" w:right="62"/>
              <w:jc w:val="center"/>
              <w:rPr>
                <w:rFonts w:ascii="宋体" w:hAnsi="宋体" w:cs="仿宋"/>
                <w:sz w:val="24"/>
              </w:rPr>
            </w:pPr>
          </w:p>
        </w:tc>
        <w:tc>
          <w:tcPr>
            <w:tcW w:w="1475" w:type="dxa"/>
            <w:noWrap w:val="0"/>
            <w:vAlign w:val="center"/>
          </w:tcPr>
          <w:p w14:paraId="447261CC">
            <w:pPr>
              <w:keepNext/>
              <w:adjustRightInd w:val="0"/>
              <w:snapToGrid w:val="0"/>
              <w:spacing w:line="312" w:lineRule="auto"/>
              <w:ind w:left="62" w:right="62"/>
              <w:jc w:val="center"/>
              <w:rPr>
                <w:rFonts w:ascii="宋体" w:hAnsi="宋体" w:cs="仿宋"/>
                <w:sz w:val="24"/>
              </w:rPr>
            </w:pPr>
          </w:p>
        </w:tc>
        <w:tc>
          <w:tcPr>
            <w:tcW w:w="1246" w:type="dxa"/>
            <w:noWrap w:val="0"/>
            <w:vAlign w:val="center"/>
          </w:tcPr>
          <w:p w14:paraId="218DBF44">
            <w:pPr>
              <w:keepNext/>
              <w:adjustRightInd w:val="0"/>
              <w:snapToGrid w:val="0"/>
              <w:spacing w:line="312" w:lineRule="auto"/>
              <w:ind w:left="62" w:right="62"/>
              <w:jc w:val="center"/>
              <w:rPr>
                <w:rFonts w:ascii="宋体" w:hAnsi="宋体" w:cs="仿宋"/>
                <w:sz w:val="24"/>
              </w:rPr>
            </w:pPr>
          </w:p>
        </w:tc>
        <w:tc>
          <w:tcPr>
            <w:tcW w:w="4437" w:type="dxa"/>
            <w:noWrap w:val="0"/>
            <w:vAlign w:val="center"/>
          </w:tcPr>
          <w:p w14:paraId="2271F71F">
            <w:pPr>
              <w:keepNext/>
              <w:adjustRightInd w:val="0"/>
              <w:snapToGrid w:val="0"/>
              <w:spacing w:line="312" w:lineRule="auto"/>
              <w:ind w:left="62" w:right="62"/>
              <w:jc w:val="center"/>
              <w:rPr>
                <w:rFonts w:ascii="宋体" w:hAnsi="宋体" w:cs="仿宋"/>
                <w:sz w:val="24"/>
              </w:rPr>
            </w:pPr>
          </w:p>
        </w:tc>
      </w:tr>
    </w:tbl>
    <w:p w14:paraId="6FFD6D12">
      <w:pPr>
        <w:ind w:firstLine="480" w:firstLineChars="200"/>
        <w:rPr>
          <w:rFonts w:eastAsia="仿宋_GB2312"/>
          <w:sz w:val="24"/>
        </w:rPr>
      </w:pPr>
    </w:p>
    <w:p w14:paraId="0A677F22">
      <w:pPr>
        <w:ind w:firstLine="480" w:firstLineChars="200"/>
        <w:rPr>
          <w:rFonts w:eastAsia="仿宋_GB2312"/>
          <w:sz w:val="24"/>
        </w:rPr>
      </w:pPr>
    </w:p>
    <w:p w14:paraId="5287D11E">
      <w:pPr>
        <w:ind w:firstLine="480" w:firstLineChars="200"/>
        <w:rPr>
          <w:rFonts w:eastAsia="仿宋_GB2312"/>
          <w:sz w:val="24"/>
        </w:rPr>
      </w:pPr>
    </w:p>
    <w:p w14:paraId="05E1E7A2">
      <w:pPr>
        <w:adjustRightInd w:val="0"/>
        <w:snapToGrid w:val="0"/>
        <w:spacing w:line="360" w:lineRule="auto"/>
        <w:outlineLvl w:val="1"/>
        <w:rPr>
          <w:rFonts w:ascii="方正小标宋简体" w:hAnsi="黑体" w:eastAsia="方正小标宋简体" w:cs="仿宋"/>
          <w:bCs/>
          <w:kern w:val="0"/>
          <w:sz w:val="32"/>
          <w:szCs w:val="32"/>
        </w:rPr>
      </w:pPr>
      <w:r>
        <w:rPr>
          <w:rFonts w:hint="eastAsia" w:ascii="仿宋" w:hAnsi="仿宋" w:eastAsia="仿宋_GB2312" w:cs="仿宋"/>
          <w:sz w:val="24"/>
        </w:rPr>
        <w:br w:type="page"/>
      </w:r>
      <w:r>
        <w:rPr>
          <w:rFonts w:hint="eastAsia" w:ascii="方正小标宋简体" w:hAnsi="黑体" w:eastAsia="方正小标宋简体" w:cs="仿宋"/>
          <w:bCs/>
          <w:kern w:val="0"/>
          <w:sz w:val="32"/>
          <w:szCs w:val="32"/>
        </w:rPr>
        <w:t>附件8：</w:t>
      </w:r>
    </w:p>
    <w:p w14:paraId="44F6B921">
      <w:pPr>
        <w:keepNext/>
        <w:keepLines/>
        <w:adjustRightInd w:val="0"/>
        <w:snapToGrid w:val="0"/>
        <w:spacing w:line="312" w:lineRule="auto"/>
        <w:jc w:val="center"/>
        <w:textAlignment w:val="baseline"/>
        <w:outlineLvl w:val="9"/>
        <w:rPr>
          <w:rFonts w:ascii="方正小标宋简体" w:hAnsi="黑体" w:eastAsia="方正小标宋简体" w:cs="仿宋"/>
          <w:bCs/>
          <w:kern w:val="0"/>
          <w:sz w:val="32"/>
          <w:szCs w:val="32"/>
        </w:rPr>
      </w:pPr>
      <w:bookmarkStart w:id="48" w:name="_Toc217983403"/>
      <w:bookmarkStart w:id="49" w:name="_Toc59006217"/>
      <w:bookmarkStart w:id="50" w:name="_Toc178155246"/>
      <w:bookmarkStart w:id="51" w:name="_Toc176786396"/>
      <w:bookmarkStart w:id="52" w:name="_Toc11590496"/>
      <w:r>
        <w:rPr>
          <w:rFonts w:hint="eastAsia" w:ascii="方正小标宋简体" w:hAnsi="黑体" w:eastAsia="方正小标宋简体" w:cs="仿宋"/>
          <w:bCs/>
          <w:kern w:val="0"/>
          <w:sz w:val="32"/>
          <w:szCs w:val="32"/>
        </w:rPr>
        <w:t>履约银行保函</w:t>
      </w:r>
      <w:bookmarkEnd w:id="48"/>
      <w:bookmarkEnd w:id="49"/>
      <w:bookmarkEnd w:id="50"/>
      <w:bookmarkEnd w:id="51"/>
      <w:bookmarkEnd w:id="52"/>
    </w:p>
    <w:p w14:paraId="2D6900DC">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u w:val="single"/>
        </w:rPr>
        <w:t>致：</w:t>
      </w:r>
      <w:r>
        <w:rPr>
          <w:rFonts w:hint="eastAsia" w:ascii="宋体" w:hAnsi="宋体" w:cs="仿宋"/>
          <w:kern w:val="0"/>
          <w:sz w:val="24"/>
          <w:u w:val="single"/>
        </w:rPr>
        <w:tab/>
      </w:r>
      <w:r>
        <w:rPr>
          <w:rFonts w:hint="eastAsia" w:ascii="宋体" w:hAnsi="宋体" w:cs="仿宋"/>
          <w:kern w:val="0"/>
          <w:sz w:val="24"/>
        </w:rPr>
        <w:t>（受益人名称）：</w:t>
      </w:r>
    </w:p>
    <w:p w14:paraId="537E65CB">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鉴于（受益人名称）（以下简称“受益人”）与（申请人名称）（以下称“申请人”）于年月日就（工程名称）施工及有关事项协商一致共同签订</w:t>
      </w:r>
      <w:r>
        <w:rPr>
          <w:rFonts w:hint="eastAsia" w:ascii="宋体" w:hAnsi="宋体" w:cs="宋体"/>
          <w:kern w:val="0"/>
          <w:sz w:val="24"/>
          <w:szCs w:val="21"/>
        </w:rPr>
        <w:t>浙商银行   分行新大楼弱电</w:t>
      </w:r>
      <w:r>
        <w:rPr>
          <w:rFonts w:hint="eastAsia" w:ascii="宋体" w:hAnsi="宋体" w:cs="仿宋"/>
          <w:sz w:val="24"/>
        </w:rPr>
        <w:t>工程</w:t>
      </w:r>
      <w:r>
        <w:rPr>
          <w:rFonts w:hint="eastAsia" w:ascii="宋体" w:hAnsi="宋体" w:cs="仿宋"/>
          <w:kern w:val="0"/>
          <w:sz w:val="24"/>
        </w:rPr>
        <w:t>《建设工程施工合同》（以下简称合同）。我方同意为申请人出具见索即付履约银行保函（以下简称“保函”）作为其履行合同约定责任和义务的担保，担保金额为人民币（大写）（小写）</w:t>
      </w:r>
      <w:r>
        <w:rPr>
          <w:rFonts w:hint="eastAsia" w:ascii="宋体" w:hAnsi="宋体" w:cs="宋体"/>
          <w:kern w:val="0"/>
          <w:sz w:val="24"/>
        </w:rPr>
        <w:t>¥</w:t>
      </w:r>
      <w:r>
        <w:rPr>
          <w:rFonts w:hint="eastAsia" w:ascii="宋体" w:hAnsi="宋体" w:cs="仿宋"/>
          <w:kern w:val="0"/>
          <w:sz w:val="24"/>
        </w:rPr>
        <w:t>元。</w:t>
      </w:r>
    </w:p>
    <w:p w14:paraId="554AFB93">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1. 本保函的义务是：我方在收到受益人提出的因申请人在履行合同过程中未能履约或违背合同约定的责任和义务而要求索赔的书面通知后几个工作日内，在上述担保金额的限额内向受益人支付任何数额的款项，无须受益人出具任何证明或说明背景。</w:t>
      </w:r>
    </w:p>
    <w:p w14:paraId="09D78756">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2. 在向我方提出索赔要求之前，我方将不坚持要求受益人应首先向申请人索要上述款项。</w:t>
      </w:r>
    </w:p>
    <w:p w14:paraId="0F615837">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3. 我方进一步同意任何对合同条款所作的修改或补充都不能免除我方按本保函所应承担的义务，上述修改和补充也无需通知我方。</w:t>
      </w:r>
    </w:p>
    <w:p w14:paraId="07B4A521">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4. 本保函自开立之日起生效，有效期至受益人签发工程接收证书之日止。</w:t>
      </w:r>
    </w:p>
    <w:p w14:paraId="7ECC8937">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5. 因本保函发生的纠纷，可由双方协商解决，协商不成的，任何一方均可向受益人所在地有管辖权的人民法院起诉。</w:t>
      </w:r>
    </w:p>
    <w:p w14:paraId="1984DCBE">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6. 本保函自我方法定代表人（负责人）或其授权代理人签字并加盖公章之日起生效。</w:t>
      </w:r>
    </w:p>
    <w:p w14:paraId="2C3C283F">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保函出具方：（盖单位章）</w:t>
      </w:r>
    </w:p>
    <w:p w14:paraId="498F29F4">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法定代表人（负责人）或其委托代理人：（签字）</w:t>
      </w:r>
    </w:p>
    <w:p w14:paraId="5AD10ED4">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地址：</w:t>
      </w:r>
    </w:p>
    <w:p w14:paraId="02DF6F0E">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邮政编码：</w:t>
      </w:r>
    </w:p>
    <w:p w14:paraId="798C606E">
      <w:pPr>
        <w:adjustRightInd w:val="0"/>
        <w:spacing w:line="500" w:lineRule="exact"/>
        <w:ind w:firstLine="480" w:firstLineChars="200"/>
        <w:contextualSpacing/>
        <w:rPr>
          <w:rFonts w:ascii="宋体" w:hAnsi="宋体" w:cs="仿宋"/>
          <w:kern w:val="0"/>
          <w:sz w:val="24"/>
          <w:u w:val="single"/>
        </w:rPr>
      </w:pPr>
      <w:r>
        <w:rPr>
          <w:rFonts w:hint="eastAsia" w:ascii="宋体" w:hAnsi="宋体" w:cs="仿宋"/>
          <w:kern w:val="0"/>
          <w:sz w:val="24"/>
        </w:rPr>
        <w:t>电话：</w:t>
      </w:r>
    </w:p>
    <w:p w14:paraId="44E2865B">
      <w:pPr>
        <w:adjustRightInd w:val="0"/>
        <w:spacing w:line="500" w:lineRule="exact"/>
        <w:ind w:firstLine="480" w:firstLineChars="200"/>
        <w:contextualSpacing/>
        <w:rPr>
          <w:rFonts w:ascii="宋体" w:hAnsi="宋体" w:cs="仿宋"/>
          <w:kern w:val="0"/>
          <w:sz w:val="24"/>
        </w:rPr>
      </w:pPr>
      <w:r>
        <w:rPr>
          <w:rFonts w:hint="eastAsia" w:ascii="宋体" w:hAnsi="宋体" w:cs="仿宋"/>
          <w:kern w:val="0"/>
          <w:sz w:val="24"/>
        </w:rPr>
        <w:t>传真：</w:t>
      </w:r>
    </w:p>
    <w:p w14:paraId="6160CD73">
      <w:pPr>
        <w:adjustRightInd w:val="0"/>
        <w:spacing w:line="500" w:lineRule="exact"/>
        <w:ind w:left="840" w:leftChars="300" w:firstLine="480" w:firstLineChars="200"/>
        <w:contextualSpacing/>
        <w:rPr>
          <w:rFonts w:ascii="宋体" w:hAnsi="宋体" w:cs="仿宋"/>
          <w:kern w:val="0"/>
          <w:sz w:val="24"/>
        </w:rPr>
      </w:pPr>
      <w:r>
        <w:rPr>
          <w:rFonts w:hint="eastAsia" w:ascii="宋体" w:hAnsi="宋体" w:cs="仿宋"/>
          <w:kern w:val="0"/>
          <w:sz w:val="24"/>
        </w:rPr>
        <w:t>年月日</w:t>
      </w:r>
    </w:p>
    <w:p w14:paraId="3C11E52B">
      <w:pPr>
        <w:adjustRightInd w:val="0"/>
        <w:snapToGrid w:val="0"/>
        <w:spacing w:line="360" w:lineRule="auto"/>
        <w:jc w:val="left"/>
        <w:outlineLvl w:val="1"/>
        <w:rPr>
          <w:rFonts w:ascii="黑体" w:hAnsi="黑体" w:eastAsia="黑体" w:cs="仿宋"/>
          <w:sz w:val="32"/>
          <w:szCs w:val="32"/>
        </w:rPr>
      </w:pPr>
      <w:r>
        <w:rPr>
          <w:rFonts w:ascii="黑体" w:hAnsi="黑体" w:eastAsia="黑体" w:cs="仿宋"/>
          <w:sz w:val="32"/>
          <w:szCs w:val="32"/>
        </w:rPr>
        <w:br w:type="page"/>
      </w:r>
      <w:r>
        <w:rPr>
          <w:rFonts w:hint="eastAsia" w:ascii="黑体" w:hAnsi="黑体" w:eastAsia="黑体" w:cs="仿宋"/>
          <w:sz w:val="32"/>
          <w:szCs w:val="32"/>
        </w:rPr>
        <w:t>附件9：</w:t>
      </w:r>
    </w:p>
    <w:p w14:paraId="4D0E4A53">
      <w:pPr>
        <w:adjustRightInd w:val="0"/>
        <w:snapToGrid w:val="0"/>
        <w:spacing w:line="360" w:lineRule="auto"/>
        <w:jc w:val="center"/>
        <w:rPr>
          <w:rFonts w:ascii="黑体" w:hAnsi="黑体" w:eastAsia="黑体" w:cs="仿宋"/>
          <w:sz w:val="32"/>
          <w:szCs w:val="32"/>
        </w:rPr>
      </w:pPr>
      <w:bookmarkStart w:id="53" w:name="_Toc11590497"/>
      <w:r>
        <w:rPr>
          <w:rFonts w:hint="eastAsia" w:ascii="黑体" w:hAnsi="黑体" w:eastAsia="黑体" w:cs="仿宋"/>
          <w:sz w:val="32"/>
          <w:szCs w:val="32"/>
        </w:rPr>
        <w:t>11-1：材料暂估价表</w:t>
      </w:r>
      <w:bookmarkEnd w:id="53"/>
    </w:p>
    <w:tbl>
      <w:tblPr>
        <w:tblStyle w:val="33"/>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CA9B7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center"/>
          </w:tcPr>
          <w:p w14:paraId="4D1D0523">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序号</w:t>
            </w:r>
          </w:p>
        </w:tc>
        <w:tc>
          <w:tcPr>
            <w:tcW w:w="1984" w:type="dxa"/>
            <w:tcBorders>
              <w:top w:val="single" w:color="auto" w:sz="12" w:space="0"/>
              <w:bottom w:val="double" w:color="auto" w:sz="6" w:space="0"/>
            </w:tcBorders>
            <w:noWrap w:val="0"/>
            <w:vAlign w:val="center"/>
          </w:tcPr>
          <w:p w14:paraId="03404DB4">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名称</w:t>
            </w:r>
          </w:p>
        </w:tc>
        <w:tc>
          <w:tcPr>
            <w:tcW w:w="851" w:type="dxa"/>
            <w:tcBorders>
              <w:top w:val="single" w:color="auto" w:sz="12" w:space="0"/>
              <w:bottom w:val="double" w:color="auto" w:sz="6" w:space="0"/>
            </w:tcBorders>
            <w:noWrap w:val="0"/>
            <w:vAlign w:val="center"/>
          </w:tcPr>
          <w:p w14:paraId="18B9E847">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单位</w:t>
            </w:r>
          </w:p>
        </w:tc>
        <w:tc>
          <w:tcPr>
            <w:tcW w:w="774" w:type="dxa"/>
            <w:tcBorders>
              <w:top w:val="single" w:color="auto" w:sz="12" w:space="0"/>
              <w:bottom w:val="double" w:color="auto" w:sz="6" w:space="0"/>
            </w:tcBorders>
            <w:noWrap w:val="0"/>
            <w:vAlign w:val="center"/>
          </w:tcPr>
          <w:p w14:paraId="084D19F4">
            <w:pPr>
              <w:keepNext/>
              <w:adjustRightInd w:val="0"/>
              <w:snapToGrid w:val="0"/>
              <w:spacing w:line="360" w:lineRule="auto"/>
              <w:ind w:left="63" w:right="63"/>
              <w:jc w:val="center"/>
              <w:rPr>
                <w:rFonts w:ascii="宋体" w:hAnsi="宋体" w:cs="仿宋"/>
                <w:sz w:val="24"/>
              </w:rPr>
            </w:pPr>
            <w:r>
              <w:rPr>
                <w:rFonts w:hint="eastAsia" w:ascii="宋体" w:hAnsi="宋体" w:cs="仿宋"/>
                <w:sz w:val="24"/>
              </w:rPr>
              <w:t>数量</w:t>
            </w:r>
          </w:p>
        </w:tc>
        <w:tc>
          <w:tcPr>
            <w:tcW w:w="1352" w:type="dxa"/>
            <w:tcBorders>
              <w:top w:val="single" w:color="auto" w:sz="12" w:space="0"/>
              <w:bottom w:val="double" w:color="auto" w:sz="6" w:space="0"/>
            </w:tcBorders>
            <w:noWrap w:val="0"/>
            <w:vAlign w:val="center"/>
          </w:tcPr>
          <w:p w14:paraId="0B219FAC">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单价（元）</w:t>
            </w:r>
          </w:p>
        </w:tc>
        <w:tc>
          <w:tcPr>
            <w:tcW w:w="1418" w:type="dxa"/>
            <w:tcBorders>
              <w:top w:val="single" w:color="auto" w:sz="12" w:space="0"/>
              <w:bottom w:val="double" w:color="auto" w:sz="6" w:space="0"/>
            </w:tcBorders>
            <w:noWrap w:val="0"/>
            <w:vAlign w:val="center"/>
          </w:tcPr>
          <w:p w14:paraId="1899FA2D">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合价（元）</w:t>
            </w:r>
          </w:p>
        </w:tc>
        <w:tc>
          <w:tcPr>
            <w:tcW w:w="1701" w:type="dxa"/>
            <w:tcBorders>
              <w:top w:val="single" w:color="auto" w:sz="12" w:space="0"/>
              <w:bottom w:val="double" w:color="auto" w:sz="6" w:space="0"/>
            </w:tcBorders>
            <w:noWrap w:val="0"/>
            <w:vAlign w:val="center"/>
          </w:tcPr>
          <w:p w14:paraId="11CECA97">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备注</w:t>
            </w:r>
          </w:p>
        </w:tc>
      </w:tr>
      <w:tr w14:paraId="6F0649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center"/>
          </w:tcPr>
          <w:p w14:paraId="58E65580">
            <w:pPr>
              <w:keepNext/>
              <w:adjustRightInd w:val="0"/>
              <w:snapToGrid w:val="0"/>
              <w:spacing w:line="360" w:lineRule="auto"/>
              <w:ind w:left="63" w:right="63"/>
              <w:jc w:val="center"/>
              <w:rPr>
                <w:rFonts w:ascii="宋体" w:hAnsi="宋体" w:cs="仿宋"/>
                <w:sz w:val="24"/>
              </w:rPr>
            </w:pPr>
          </w:p>
        </w:tc>
        <w:tc>
          <w:tcPr>
            <w:tcW w:w="1984" w:type="dxa"/>
            <w:tcBorders>
              <w:top w:val="double" w:color="auto" w:sz="6" w:space="0"/>
              <w:bottom w:val="single" w:color="auto" w:sz="6" w:space="0"/>
            </w:tcBorders>
            <w:noWrap w:val="0"/>
            <w:vAlign w:val="center"/>
          </w:tcPr>
          <w:p w14:paraId="1FA4C355">
            <w:pPr>
              <w:keepNext/>
              <w:adjustRightInd w:val="0"/>
              <w:snapToGrid w:val="0"/>
              <w:spacing w:line="360" w:lineRule="auto"/>
              <w:ind w:left="63" w:right="63"/>
              <w:jc w:val="center"/>
              <w:rPr>
                <w:rFonts w:ascii="宋体" w:hAnsi="宋体" w:cs="仿宋"/>
                <w:sz w:val="24"/>
              </w:rPr>
            </w:pPr>
          </w:p>
        </w:tc>
        <w:tc>
          <w:tcPr>
            <w:tcW w:w="851" w:type="dxa"/>
            <w:tcBorders>
              <w:top w:val="double" w:color="auto" w:sz="6" w:space="0"/>
              <w:bottom w:val="single" w:color="auto" w:sz="6" w:space="0"/>
            </w:tcBorders>
            <w:noWrap w:val="0"/>
            <w:vAlign w:val="center"/>
          </w:tcPr>
          <w:p w14:paraId="03F7AF51">
            <w:pPr>
              <w:keepNext/>
              <w:adjustRightInd w:val="0"/>
              <w:snapToGrid w:val="0"/>
              <w:spacing w:line="360" w:lineRule="auto"/>
              <w:ind w:left="63" w:right="63"/>
              <w:jc w:val="center"/>
              <w:rPr>
                <w:rFonts w:ascii="宋体" w:hAnsi="宋体" w:cs="仿宋"/>
                <w:sz w:val="24"/>
              </w:rPr>
            </w:pPr>
          </w:p>
        </w:tc>
        <w:tc>
          <w:tcPr>
            <w:tcW w:w="774" w:type="dxa"/>
            <w:tcBorders>
              <w:top w:val="double" w:color="auto" w:sz="6" w:space="0"/>
              <w:bottom w:val="single" w:color="auto" w:sz="6" w:space="0"/>
            </w:tcBorders>
            <w:noWrap w:val="0"/>
            <w:vAlign w:val="center"/>
          </w:tcPr>
          <w:p w14:paraId="09D4603B">
            <w:pPr>
              <w:keepNext/>
              <w:adjustRightInd w:val="0"/>
              <w:snapToGrid w:val="0"/>
              <w:spacing w:line="360" w:lineRule="auto"/>
              <w:ind w:left="63" w:right="63"/>
              <w:jc w:val="center"/>
              <w:rPr>
                <w:rFonts w:ascii="宋体" w:hAnsi="宋体" w:cs="仿宋"/>
                <w:sz w:val="24"/>
              </w:rPr>
            </w:pPr>
          </w:p>
        </w:tc>
        <w:tc>
          <w:tcPr>
            <w:tcW w:w="1352" w:type="dxa"/>
            <w:tcBorders>
              <w:top w:val="double" w:color="auto" w:sz="6" w:space="0"/>
              <w:bottom w:val="single" w:color="auto" w:sz="6" w:space="0"/>
            </w:tcBorders>
            <w:noWrap w:val="0"/>
            <w:vAlign w:val="center"/>
          </w:tcPr>
          <w:p w14:paraId="66814E6C">
            <w:pPr>
              <w:keepNext/>
              <w:adjustRightInd w:val="0"/>
              <w:snapToGrid w:val="0"/>
              <w:spacing w:line="360" w:lineRule="auto"/>
              <w:ind w:left="63" w:right="63"/>
              <w:jc w:val="center"/>
              <w:rPr>
                <w:rFonts w:ascii="宋体" w:hAnsi="宋体" w:cs="仿宋"/>
                <w:sz w:val="24"/>
              </w:rPr>
            </w:pPr>
          </w:p>
        </w:tc>
        <w:tc>
          <w:tcPr>
            <w:tcW w:w="1418" w:type="dxa"/>
            <w:tcBorders>
              <w:top w:val="double" w:color="auto" w:sz="6" w:space="0"/>
              <w:bottom w:val="single" w:color="auto" w:sz="6" w:space="0"/>
            </w:tcBorders>
            <w:noWrap w:val="0"/>
            <w:vAlign w:val="center"/>
          </w:tcPr>
          <w:p w14:paraId="270EF94B">
            <w:pPr>
              <w:keepNext/>
              <w:adjustRightInd w:val="0"/>
              <w:snapToGrid w:val="0"/>
              <w:spacing w:line="360" w:lineRule="auto"/>
              <w:ind w:left="63" w:right="63"/>
              <w:jc w:val="center"/>
              <w:rPr>
                <w:rFonts w:ascii="宋体" w:hAnsi="宋体" w:cs="仿宋"/>
                <w:sz w:val="24"/>
              </w:rPr>
            </w:pPr>
          </w:p>
        </w:tc>
        <w:tc>
          <w:tcPr>
            <w:tcW w:w="1701" w:type="dxa"/>
            <w:tcBorders>
              <w:top w:val="double" w:color="auto" w:sz="6" w:space="0"/>
              <w:bottom w:val="single" w:color="auto" w:sz="6" w:space="0"/>
            </w:tcBorders>
            <w:noWrap w:val="0"/>
            <w:vAlign w:val="center"/>
          </w:tcPr>
          <w:p w14:paraId="0311A7FD">
            <w:pPr>
              <w:keepNext/>
              <w:adjustRightInd w:val="0"/>
              <w:snapToGrid w:val="0"/>
              <w:spacing w:line="360" w:lineRule="auto"/>
              <w:ind w:left="63" w:right="63"/>
              <w:jc w:val="center"/>
              <w:rPr>
                <w:rFonts w:ascii="宋体" w:hAnsi="宋体" w:cs="仿宋"/>
                <w:sz w:val="24"/>
              </w:rPr>
            </w:pPr>
          </w:p>
        </w:tc>
      </w:tr>
      <w:tr w14:paraId="238798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61DCF775">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6848812D">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6624023D">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627BAC25">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307DF2F8">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04099E4F">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460F83C7">
            <w:pPr>
              <w:keepNext/>
              <w:adjustRightInd w:val="0"/>
              <w:snapToGrid w:val="0"/>
              <w:spacing w:line="360" w:lineRule="auto"/>
              <w:ind w:left="63" w:right="63"/>
              <w:jc w:val="center"/>
              <w:rPr>
                <w:rFonts w:ascii="宋体" w:hAnsi="宋体" w:cs="仿宋"/>
                <w:sz w:val="24"/>
              </w:rPr>
            </w:pPr>
          </w:p>
        </w:tc>
      </w:tr>
      <w:tr w14:paraId="06A315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11B5F8E1">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46740551">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3629797A">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3F14F80C">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194F87EB">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4D6E88B7">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76F42CCF">
            <w:pPr>
              <w:keepNext/>
              <w:adjustRightInd w:val="0"/>
              <w:snapToGrid w:val="0"/>
              <w:spacing w:line="360" w:lineRule="auto"/>
              <w:ind w:left="63" w:right="63"/>
              <w:jc w:val="center"/>
              <w:rPr>
                <w:rFonts w:ascii="宋体" w:hAnsi="宋体" w:cs="仿宋"/>
                <w:sz w:val="24"/>
              </w:rPr>
            </w:pPr>
          </w:p>
        </w:tc>
      </w:tr>
      <w:tr w14:paraId="61D169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1E615709">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0B2EF763">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30EFD5C5">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7CF838AC">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4CD43D81">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4CFE7993">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0A66B085">
            <w:pPr>
              <w:keepNext/>
              <w:adjustRightInd w:val="0"/>
              <w:snapToGrid w:val="0"/>
              <w:spacing w:line="360" w:lineRule="auto"/>
              <w:ind w:left="63" w:right="63"/>
              <w:jc w:val="center"/>
              <w:rPr>
                <w:rFonts w:ascii="宋体" w:hAnsi="宋体" w:cs="仿宋"/>
                <w:sz w:val="24"/>
              </w:rPr>
            </w:pPr>
          </w:p>
        </w:tc>
      </w:tr>
      <w:tr w14:paraId="412895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4EABC9A7">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469309F4">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284EADF3">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4E3C3541">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663188C5">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18AC353C">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5C5813C5">
            <w:pPr>
              <w:keepNext/>
              <w:adjustRightInd w:val="0"/>
              <w:snapToGrid w:val="0"/>
              <w:spacing w:line="360" w:lineRule="auto"/>
              <w:ind w:left="63" w:right="63"/>
              <w:jc w:val="center"/>
              <w:rPr>
                <w:rFonts w:ascii="宋体" w:hAnsi="宋体" w:cs="仿宋"/>
                <w:sz w:val="24"/>
              </w:rPr>
            </w:pPr>
          </w:p>
        </w:tc>
      </w:tr>
      <w:tr w14:paraId="2B5503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673341ED">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451F6B85">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7EF63618">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31079F44">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7678EE24">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3DF9DC0D">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36B7A25">
            <w:pPr>
              <w:keepNext/>
              <w:adjustRightInd w:val="0"/>
              <w:snapToGrid w:val="0"/>
              <w:spacing w:line="360" w:lineRule="auto"/>
              <w:ind w:left="63" w:right="63"/>
              <w:jc w:val="center"/>
              <w:rPr>
                <w:rFonts w:ascii="宋体" w:hAnsi="宋体" w:cs="仿宋"/>
                <w:sz w:val="24"/>
              </w:rPr>
            </w:pPr>
          </w:p>
        </w:tc>
      </w:tr>
      <w:tr w14:paraId="77BF2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1BDA7174">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591945CA">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1C5DF333">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13BC9A2A">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0A7DF2FD">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7738EC66">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497D1808">
            <w:pPr>
              <w:keepNext/>
              <w:adjustRightInd w:val="0"/>
              <w:snapToGrid w:val="0"/>
              <w:spacing w:line="360" w:lineRule="auto"/>
              <w:ind w:left="63" w:right="63"/>
              <w:jc w:val="center"/>
              <w:rPr>
                <w:rFonts w:ascii="宋体" w:hAnsi="宋体" w:cs="仿宋"/>
                <w:sz w:val="24"/>
              </w:rPr>
            </w:pPr>
          </w:p>
        </w:tc>
      </w:tr>
      <w:tr w14:paraId="2DCC7C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4326A79E">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5BCFAC8A">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6E052861">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2E6A894C">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38EB26C6">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01278B9C">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1037FCEA">
            <w:pPr>
              <w:keepNext/>
              <w:adjustRightInd w:val="0"/>
              <w:snapToGrid w:val="0"/>
              <w:spacing w:line="360" w:lineRule="auto"/>
              <w:ind w:left="63" w:right="63"/>
              <w:jc w:val="center"/>
              <w:rPr>
                <w:rFonts w:ascii="宋体" w:hAnsi="宋体" w:cs="仿宋"/>
                <w:sz w:val="24"/>
              </w:rPr>
            </w:pPr>
          </w:p>
        </w:tc>
      </w:tr>
      <w:tr w14:paraId="243030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5941D8C4">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1B92E813">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4A80FFA3">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4FBC7CB3">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2CE55E9B">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4531A170">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16814A31">
            <w:pPr>
              <w:keepNext/>
              <w:adjustRightInd w:val="0"/>
              <w:snapToGrid w:val="0"/>
              <w:spacing w:line="360" w:lineRule="auto"/>
              <w:ind w:left="63" w:right="63"/>
              <w:jc w:val="center"/>
              <w:rPr>
                <w:rFonts w:ascii="宋体" w:hAnsi="宋体" w:cs="仿宋"/>
                <w:sz w:val="24"/>
              </w:rPr>
            </w:pPr>
          </w:p>
        </w:tc>
      </w:tr>
      <w:tr w14:paraId="0E0D1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7B217DB1">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3EB28B60">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0AC473BA">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1EBBEB59">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660AD10D">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54E7BC60">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26A148AE">
            <w:pPr>
              <w:keepNext/>
              <w:adjustRightInd w:val="0"/>
              <w:snapToGrid w:val="0"/>
              <w:spacing w:line="360" w:lineRule="auto"/>
              <w:ind w:left="63" w:right="63"/>
              <w:jc w:val="center"/>
              <w:rPr>
                <w:rFonts w:ascii="宋体" w:hAnsi="宋体" w:cs="仿宋"/>
                <w:sz w:val="24"/>
              </w:rPr>
            </w:pPr>
          </w:p>
        </w:tc>
      </w:tr>
      <w:tr w14:paraId="784779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7D1BF1DC">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537CAAFF">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5A87E2FB">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13589D49">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7537ED32">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4D5728B6">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13F20C5">
            <w:pPr>
              <w:keepNext/>
              <w:adjustRightInd w:val="0"/>
              <w:snapToGrid w:val="0"/>
              <w:spacing w:line="360" w:lineRule="auto"/>
              <w:ind w:left="63" w:right="63"/>
              <w:jc w:val="center"/>
              <w:rPr>
                <w:rFonts w:ascii="宋体" w:hAnsi="宋体" w:cs="仿宋"/>
                <w:sz w:val="24"/>
              </w:rPr>
            </w:pPr>
          </w:p>
        </w:tc>
      </w:tr>
      <w:tr w14:paraId="1F6782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340F5390">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64017FF7">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7A032CED">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7DFD14F8">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73E3CD41">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37AC1BB8">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54AA60C0">
            <w:pPr>
              <w:keepNext/>
              <w:adjustRightInd w:val="0"/>
              <w:snapToGrid w:val="0"/>
              <w:spacing w:line="360" w:lineRule="auto"/>
              <w:ind w:left="63" w:right="63"/>
              <w:jc w:val="center"/>
              <w:rPr>
                <w:rFonts w:ascii="宋体" w:hAnsi="宋体" w:cs="仿宋"/>
                <w:sz w:val="24"/>
              </w:rPr>
            </w:pPr>
          </w:p>
        </w:tc>
      </w:tr>
      <w:tr w14:paraId="42F420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2EB6D753">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1D5E51C8">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284836AC">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57E5E30D">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6905C141">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22DACB9F">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E161462">
            <w:pPr>
              <w:keepNext/>
              <w:adjustRightInd w:val="0"/>
              <w:snapToGrid w:val="0"/>
              <w:spacing w:line="360" w:lineRule="auto"/>
              <w:ind w:left="63" w:right="63"/>
              <w:jc w:val="center"/>
              <w:rPr>
                <w:rFonts w:ascii="宋体" w:hAnsi="宋体" w:cs="仿宋"/>
                <w:sz w:val="24"/>
              </w:rPr>
            </w:pPr>
          </w:p>
        </w:tc>
      </w:tr>
      <w:tr w14:paraId="36EA3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38B38EDD">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091D07E8">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6789D084">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67F198D8">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0C958174">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5BE6A9EE">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0EB61137">
            <w:pPr>
              <w:keepNext/>
              <w:adjustRightInd w:val="0"/>
              <w:snapToGrid w:val="0"/>
              <w:spacing w:line="360" w:lineRule="auto"/>
              <w:ind w:left="63" w:right="63"/>
              <w:jc w:val="center"/>
              <w:rPr>
                <w:rFonts w:ascii="宋体" w:hAnsi="宋体" w:cs="仿宋"/>
                <w:sz w:val="24"/>
              </w:rPr>
            </w:pPr>
          </w:p>
        </w:tc>
      </w:tr>
      <w:tr w14:paraId="5AA2F2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1DE02408">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7CABACDE">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07F10583">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4171E368">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6B33E4D6">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5EE34149">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8F8BDA9">
            <w:pPr>
              <w:keepNext/>
              <w:adjustRightInd w:val="0"/>
              <w:snapToGrid w:val="0"/>
              <w:spacing w:line="360" w:lineRule="auto"/>
              <w:ind w:left="63" w:right="63"/>
              <w:jc w:val="center"/>
              <w:rPr>
                <w:rFonts w:ascii="宋体" w:hAnsi="宋体" w:cs="仿宋"/>
                <w:sz w:val="24"/>
              </w:rPr>
            </w:pPr>
          </w:p>
        </w:tc>
      </w:tr>
      <w:tr w14:paraId="383A0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1D9F0167">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2159A4FD">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0AC0F9F2">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399A90D6">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3048514F">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1D414D04">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055E6402">
            <w:pPr>
              <w:keepNext/>
              <w:adjustRightInd w:val="0"/>
              <w:snapToGrid w:val="0"/>
              <w:spacing w:line="360" w:lineRule="auto"/>
              <w:ind w:left="63" w:right="63"/>
              <w:jc w:val="center"/>
              <w:rPr>
                <w:rFonts w:ascii="宋体" w:hAnsi="宋体" w:cs="仿宋"/>
                <w:sz w:val="24"/>
              </w:rPr>
            </w:pPr>
          </w:p>
        </w:tc>
      </w:tr>
      <w:tr w14:paraId="2BE3B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3DC33408">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55AFA9B6">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12243C07">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1D9772AF">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7C7EB94A">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6C55C17D">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05CDE41D">
            <w:pPr>
              <w:keepNext/>
              <w:adjustRightInd w:val="0"/>
              <w:snapToGrid w:val="0"/>
              <w:spacing w:line="360" w:lineRule="auto"/>
              <w:ind w:left="63" w:right="63"/>
              <w:jc w:val="center"/>
              <w:rPr>
                <w:rFonts w:ascii="宋体" w:hAnsi="宋体" w:cs="仿宋"/>
                <w:sz w:val="24"/>
              </w:rPr>
            </w:pPr>
          </w:p>
        </w:tc>
      </w:tr>
      <w:tr w14:paraId="094AC5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52210742">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0E4822E3">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7A1A0FE3">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3A3D0301">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1C297926">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456D222E">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38321A48">
            <w:pPr>
              <w:keepNext/>
              <w:adjustRightInd w:val="0"/>
              <w:snapToGrid w:val="0"/>
              <w:spacing w:line="360" w:lineRule="auto"/>
              <w:ind w:left="63" w:right="63"/>
              <w:jc w:val="center"/>
              <w:rPr>
                <w:rFonts w:ascii="宋体" w:hAnsi="宋体" w:cs="仿宋"/>
                <w:sz w:val="24"/>
              </w:rPr>
            </w:pPr>
          </w:p>
        </w:tc>
      </w:tr>
      <w:tr w14:paraId="13F706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44013B79">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3AFD1D6B">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5DB3A4DA">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6CF0392D">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445DD7A9">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2AC4CAC6">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0480FEB4">
            <w:pPr>
              <w:keepNext/>
              <w:adjustRightInd w:val="0"/>
              <w:snapToGrid w:val="0"/>
              <w:spacing w:line="360" w:lineRule="auto"/>
              <w:ind w:left="63" w:right="63"/>
              <w:jc w:val="center"/>
              <w:rPr>
                <w:rFonts w:ascii="宋体" w:hAnsi="宋体" w:cs="仿宋"/>
                <w:sz w:val="24"/>
              </w:rPr>
            </w:pPr>
          </w:p>
        </w:tc>
      </w:tr>
      <w:tr w14:paraId="56BB6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4227E8FE">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65317CC8">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23492142">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21441A18">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772F4B55">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780DE267">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1EC8A1D1">
            <w:pPr>
              <w:keepNext/>
              <w:adjustRightInd w:val="0"/>
              <w:snapToGrid w:val="0"/>
              <w:spacing w:line="360" w:lineRule="auto"/>
              <w:ind w:left="63" w:right="63"/>
              <w:jc w:val="center"/>
              <w:rPr>
                <w:rFonts w:ascii="宋体" w:hAnsi="宋体" w:cs="仿宋"/>
                <w:sz w:val="24"/>
              </w:rPr>
            </w:pPr>
          </w:p>
        </w:tc>
      </w:tr>
      <w:tr w14:paraId="0F5079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589417E4">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0727B3E2">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340C7207">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21ECA0B6">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316C9176">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4C3687E8">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459A6E4">
            <w:pPr>
              <w:keepNext/>
              <w:adjustRightInd w:val="0"/>
              <w:snapToGrid w:val="0"/>
              <w:spacing w:line="360" w:lineRule="auto"/>
              <w:ind w:left="63" w:right="63"/>
              <w:jc w:val="center"/>
              <w:rPr>
                <w:rFonts w:ascii="宋体" w:hAnsi="宋体" w:cs="仿宋"/>
                <w:sz w:val="24"/>
              </w:rPr>
            </w:pPr>
          </w:p>
        </w:tc>
      </w:tr>
    </w:tbl>
    <w:p w14:paraId="605764EE">
      <w:pPr>
        <w:adjustRightInd w:val="0"/>
        <w:snapToGrid w:val="0"/>
        <w:spacing w:line="360" w:lineRule="auto"/>
        <w:rPr>
          <w:rFonts w:ascii="仿宋" w:hAnsi="仿宋" w:eastAsia="仿宋_GB2312" w:cs="仿宋"/>
          <w:sz w:val="24"/>
        </w:rPr>
      </w:pPr>
    </w:p>
    <w:p w14:paraId="632EBEBD">
      <w:pPr>
        <w:keepNext/>
        <w:keepLines/>
        <w:spacing w:before="260" w:after="260" w:line="416" w:lineRule="auto"/>
        <w:jc w:val="center"/>
        <w:outlineLvl w:val="9"/>
        <w:rPr>
          <w:rFonts w:ascii="黑体" w:hAnsi="黑体" w:eastAsia="黑体" w:cs="仿宋"/>
          <w:bCs/>
          <w:sz w:val="32"/>
          <w:szCs w:val="28"/>
        </w:rPr>
      </w:pPr>
      <w:r>
        <w:rPr>
          <w:rFonts w:hint="eastAsia" w:ascii="仿宋" w:hAnsi="仿宋" w:eastAsia="仿宋_GB2312" w:cs="仿宋"/>
          <w:bCs/>
          <w:sz w:val="24"/>
        </w:rPr>
        <w:br w:type="column"/>
      </w:r>
      <w:bookmarkStart w:id="54" w:name="_Toc176786397"/>
      <w:bookmarkStart w:id="55" w:name="_Toc59006218"/>
      <w:bookmarkStart w:id="56" w:name="_Toc217983404"/>
      <w:bookmarkStart w:id="57" w:name="_Toc11590498"/>
      <w:bookmarkStart w:id="58" w:name="_Toc178155247"/>
      <w:r>
        <w:rPr>
          <w:rFonts w:hint="eastAsia" w:ascii="黑体" w:hAnsi="黑体" w:eastAsia="黑体" w:cs="仿宋"/>
          <w:bCs/>
          <w:sz w:val="32"/>
          <w:szCs w:val="28"/>
        </w:rPr>
        <w:t>11-2：工程设备暂估价表</w:t>
      </w:r>
      <w:bookmarkEnd w:id="54"/>
      <w:bookmarkEnd w:id="55"/>
      <w:bookmarkEnd w:id="56"/>
      <w:bookmarkEnd w:id="57"/>
      <w:bookmarkEnd w:id="58"/>
    </w:p>
    <w:tbl>
      <w:tblPr>
        <w:tblStyle w:val="33"/>
        <w:tblW w:w="954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45"/>
        <w:gridCol w:w="2088"/>
        <w:gridCol w:w="896"/>
        <w:gridCol w:w="815"/>
        <w:gridCol w:w="1423"/>
        <w:gridCol w:w="1492"/>
        <w:gridCol w:w="1790"/>
      </w:tblGrid>
      <w:tr w14:paraId="1322B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tcBorders>
              <w:top w:val="single" w:color="auto" w:sz="12" w:space="0"/>
              <w:bottom w:val="double" w:color="auto" w:sz="6" w:space="0"/>
            </w:tcBorders>
            <w:noWrap w:val="0"/>
            <w:vAlign w:val="center"/>
          </w:tcPr>
          <w:p w14:paraId="403FED54">
            <w:pPr>
              <w:keepNext/>
              <w:adjustRightInd w:val="0"/>
              <w:snapToGrid w:val="0"/>
              <w:spacing w:line="300" w:lineRule="exact"/>
              <w:ind w:left="63" w:right="63"/>
              <w:jc w:val="center"/>
              <w:rPr>
                <w:rFonts w:ascii="宋体" w:hAnsi="宋体" w:cs="仿宋"/>
                <w:sz w:val="24"/>
              </w:rPr>
            </w:pPr>
            <w:r>
              <w:rPr>
                <w:rFonts w:hint="eastAsia" w:ascii="宋体" w:hAnsi="宋体" w:cs="仿宋"/>
                <w:sz w:val="24"/>
              </w:rPr>
              <w:t>序号</w:t>
            </w:r>
          </w:p>
        </w:tc>
        <w:tc>
          <w:tcPr>
            <w:tcW w:w="2088" w:type="dxa"/>
            <w:tcBorders>
              <w:top w:val="single" w:color="auto" w:sz="12" w:space="0"/>
              <w:bottom w:val="double" w:color="auto" w:sz="6" w:space="0"/>
            </w:tcBorders>
            <w:noWrap w:val="0"/>
            <w:vAlign w:val="center"/>
          </w:tcPr>
          <w:p w14:paraId="21470C7F">
            <w:pPr>
              <w:keepNext/>
              <w:adjustRightInd w:val="0"/>
              <w:snapToGrid w:val="0"/>
              <w:spacing w:line="300" w:lineRule="exact"/>
              <w:ind w:left="63" w:right="63"/>
              <w:jc w:val="center"/>
              <w:rPr>
                <w:rFonts w:ascii="宋体" w:hAnsi="宋体" w:cs="仿宋"/>
                <w:sz w:val="24"/>
              </w:rPr>
            </w:pPr>
            <w:r>
              <w:rPr>
                <w:rFonts w:hint="eastAsia" w:ascii="宋体" w:hAnsi="宋体" w:cs="仿宋"/>
                <w:sz w:val="24"/>
              </w:rPr>
              <w:t>名称</w:t>
            </w:r>
          </w:p>
        </w:tc>
        <w:tc>
          <w:tcPr>
            <w:tcW w:w="896" w:type="dxa"/>
            <w:tcBorders>
              <w:top w:val="single" w:color="auto" w:sz="12" w:space="0"/>
              <w:bottom w:val="double" w:color="auto" w:sz="6" w:space="0"/>
            </w:tcBorders>
            <w:noWrap w:val="0"/>
            <w:vAlign w:val="center"/>
          </w:tcPr>
          <w:p w14:paraId="7E8B529E">
            <w:pPr>
              <w:keepNext/>
              <w:adjustRightInd w:val="0"/>
              <w:snapToGrid w:val="0"/>
              <w:spacing w:line="300" w:lineRule="exact"/>
              <w:ind w:left="63" w:right="63"/>
              <w:jc w:val="center"/>
              <w:rPr>
                <w:rFonts w:ascii="宋体" w:hAnsi="宋体" w:cs="仿宋"/>
                <w:sz w:val="24"/>
              </w:rPr>
            </w:pPr>
            <w:r>
              <w:rPr>
                <w:rFonts w:hint="eastAsia" w:ascii="宋体" w:hAnsi="宋体" w:cs="仿宋"/>
                <w:sz w:val="24"/>
              </w:rPr>
              <w:t>单位</w:t>
            </w:r>
          </w:p>
        </w:tc>
        <w:tc>
          <w:tcPr>
            <w:tcW w:w="815" w:type="dxa"/>
            <w:tcBorders>
              <w:top w:val="single" w:color="auto" w:sz="12" w:space="0"/>
              <w:bottom w:val="double" w:color="auto" w:sz="6" w:space="0"/>
            </w:tcBorders>
            <w:noWrap w:val="0"/>
            <w:vAlign w:val="center"/>
          </w:tcPr>
          <w:p w14:paraId="04D2A75F">
            <w:pPr>
              <w:keepNext/>
              <w:adjustRightInd w:val="0"/>
              <w:snapToGrid w:val="0"/>
              <w:spacing w:line="300" w:lineRule="exact"/>
              <w:ind w:left="63" w:right="63"/>
              <w:jc w:val="center"/>
              <w:rPr>
                <w:rFonts w:ascii="宋体" w:hAnsi="宋体" w:cs="仿宋"/>
                <w:sz w:val="24"/>
              </w:rPr>
            </w:pPr>
            <w:r>
              <w:rPr>
                <w:rFonts w:hint="eastAsia" w:ascii="宋体" w:hAnsi="宋体" w:cs="仿宋"/>
                <w:sz w:val="24"/>
              </w:rPr>
              <w:t>数量</w:t>
            </w:r>
          </w:p>
        </w:tc>
        <w:tc>
          <w:tcPr>
            <w:tcW w:w="1423" w:type="dxa"/>
            <w:tcBorders>
              <w:top w:val="single" w:color="auto" w:sz="12" w:space="0"/>
              <w:bottom w:val="double" w:color="auto" w:sz="6" w:space="0"/>
            </w:tcBorders>
            <w:noWrap w:val="0"/>
            <w:vAlign w:val="center"/>
          </w:tcPr>
          <w:p w14:paraId="178DB6BD">
            <w:pPr>
              <w:keepNext/>
              <w:adjustRightInd w:val="0"/>
              <w:snapToGrid w:val="0"/>
              <w:spacing w:line="300" w:lineRule="exact"/>
              <w:ind w:left="63" w:right="63"/>
              <w:jc w:val="center"/>
              <w:rPr>
                <w:rFonts w:ascii="宋体" w:hAnsi="宋体" w:cs="仿宋"/>
                <w:sz w:val="24"/>
              </w:rPr>
            </w:pPr>
            <w:r>
              <w:rPr>
                <w:rFonts w:hint="eastAsia" w:ascii="宋体" w:hAnsi="宋体" w:cs="仿宋"/>
                <w:sz w:val="24"/>
              </w:rPr>
              <w:t>单价（元）</w:t>
            </w:r>
          </w:p>
        </w:tc>
        <w:tc>
          <w:tcPr>
            <w:tcW w:w="1492" w:type="dxa"/>
            <w:tcBorders>
              <w:top w:val="single" w:color="auto" w:sz="12" w:space="0"/>
              <w:bottom w:val="double" w:color="auto" w:sz="6" w:space="0"/>
            </w:tcBorders>
            <w:noWrap w:val="0"/>
            <w:vAlign w:val="center"/>
          </w:tcPr>
          <w:p w14:paraId="7A9491A2">
            <w:pPr>
              <w:keepNext/>
              <w:adjustRightInd w:val="0"/>
              <w:snapToGrid w:val="0"/>
              <w:spacing w:line="300" w:lineRule="exact"/>
              <w:ind w:left="63" w:right="63"/>
              <w:jc w:val="center"/>
              <w:rPr>
                <w:rFonts w:ascii="宋体" w:hAnsi="宋体" w:cs="仿宋"/>
                <w:sz w:val="24"/>
              </w:rPr>
            </w:pPr>
            <w:r>
              <w:rPr>
                <w:rFonts w:hint="eastAsia" w:ascii="宋体" w:hAnsi="宋体" w:cs="仿宋"/>
                <w:sz w:val="24"/>
              </w:rPr>
              <w:t>合价（元）</w:t>
            </w:r>
          </w:p>
        </w:tc>
        <w:tc>
          <w:tcPr>
            <w:tcW w:w="1790" w:type="dxa"/>
            <w:tcBorders>
              <w:top w:val="single" w:color="auto" w:sz="12" w:space="0"/>
              <w:bottom w:val="double" w:color="auto" w:sz="6" w:space="0"/>
            </w:tcBorders>
            <w:noWrap w:val="0"/>
            <w:vAlign w:val="center"/>
          </w:tcPr>
          <w:p w14:paraId="23986F25">
            <w:pPr>
              <w:keepNext/>
              <w:adjustRightInd w:val="0"/>
              <w:snapToGrid w:val="0"/>
              <w:spacing w:line="300" w:lineRule="exact"/>
              <w:ind w:left="63" w:right="63"/>
              <w:jc w:val="center"/>
              <w:rPr>
                <w:rFonts w:ascii="宋体" w:hAnsi="宋体" w:cs="仿宋"/>
                <w:sz w:val="24"/>
              </w:rPr>
            </w:pPr>
            <w:r>
              <w:rPr>
                <w:rFonts w:hint="eastAsia" w:ascii="宋体" w:hAnsi="宋体" w:cs="仿宋"/>
                <w:sz w:val="24"/>
              </w:rPr>
              <w:t>备注</w:t>
            </w:r>
          </w:p>
        </w:tc>
      </w:tr>
      <w:tr w14:paraId="4FBF01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tcBorders>
              <w:top w:val="double" w:color="auto" w:sz="6" w:space="0"/>
              <w:bottom w:val="single" w:color="auto" w:sz="6" w:space="0"/>
            </w:tcBorders>
            <w:noWrap w:val="0"/>
            <w:vAlign w:val="center"/>
          </w:tcPr>
          <w:p w14:paraId="76551292">
            <w:pPr>
              <w:keepNext/>
              <w:adjustRightInd w:val="0"/>
              <w:snapToGrid w:val="0"/>
              <w:spacing w:line="300" w:lineRule="exact"/>
              <w:ind w:left="63" w:right="63"/>
              <w:jc w:val="center"/>
              <w:rPr>
                <w:rFonts w:ascii="宋体" w:hAnsi="宋体" w:cs="仿宋"/>
                <w:sz w:val="24"/>
              </w:rPr>
            </w:pPr>
          </w:p>
        </w:tc>
        <w:tc>
          <w:tcPr>
            <w:tcW w:w="2088" w:type="dxa"/>
            <w:tcBorders>
              <w:top w:val="double" w:color="auto" w:sz="6" w:space="0"/>
              <w:bottom w:val="single" w:color="auto" w:sz="6" w:space="0"/>
            </w:tcBorders>
            <w:noWrap w:val="0"/>
            <w:vAlign w:val="center"/>
          </w:tcPr>
          <w:p w14:paraId="7A0E4236">
            <w:pPr>
              <w:keepNext/>
              <w:adjustRightInd w:val="0"/>
              <w:snapToGrid w:val="0"/>
              <w:spacing w:line="300" w:lineRule="exact"/>
              <w:ind w:left="63" w:right="63"/>
              <w:jc w:val="center"/>
              <w:rPr>
                <w:rFonts w:ascii="宋体" w:hAnsi="宋体" w:cs="仿宋"/>
                <w:sz w:val="24"/>
              </w:rPr>
            </w:pPr>
          </w:p>
        </w:tc>
        <w:tc>
          <w:tcPr>
            <w:tcW w:w="896" w:type="dxa"/>
            <w:tcBorders>
              <w:top w:val="double" w:color="auto" w:sz="6" w:space="0"/>
              <w:bottom w:val="single" w:color="auto" w:sz="6" w:space="0"/>
            </w:tcBorders>
            <w:noWrap w:val="0"/>
            <w:vAlign w:val="center"/>
          </w:tcPr>
          <w:p w14:paraId="4A7DE011">
            <w:pPr>
              <w:keepNext/>
              <w:adjustRightInd w:val="0"/>
              <w:snapToGrid w:val="0"/>
              <w:spacing w:line="300" w:lineRule="exact"/>
              <w:ind w:left="63" w:right="63"/>
              <w:jc w:val="center"/>
              <w:rPr>
                <w:rFonts w:ascii="宋体" w:hAnsi="宋体" w:cs="仿宋"/>
                <w:sz w:val="24"/>
              </w:rPr>
            </w:pPr>
          </w:p>
        </w:tc>
        <w:tc>
          <w:tcPr>
            <w:tcW w:w="815" w:type="dxa"/>
            <w:tcBorders>
              <w:top w:val="double" w:color="auto" w:sz="6" w:space="0"/>
              <w:bottom w:val="single" w:color="auto" w:sz="6" w:space="0"/>
            </w:tcBorders>
            <w:noWrap w:val="0"/>
            <w:vAlign w:val="center"/>
          </w:tcPr>
          <w:p w14:paraId="53D6EEFD">
            <w:pPr>
              <w:keepNext/>
              <w:adjustRightInd w:val="0"/>
              <w:snapToGrid w:val="0"/>
              <w:spacing w:line="300" w:lineRule="exact"/>
              <w:ind w:left="63" w:right="63"/>
              <w:jc w:val="center"/>
              <w:rPr>
                <w:rFonts w:ascii="宋体" w:hAnsi="宋体" w:cs="仿宋"/>
                <w:sz w:val="24"/>
              </w:rPr>
            </w:pPr>
          </w:p>
        </w:tc>
        <w:tc>
          <w:tcPr>
            <w:tcW w:w="1423" w:type="dxa"/>
            <w:tcBorders>
              <w:top w:val="double" w:color="auto" w:sz="6" w:space="0"/>
              <w:bottom w:val="single" w:color="auto" w:sz="6" w:space="0"/>
            </w:tcBorders>
            <w:noWrap w:val="0"/>
            <w:vAlign w:val="center"/>
          </w:tcPr>
          <w:p w14:paraId="0F781BF6">
            <w:pPr>
              <w:keepNext/>
              <w:adjustRightInd w:val="0"/>
              <w:snapToGrid w:val="0"/>
              <w:spacing w:line="300" w:lineRule="exact"/>
              <w:ind w:left="63" w:right="63"/>
              <w:jc w:val="center"/>
              <w:rPr>
                <w:rFonts w:ascii="宋体" w:hAnsi="宋体" w:cs="仿宋"/>
                <w:sz w:val="24"/>
              </w:rPr>
            </w:pPr>
          </w:p>
        </w:tc>
        <w:tc>
          <w:tcPr>
            <w:tcW w:w="1492" w:type="dxa"/>
            <w:tcBorders>
              <w:top w:val="double" w:color="auto" w:sz="6" w:space="0"/>
              <w:bottom w:val="single" w:color="auto" w:sz="6" w:space="0"/>
            </w:tcBorders>
            <w:noWrap w:val="0"/>
            <w:vAlign w:val="center"/>
          </w:tcPr>
          <w:p w14:paraId="7624F121">
            <w:pPr>
              <w:keepNext/>
              <w:adjustRightInd w:val="0"/>
              <w:snapToGrid w:val="0"/>
              <w:spacing w:line="300" w:lineRule="exact"/>
              <w:ind w:left="63" w:right="63"/>
              <w:jc w:val="center"/>
              <w:rPr>
                <w:rFonts w:ascii="宋体" w:hAnsi="宋体" w:cs="仿宋"/>
                <w:sz w:val="24"/>
              </w:rPr>
            </w:pPr>
          </w:p>
        </w:tc>
        <w:tc>
          <w:tcPr>
            <w:tcW w:w="1790" w:type="dxa"/>
            <w:tcBorders>
              <w:top w:val="double" w:color="auto" w:sz="6" w:space="0"/>
              <w:bottom w:val="single" w:color="auto" w:sz="6" w:space="0"/>
            </w:tcBorders>
            <w:noWrap w:val="0"/>
            <w:vAlign w:val="center"/>
          </w:tcPr>
          <w:p w14:paraId="5C0397EB">
            <w:pPr>
              <w:keepNext/>
              <w:adjustRightInd w:val="0"/>
              <w:snapToGrid w:val="0"/>
              <w:spacing w:line="300" w:lineRule="exact"/>
              <w:ind w:left="63" w:right="63"/>
              <w:jc w:val="center"/>
              <w:rPr>
                <w:rFonts w:ascii="宋体" w:hAnsi="宋体" w:cs="仿宋"/>
                <w:sz w:val="24"/>
              </w:rPr>
            </w:pPr>
          </w:p>
        </w:tc>
      </w:tr>
      <w:tr w14:paraId="7A086F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tcBorders>
              <w:top w:val="nil"/>
            </w:tcBorders>
            <w:noWrap w:val="0"/>
            <w:vAlign w:val="center"/>
          </w:tcPr>
          <w:p w14:paraId="05AD7DB9">
            <w:pPr>
              <w:keepNext/>
              <w:adjustRightInd w:val="0"/>
              <w:snapToGrid w:val="0"/>
              <w:spacing w:line="300" w:lineRule="exact"/>
              <w:ind w:left="63" w:right="63"/>
              <w:jc w:val="center"/>
              <w:rPr>
                <w:rFonts w:ascii="宋体" w:hAnsi="宋体" w:cs="仿宋"/>
                <w:sz w:val="24"/>
              </w:rPr>
            </w:pPr>
          </w:p>
        </w:tc>
        <w:tc>
          <w:tcPr>
            <w:tcW w:w="2088" w:type="dxa"/>
            <w:tcBorders>
              <w:top w:val="nil"/>
            </w:tcBorders>
            <w:noWrap w:val="0"/>
            <w:vAlign w:val="center"/>
          </w:tcPr>
          <w:p w14:paraId="0B5F4BCA">
            <w:pPr>
              <w:keepNext/>
              <w:adjustRightInd w:val="0"/>
              <w:snapToGrid w:val="0"/>
              <w:spacing w:line="300" w:lineRule="exact"/>
              <w:ind w:left="63" w:right="63"/>
              <w:jc w:val="center"/>
              <w:rPr>
                <w:rFonts w:ascii="宋体" w:hAnsi="宋体" w:cs="仿宋"/>
                <w:sz w:val="24"/>
              </w:rPr>
            </w:pPr>
          </w:p>
        </w:tc>
        <w:tc>
          <w:tcPr>
            <w:tcW w:w="896" w:type="dxa"/>
            <w:tcBorders>
              <w:top w:val="nil"/>
            </w:tcBorders>
            <w:noWrap w:val="0"/>
            <w:vAlign w:val="center"/>
          </w:tcPr>
          <w:p w14:paraId="783F30AD">
            <w:pPr>
              <w:keepNext/>
              <w:adjustRightInd w:val="0"/>
              <w:snapToGrid w:val="0"/>
              <w:spacing w:line="300" w:lineRule="exact"/>
              <w:ind w:left="63" w:right="63"/>
              <w:jc w:val="center"/>
              <w:rPr>
                <w:rFonts w:ascii="宋体" w:hAnsi="宋体" w:cs="仿宋"/>
                <w:sz w:val="24"/>
              </w:rPr>
            </w:pPr>
          </w:p>
        </w:tc>
        <w:tc>
          <w:tcPr>
            <w:tcW w:w="815" w:type="dxa"/>
            <w:tcBorders>
              <w:top w:val="nil"/>
            </w:tcBorders>
            <w:noWrap w:val="0"/>
            <w:vAlign w:val="center"/>
          </w:tcPr>
          <w:p w14:paraId="4A98CDD9">
            <w:pPr>
              <w:keepNext/>
              <w:adjustRightInd w:val="0"/>
              <w:snapToGrid w:val="0"/>
              <w:spacing w:line="300" w:lineRule="exact"/>
              <w:ind w:left="63" w:right="63"/>
              <w:jc w:val="center"/>
              <w:rPr>
                <w:rFonts w:ascii="宋体" w:hAnsi="宋体" w:cs="仿宋"/>
                <w:sz w:val="24"/>
              </w:rPr>
            </w:pPr>
          </w:p>
        </w:tc>
        <w:tc>
          <w:tcPr>
            <w:tcW w:w="1423" w:type="dxa"/>
            <w:tcBorders>
              <w:top w:val="nil"/>
            </w:tcBorders>
            <w:noWrap w:val="0"/>
            <w:vAlign w:val="center"/>
          </w:tcPr>
          <w:p w14:paraId="26B7D2F7">
            <w:pPr>
              <w:keepNext/>
              <w:adjustRightInd w:val="0"/>
              <w:snapToGrid w:val="0"/>
              <w:spacing w:line="300" w:lineRule="exact"/>
              <w:ind w:left="63" w:right="63"/>
              <w:jc w:val="center"/>
              <w:rPr>
                <w:rFonts w:ascii="宋体" w:hAnsi="宋体" w:cs="仿宋"/>
                <w:sz w:val="24"/>
              </w:rPr>
            </w:pPr>
          </w:p>
        </w:tc>
        <w:tc>
          <w:tcPr>
            <w:tcW w:w="1492" w:type="dxa"/>
            <w:tcBorders>
              <w:top w:val="nil"/>
            </w:tcBorders>
            <w:noWrap w:val="0"/>
            <w:vAlign w:val="center"/>
          </w:tcPr>
          <w:p w14:paraId="5EC7569D">
            <w:pPr>
              <w:keepNext/>
              <w:adjustRightInd w:val="0"/>
              <w:snapToGrid w:val="0"/>
              <w:spacing w:line="300" w:lineRule="exact"/>
              <w:ind w:left="63" w:right="63"/>
              <w:jc w:val="center"/>
              <w:rPr>
                <w:rFonts w:ascii="宋体" w:hAnsi="宋体" w:cs="仿宋"/>
                <w:sz w:val="24"/>
              </w:rPr>
            </w:pPr>
          </w:p>
        </w:tc>
        <w:tc>
          <w:tcPr>
            <w:tcW w:w="1790" w:type="dxa"/>
            <w:tcBorders>
              <w:top w:val="nil"/>
            </w:tcBorders>
            <w:noWrap w:val="0"/>
            <w:vAlign w:val="center"/>
          </w:tcPr>
          <w:p w14:paraId="20E68293">
            <w:pPr>
              <w:keepNext/>
              <w:adjustRightInd w:val="0"/>
              <w:snapToGrid w:val="0"/>
              <w:spacing w:line="300" w:lineRule="exact"/>
              <w:ind w:left="63" w:right="63"/>
              <w:jc w:val="center"/>
              <w:rPr>
                <w:rFonts w:ascii="宋体" w:hAnsi="宋体" w:cs="仿宋"/>
                <w:sz w:val="24"/>
              </w:rPr>
            </w:pPr>
          </w:p>
        </w:tc>
      </w:tr>
      <w:tr w14:paraId="48C1F5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082C7E2D">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635FE20E">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169317C6">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673AC22E">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03DFE6A5">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5C41E5EF">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3E00D0FA">
            <w:pPr>
              <w:keepNext/>
              <w:adjustRightInd w:val="0"/>
              <w:snapToGrid w:val="0"/>
              <w:spacing w:line="300" w:lineRule="exact"/>
              <w:ind w:left="63" w:right="63"/>
              <w:jc w:val="center"/>
              <w:rPr>
                <w:rFonts w:ascii="宋体" w:hAnsi="宋体" w:cs="仿宋"/>
                <w:sz w:val="24"/>
              </w:rPr>
            </w:pPr>
          </w:p>
        </w:tc>
      </w:tr>
      <w:tr w14:paraId="75C258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38E4E229">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6031B711">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04846C7A">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7541ACCA">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315F14CE">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52EC8428">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2E04E5C0">
            <w:pPr>
              <w:keepNext/>
              <w:adjustRightInd w:val="0"/>
              <w:snapToGrid w:val="0"/>
              <w:spacing w:line="300" w:lineRule="exact"/>
              <w:ind w:left="63" w:right="63"/>
              <w:jc w:val="center"/>
              <w:rPr>
                <w:rFonts w:ascii="宋体" w:hAnsi="宋体" w:cs="仿宋"/>
                <w:sz w:val="24"/>
              </w:rPr>
            </w:pPr>
          </w:p>
        </w:tc>
      </w:tr>
      <w:tr w14:paraId="15430A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2D5EA712">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0027349E">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40D1153E">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3559C9B3">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7F1A4499">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02530E48">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2EF84D5A">
            <w:pPr>
              <w:keepNext/>
              <w:adjustRightInd w:val="0"/>
              <w:snapToGrid w:val="0"/>
              <w:spacing w:line="300" w:lineRule="exact"/>
              <w:ind w:left="63" w:right="63"/>
              <w:jc w:val="center"/>
              <w:rPr>
                <w:rFonts w:ascii="宋体" w:hAnsi="宋体" w:cs="仿宋"/>
                <w:sz w:val="24"/>
              </w:rPr>
            </w:pPr>
          </w:p>
        </w:tc>
      </w:tr>
      <w:tr w14:paraId="69CB3E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0B8BD444">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3B38FD82">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276E35BB">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7E8E2EA9">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40A918ED">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5C7C67BB">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0B41E240">
            <w:pPr>
              <w:keepNext/>
              <w:adjustRightInd w:val="0"/>
              <w:snapToGrid w:val="0"/>
              <w:spacing w:line="300" w:lineRule="exact"/>
              <w:ind w:left="63" w:right="63"/>
              <w:jc w:val="center"/>
              <w:rPr>
                <w:rFonts w:ascii="宋体" w:hAnsi="宋体" w:cs="仿宋"/>
                <w:sz w:val="24"/>
              </w:rPr>
            </w:pPr>
          </w:p>
        </w:tc>
      </w:tr>
      <w:tr w14:paraId="732C68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667C752C">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69FC7D5A">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7A52E3AC">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5F7A0D2E">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371241D2">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0835EAC6">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2B8E0EFE">
            <w:pPr>
              <w:keepNext/>
              <w:adjustRightInd w:val="0"/>
              <w:snapToGrid w:val="0"/>
              <w:spacing w:line="300" w:lineRule="exact"/>
              <w:ind w:left="63" w:right="63"/>
              <w:jc w:val="center"/>
              <w:rPr>
                <w:rFonts w:ascii="宋体" w:hAnsi="宋体" w:cs="仿宋"/>
                <w:sz w:val="24"/>
              </w:rPr>
            </w:pPr>
          </w:p>
        </w:tc>
      </w:tr>
      <w:tr w14:paraId="018F8B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110DB8A4">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2C0C88FF">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29A21DEA">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2D833D59">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6BE5AC63">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3295DCBC">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22EEBB87">
            <w:pPr>
              <w:keepNext/>
              <w:adjustRightInd w:val="0"/>
              <w:snapToGrid w:val="0"/>
              <w:spacing w:line="300" w:lineRule="exact"/>
              <w:ind w:left="63" w:right="63"/>
              <w:jc w:val="center"/>
              <w:rPr>
                <w:rFonts w:ascii="宋体" w:hAnsi="宋体" w:cs="仿宋"/>
                <w:sz w:val="24"/>
              </w:rPr>
            </w:pPr>
          </w:p>
        </w:tc>
      </w:tr>
      <w:tr w14:paraId="4831C7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575F1655">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060AF816">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512BA818">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5DC9B286">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22B3317B">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33F2A724">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4C4E3CAC">
            <w:pPr>
              <w:keepNext/>
              <w:adjustRightInd w:val="0"/>
              <w:snapToGrid w:val="0"/>
              <w:spacing w:line="300" w:lineRule="exact"/>
              <w:ind w:left="63" w:right="63"/>
              <w:jc w:val="center"/>
              <w:rPr>
                <w:rFonts w:ascii="宋体" w:hAnsi="宋体" w:cs="仿宋"/>
                <w:sz w:val="24"/>
              </w:rPr>
            </w:pPr>
          </w:p>
        </w:tc>
      </w:tr>
      <w:tr w14:paraId="75D106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6ECE2462">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0763FE0E">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05E928AF">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7FBD113E">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2AD865CB">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7379CC63">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4F25DEAD">
            <w:pPr>
              <w:keepNext/>
              <w:adjustRightInd w:val="0"/>
              <w:snapToGrid w:val="0"/>
              <w:spacing w:line="300" w:lineRule="exact"/>
              <w:ind w:left="63" w:right="63"/>
              <w:jc w:val="center"/>
              <w:rPr>
                <w:rFonts w:ascii="宋体" w:hAnsi="宋体" w:cs="仿宋"/>
                <w:sz w:val="24"/>
              </w:rPr>
            </w:pPr>
          </w:p>
        </w:tc>
      </w:tr>
      <w:tr w14:paraId="3E715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6E326494">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1C86ACC1">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5650DC34">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4772F077">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2EEA8446">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5C3BD4E0">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72409F63">
            <w:pPr>
              <w:keepNext/>
              <w:adjustRightInd w:val="0"/>
              <w:snapToGrid w:val="0"/>
              <w:spacing w:line="300" w:lineRule="exact"/>
              <w:ind w:left="63" w:right="63"/>
              <w:jc w:val="center"/>
              <w:rPr>
                <w:rFonts w:ascii="宋体" w:hAnsi="宋体" w:cs="仿宋"/>
                <w:sz w:val="24"/>
              </w:rPr>
            </w:pPr>
          </w:p>
        </w:tc>
      </w:tr>
      <w:tr w14:paraId="6EF36C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0BE89117">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105F3617">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3047C3CE">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41B78C89">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57949895">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7774ACB4">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3C91A45A">
            <w:pPr>
              <w:keepNext/>
              <w:adjustRightInd w:val="0"/>
              <w:snapToGrid w:val="0"/>
              <w:spacing w:line="300" w:lineRule="exact"/>
              <w:ind w:left="63" w:right="63"/>
              <w:jc w:val="center"/>
              <w:rPr>
                <w:rFonts w:ascii="宋体" w:hAnsi="宋体" w:cs="仿宋"/>
                <w:sz w:val="24"/>
              </w:rPr>
            </w:pPr>
          </w:p>
        </w:tc>
      </w:tr>
      <w:tr w14:paraId="120338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2F9EE018">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752F80B1">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577593C7">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4F62EE6B">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01421E59">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050D6BF6">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7F3B3F3B">
            <w:pPr>
              <w:keepNext/>
              <w:adjustRightInd w:val="0"/>
              <w:snapToGrid w:val="0"/>
              <w:spacing w:line="300" w:lineRule="exact"/>
              <w:ind w:left="63" w:right="63"/>
              <w:jc w:val="center"/>
              <w:rPr>
                <w:rFonts w:ascii="宋体" w:hAnsi="宋体" w:cs="仿宋"/>
                <w:sz w:val="24"/>
              </w:rPr>
            </w:pPr>
          </w:p>
        </w:tc>
      </w:tr>
      <w:tr w14:paraId="74EF78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6AF9EC39">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2F383890">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732D668A">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50A0846F">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25133BC4">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2CC2127E">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67100732">
            <w:pPr>
              <w:keepNext/>
              <w:adjustRightInd w:val="0"/>
              <w:snapToGrid w:val="0"/>
              <w:spacing w:line="300" w:lineRule="exact"/>
              <w:ind w:left="63" w:right="63"/>
              <w:jc w:val="center"/>
              <w:rPr>
                <w:rFonts w:ascii="宋体" w:hAnsi="宋体" w:cs="仿宋"/>
                <w:sz w:val="24"/>
              </w:rPr>
            </w:pPr>
          </w:p>
        </w:tc>
      </w:tr>
      <w:tr w14:paraId="4BD68F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210CC35F">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075AA057">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36ADE0A5">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784BCD6D">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2B2DB284">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1E88B05B">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155E985D">
            <w:pPr>
              <w:keepNext/>
              <w:adjustRightInd w:val="0"/>
              <w:snapToGrid w:val="0"/>
              <w:spacing w:line="300" w:lineRule="exact"/>
              <w:ind w:left="63" w:right="63"/>
              <w:jc w:val="center"/>
              <w:rPr>
                <w:rFonts w:ascii="宋体" w:hAnsi="宋体" w:cs="仿宋"/>
                <w:sz w:val="24"/>
              </w:rPr>
            </w:pPr>
          </w:p>
        </w:tc>
      </w:tr>
      <w:tr w14:paraId="7EE5FD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055802A2">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6F970744">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387068D4">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78EE8CEC">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66E15E9A">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3F31D720">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1879FD94">
            <w:pPr>
              <w:keepNext/>
              <w:adjustRightInd w:val="0"/>
              <w:snapToGrid w:val="0"/>
              <w:spacing w:line="300" w:lineRule="exact"/>
              <w:ind w:left="63" w:right="63"/>
              <w:jc w:val="center"/>
              <w:rPr>
                <w:rFonts w:ascii="宋体" w:hAnsi="宋体" w:cs="仿宋"/>
                <w:sz w:val="24"/>
              </w:rPr>
            </w:pPr>
          </w:p>
        </w:tc>
      </w:tr>
      <w:tr w14:paraId="7DC78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531ED55A">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4312BB97">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222AF7B6">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4FDE943D">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2BF55D70">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28583FBF">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634EF438">
            <w:pPr>
              <w:keepNext/>
              <w:adjustRightInd w:val="0"/>
              <w:snapToGrid w:val="0"/>
              <w:spacing w:line="300" w:lineRule="exact"/>
              <w:ind w:left="63" w:right="63"/>
              <w:jc w:val="center"/>
              <w:rPr>
                <w:rFonts w:ascii="宋体" w:hAnsi="宋体" w:cs="仿宋"/>
                <w:sz w:val="24"/>
              </w:rPr>
            </w:pPr>
          </w:p>
        </w:tc>
      </w:tr>
      <w:tr w14:paraId="0F603C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643A537F">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40F8F8CA">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64C2F880">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4FE209B1">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269E9FBB">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480FC77B">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598247CD">
            <w:pPr>
              <w:keepNext/>
              <w:adjustRightInd w:val="0"/>
              <w:snapToGrid w:val="0"/>
              <w:spacing w:line="300" w:lineRule="exact"/>
              <w:ind w:left="63" w:right="63"/>
              <w:jc w:val="center"/>
              <w:rPr>
                <w:rFonts w:ascii="宋体" w:hAnsi="宋体" w:cs="仿宋"/>
                <w:sz w:val="24"/>
              </w:rPr>
            </w:pPr>
          </w:p>
        </w:tc>
      </w:tr>
      <w:tr w14:paraId="6778A6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14FF07C6">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4228F307">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61E3A35D">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548E2BE6">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36494663">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7712034D">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2970AFCD">
            <w:pPr>
              <w:keepNext/>
              <w:adjustRightInd w:val="0"/>
              <w:snapToGrid w:val="0"/>
              <w:spacing w:line="300" w:lineRule="exact"/>
              <w:ind w:left="63" w:right="63"/>
              <w:jc w:val="center"/>
              <w:rPr>
                <w:rFonts w:ascii="宋体" w:hAnsi="宋体" w:cs="仿宋"/>
                <w:sz w:val="24"/>
              </w:rPr>
            </w:pPr>
          </w:p>
        </w:tc>
      </w:tr>
      <w:tr w14:paraId="3D9A9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21510488">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25657BF1">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795BEF63">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430C8B74">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07B937A3">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465ADBB5">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557C92C0">
            <w:pPr>
              <w:keepNext/>
              <w:adjustRightInd w:val="0"/>
              <w:snapToGrid w:val="0"/>
              <w:spacing w:line="300" w:lineRule="exact"/>
              <w:ind w:left="63" w:right="63"/>
              <w:jc w:val="center"/>
              <w:rPr>
                <w:rFonts w:ascii="宋体" w:hAnsi="宋体" w:cs="仿宋"/>
                <w:sz w:val="24"/>
              </w:rPr>
            </w:pPr>
          </w:p>
        </w:tc>
      </w:tr>
      <w:tr w14:paraId="7948C1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jc w:val="center"/>
        </w:trPr>
        <w:tc>
          <w:tcPr>
            <w:tcW w:w="1045" w:type="dxa"/>
            <w:noWrap w:val="0"/>
            <w:vAlign w:val="center"/>
          </w:tcPr>
          <w:p w14:paraId="5DA56E9E">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1BF5D3E6">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195F437B">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3AA3CF6B">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55B9B738">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66CBA191">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28F09479">
            <w:pPr>
              <w:keepNext/>
              <w:adjustRightInd w:val="0"/>
              <w:snapToGrid w:val="0"/>
              <w:spacing w:line="300" w:lineRule="exact"/>
              <w:ind w:left="63" w:right="63"/>
              <w:jc w:val="center"/>
              <w:rPr>
                <w:rFonts w:ascii="宋体" w:hAnsi="宋体" w:cs="仿宋"/>
                <w:sz w:val="24"/>
              </w:rPr>
            </w:pPr>
          </w:p>
        </w:tc>
      </w:tr>
      <w:tr w14:paraId="2117F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1045" w:type="dxa"/>
            <w:noWrap w:val="0"/>
            <w:vAlign w:val="center"/>
          </w:tcPr>
          <w:p w14:paraId="1086E7A0">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0D1CDAD7">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23832AB1">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1F57A2D9">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1A8A2B31">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267CA026">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2155BB49">
            <w:pPr>
              <w:keepNext/>
              <w:adjustRightInd w:val="0"/>
              <w:snapToGrid w:val="0"/>
              <w:spacing w:line="300" w:lineRule="exact"/>
              <w:ind w:left="63" w:right="63"/>
              <w:jc w:val="center"/>
              <w:rPr>
                <w:rFonts w:ascii="宋体" w:hAnsi="宋体" w:cs="仿宋"/>
                <w:sz w:val="24"/>
              </w:rPr>
            </w:pPr>
          </w:p>
        </w:tc>
      </w:tr>
      <w:tr w14:paraId="599CE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5" w:hRule="atLeast"/>
          <w:jc w:val="center"/>
        </w:trPr>
        <w:tc>
          <w:tcPr>
            <w:tcW w:w="1045" w:type="dxa"/>
            <w:noWrap w:val="0"/>
            <w:vAlign w:val="center"/>
          </w:tcPr>
          <w:p w14:paraId="2CB81DD6">
            <w:pPr>
              <w:keepNext/>
              <w:adjustRightInd w:val="0"/>
              <w:snapToGrid w:val="0"/>
              <w:spacing w:line="300" w:lineRule="exact"/>
              <w:ind w:left="63" w:right="63"/>
              <w:jc w:val="center"/>
              <w:rPr>
                <w:rFonts w:ascii="宋体" w:hAnsi="宋体" w:cs="仿宋"/>
                <w:sz w:val="24"/>
              </w:rPr>
            </w:pPr>
          </w:p>
        </w:tc>
        <w:tc>
          <w:tcPr>
            <w:tcW w:w="2088" w:type="dxa"/>
            <w:noWrap w:val="0"/>
            <w:vAlign w:val="center"/>
          </w:tcPr>
          <w:p w14:paraId="72384051">
            <w:pPr>
              <w:keepNext/>
              <w:adjustRightInd w:val="0"/>
              <w:snapToGrid w:val="0"/>
              <w:spacing w:line="300" w:lineRule="exact"/>
              <w:ind w:left="63" w:right="63"/>
              <w:jc w:val="center"/>
              <w:rPr>
                <w:rFonts w:ascii="宋体" w:hAnsi="宋体" w:cs="仿宋"/>
                <w:sz w:val="24"/>
              </w:rPr>
            </w:pPr>
          </w:p>
        </w:tc>
        <w:tc>
          <w:tcPr>
            <w:tcW w:w="896" w:type="dxa"/>
            <w:noWrap w:val="0"/>
            <w:vAlign w:val="center"/>
          </w:tcPr>
          <w:p w14:paraId="2418317E">
            <w:pPr>
              <w:keepNext/>
              <w:adjustRightInd w:val="0"/>
              <w:snapToGrid w:val="0"/>
              <w:spacing w:line="300" w:lineRule="exact"/>
              <w:ind w:left="63" w:right="63"/>
              <w:jc w:val="center"/>
              <w:rPr>
                <w:rFonts w:ascii="宋体" w:hAnsi="宋体" w:cs="仿宋"/>
                <w:sz w:val="24"/>
              </w:rPr>
            </w:pPr>
          </w:p>
        </w:tc>
        <w:tc>
          <w:tcPr>
            <w:tcW w:w="815" w:type="dxa"/>
            <w:noWrap w:val="0"/>
            <w:vAlign w:val="center"/>
          </w:tcPr>
          <w:p w14:paraId="197EEC67">
            <w:pPr>
              <w:keepNext/>
              <w:adjustRightInd w:val="0"/>
              <w:snapToGrid w:val="0"/>
              <w:spacing w:line="300" w:lineRule="exact"/>
              <w:ind w:left="63" w:right="63"/>
              <w:jc w:val="center"/>
              <w:rPr>
                <w:rFonts w:ascii="宋体" w:hAnsi="宋体" w:cs="仿宋"/>
                <w:sz w:val="24"/>
              </w:rPr>
            </w:pPr>
          </w:p>
        </w:tc>
        <w:tc>
          <w:tcPr>
            <w:tcW w:w="1423" w:type="dxa"/>
            <w:noWrap w:val="0"/>
            <w:vAlign w:val="center"/>
          </w:tcPr>
          <w:p w14:paraId="04C178A2">
            <w:pPr>
              <w:keepNext/>
              <w:adjustRightInd w:val="0"/>
              <w:snapToGrid w:val="0"/>
              <w:spacing w:line="300" w:lineRule="exact"/>
              <w:ind w:left="63" w:right="63"/>
              <w:jc w:val="center"/>
              <w:rPr>
                <w:rFonts w:ascii="宋体" w:hAnsi="宋体" w:cs="仿宋"/>
                <w:sz w:val="24"/>
              </w:rPr>
            </w:pPr>
          </w:p>
        </w:tc>
        <w:tc>
          <w:tcPr>
            <w:tcW w:w="1492" w:type="dxa"/>
            <w:noWrap w:val="0"/>
            <w:vAlign w:val="center"/>
          </w:tcPr>
          <w:p w14:paraId="283A9143">
            <w:pPr>
              <w:keepNext/>
              <w:adjustRightInd w:val="0"/>
              <w:snapToGrid w:val="0"/>
              <w:spacing w:line="300" w:lineRule="exact"/>
              <w:ind w:left="63" w:right="63"/>
              <w:jc w:val="center"/>
              <w:rPr>
                <w:rFonts w:ascii="宋体" w:hAnsi="宋体" w:cs="仿宋"/>
                <w:sz w:val="24"/>
              </w:rPr>
            </w:pPr>
          </w:p>
        </w:tc>
        <w:tc>
          <w:tcPr>
            <w:tcW w:w="1790" w:type="dxa"/>
            <w:noWrap w:val="0"/>
            <w:vAlign w:val="center"/>
          </w:tcPr>
          <w:p w14:paraId="57AF4A7F">
            <w:pPr>
              <w:keepNext/>
              <w:adjustRightInd w:val="0"/>
              <w:snapToGrid w:val="0"/>
              <w:spacing w:line="300" w:lineRule="exact"/>
              <w:ind w:left="63" w:right="63"/>
              <w:jc w:val="center"/>
              <w:rPr>
                <w:rFonts w:ascii="宋体" w:hAnsi="宋体" w:cs="仿宋"/>
                <w:sz w:val="24"/>
              </w:rPr>
            </w:pPr>
          </w:p>
        </w:tc>
      </w:tr>
    </w:tbl>
    <w:p w14:paraId="2140AA95">
      <w:pPr>
        <w:adjustRightInd w:val="0"/>
        <w:snapToGrid w:val="0"/>
        <w:spacing w:line="360" w:lineRule="auto"/>
        <w:rPr>
          <w:rFonts w:ascii="仿宋" w:hAnsi="仿宋" w:eastAsia="仿宋_GB2312" w:cs="仿宋"/>
          <w:sz w:val="24"/>
        </w:rPr>
      </w:pPr>
    </w:p>
    <w:p w14:paraId="41CBAA43">
      <w:pPr>
        <w:keepNext/>
        <w:keepLines/>
        <w:spacing w:before="260" w:after="260" w:line="416" w:lineRule="auto"/>
        <w:jc w:val="center"/>
        <w:outlineLvl w:val="9"/>
        <w:rPr>
          <w:rFonts w:ascii="黑体" w:hAnsi="黑体" w:eastAsia="黑体" w:cs="仿宋"/>
          <w:bCs/>
          <w:sz w:val="32"/>
          <w:szCs w:val="28"/>
        </w:rPr>
      </w:pPr>
      <w:bookmarkStart w:id="59" w:name="_Toc178155248"/>
      <w:bookmarkStart w:id="60" w:name="_Toc217983405"/>
      <w:bookmarkStart w:id="61" w:name="_Toc176786398"/>
      <w:bookmarkStart w:id="62" w:name="_Toc11590499"/>
      <w:bookmarkStart w:id="63" w:name="_Toc59006219"/>
      <w:r>
        <w:rPr>
          <w:rFonts w:hint="eastAsia" w:ascii="黑体" w:hAnsi="黑体" w:eastAsia="黑体" w:cs="仿宋"/>
          <w:bCs/>
          <w:sz w:val="32"/>
          <w:szCs w:val="28"/>
        </w:rPr>
        <w:t>11-3：专业工程暂估价表</w:t>
      </w:r>
      <w:bookmarkEnd w:id="59"/>
      <w:bookmarkEnd w:id="60"/>
      <w:bookmarkEnd w:id="61"/>
      <w:bookmarkEnd w:id="62"/>
      <w:bookmarkEnd w:id="63"/>
    </w:p>
    <w:tbl>
      <w:tblPr>
        <w:tblStyle w:val="33"/>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CB9BE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center"/>
          </w:tcPr>
          <w:p w14:paraId="3050449A">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序号</w:t>
            </w:r>
          </w:p>
        </w:tc>
        <w:tc>
          <w:tcPr>
            <w:tcW w:w="1984" w:type="dxa"/>
            <w:tcBorders>
              <w:top w:val="single" w:color="auto" w:sz="12" w:space="0"/>
              <w:bottom w:val="double" w:color="auto" w:sz="6" w:space="0"/>
            </w:tcBorders>
            <w:noWrap w:val="0"/>
            <w:vAlign w:val="center"/>
          </w:tcPr>
          <w:p w14:paraId="64D857FA">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名称</w:t>
            </w:r>
          </w:p>
        </w:tc>
        <w:tc>
          <w:tcPr>
            <w:tcW w:w="851" w:type="dxa"/>
            <w:tcBorders>
              <w:top w:val="single" w:color="auto" w:sz="12" w:space="0"/>
              <w:bottom w:val="double" w:color="auto" w:sz="6" w:space="0"/>
            </w:tcBorders>
            <w:noWrap w:val="0"/>
            <w:vAlign w:val="center"/>
          </w:tcPr>
          <w:p w14:paraId="442439A7">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单位</w:t>
            </w:r>
          </w:p>
        </w:tc>
        <w:tc>
          <w:tcPr>
            <w:tcW w:w="774" w:type="dxa"/>
            <w:tcBorders>
              <w:top w:val="single" w:color="auto" w:sz="12" w:space="0"/>
              <w:bottom w:val="double" w:color="auto" w:sz="6" w:space="0"/>
            </w:tcBorders>
            <w:noWrap w:val="0"/>
            <w:vAlign w:val="center"/>
          </w:tcPr>
          <w:p w14:paraId="7D21915F">
            <w:pPr>
              <w:keepNext/>
              <w:adjustRightInd w:val="0"/>
              <w:snapToGrid w:val="0"/>
              <w:spacing w:line="360" w:lineRule="auto"/>
              <w:ind w:left="63" w:right="63"/>
              <w:jc w:val="center"/>
              <w:rPr>
                <w:rFonts w:ascii="宋体" w:hAnsi="宋体" w:cs="仿宋"/>
                <w:sz w:val="24"/>
              </w:rPr>
            </w:pPr>
            <w:r>
              <w:rPr>
                <w:rFonts w:hint="eastAsia" w:ascii="宋体" w:hAnsi="宋体" w:cs="仿宋"/>
                <w:sz w:val="24"/>
              </w:rPr>
              <w:t>数量</w:t>
            </w:r>
          </w:p>
        </w:tc>
        <w:tc>
          <w:tcPr>
            <w:tcW w:w="1352" w:type="dxa"/>
            <w:tcBorders>
              <w:top w:val="single" w:color="auto" w:sz="12" w:space="0"/>
              <w:bottom w:val="double" w:color="auto" w:sz="6" w:space="0"/>
            </w:tcBorders>
            <w:noWrap w:val="0"/>
            <w:vAlign w:val="center"/>
          </w:tcPr>
          <w:p w14:paraId="06C65274">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单价（元）</w:t>
            </w:r>
          </w:p>
        </w:tc>
        <w:tc>
          <w:tcPr>
            <w:tcW w:w="1418" w:type="dxa"/>
            <w:tcBorders>
              <w:top w:val="single" w:color="auto" w:sz="12" w:space="0"/>
              <w:bottom w:val="double" w:color="auto" w:sz="6" w:space="0"/>
            </w:tcBorders>
            <w:noWrap w:val="0"/>
            <w:vAlign w:val="center"/>
          </w:tcPr>
          <w:p w14:paraId="44E6BE6D">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合价（元）</w:t>
            </w:r>
          </w:p>
        </w:tc>
        <w:tc>
          <w:tcPr>
            <w:tcW w:w="1701" w:type="dxa"/>
            <w:tcBorders>
              <w:top w:val="single" w:color="auto" w:sz="12" w:space="0"/>
              <w:bottom w:val="double" w:color="auto" w:sz="6" w:space="0"/>
            </w:tcBorders>
            <w:noWrap w:val="0"/>
            <w:vAlign w:val="center"/>
          </w:tcPr>
          <w:p w14:paraId="11FD77DB">
            <w:pPr>
              <w:keepNext/>
              <w:adjustRightInd w:val="0"/>
              <w:snapToGrid w:val="0"/>
              <w:spacing w:line="360" w:lineRule="auto"/>
              <w:ind w:left="63" w:right="63"/>
              <w:jc w:val="center"/>
              <w:rPr>
                <w:rFonts w:ascii="宋体" w:hAnsi="宋体" w:cs="仿宋"/>
                <w:sz w:val="24"/>
              </w:rPr>
            </w:pPr>
            <w:r>
              <w:rPr>
                <w:rFonts w:hint="eastAsia" w:ascii="宋体" w:hAnsi="宋体" w:cs="仿宋"/>
                <w:sz w:val="24"/>
              </w:rPr>
              <w:t>备注</w:t>
            </w:r>
          </w:p>
        </w:tc>
      </w:tr>
      <w:tr w14:paraId="702446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center"/>
          </w:tcPr>
          <w:p w14:paraId="337390A3">
            <w:pPr>
              <w:keepNext/>
              <w:adjustRightInd w:val="0"/>
              <w:snapToGrid w:val="0"/>
              <w:spacing w:line="360" w:lineRule="auto"/>
              <w:ind w:left="63" w:right="63"/>
              <w:jc w:val="center"/>
              <w:rPr>
                <w:rFonts w:ascii="宋体" w:hAnsi="宋体" w:cs="仿宋"/>
                <w:sz w:val="24"/>
              </w:rPr>
            </w:pPr>
          </w:p>
        </w:tc>
        <w:tc>
          <w:tcPr>
            <w:tcW w:w="1984" w:type="dxa"/>
            <w:tcBorders>
              <w:top w:val="double" w:color="auto" w:sz="6" w:space="0"/>
              <w:bottom w:val="single" w:color="auto" w:sz="6" w:space="0"/>
            </w:tcBorders>
            <w:noWrap w:val="0"/>
            <w:vAlign w:val="center"/>
          </w:tcPr>
          <w:p w14:paraId="541A5E0B">
            <w:pPr>
              <w:keepNext/>
              <w:adjustRightInd w:val="0"/>
              <w:snapToGrid w:val="0"/>
              <w:spacing w:line="360" w:lineRule="auto"/>
              <w:ind w:left="63" w:right="63"/>
              <w:jc w:val="center"/>
              <w:rPr>
                <w:rFonts w:ascii="宋体" w:hAnsi="宋体" w:cs="仿宋"/>
                <w:sz w:val="24"/>
              </w:rPr>
            </w:pPr>
          </w:p>
        </w:tc>
        <w:tc>
          <w:tcPr>
            <w:tcW w:w="851" w:type="dxa"/>
            <w:tcBorders>
              <w:top w:val="double" w:color="auto" w:sz="6" w:space="0"/>
              <w:bottom w:val="single" w:color="auto" w:sz="6" w:space="0"/>
            </w:tcBorders>
            <w:noWrap w:val="0"/>
            <w:vAlign w:val="center"/>
          </w:tcPr>
          <w:p w14:paraId="69169BF5">
            <w:pPr>
              <w:keepNext/>
              <w:adjustRightInd w:val="0"/>
              <w:snapToGrid w:val="0"/>
              <w:spacing w:line="360" w:lineRule="auto"/>
              <w:ind w:left="63" w:right="63"/>
              <w:jc w:val="center"/>
              <w:rPr>
                <w:rFonts w:ascii="宋体" w:hAnsi="宋体" w:cs="仿宋"/>
                <w:sz w:val="24"/>
              </w:rPr>
            </w:pPr>
          </w:p>
        </w:tc>
        <w:tc>
          <w:tcPr>
            <w:tcW w:w="774" w:type="dxa"/>
            <w:tcBorders>
              <w:top w:val="double" w:color="auto" w:sz="6" w:space="0"/>
              <w:bottom w:val="single" w:color="auto" w:sz="6" w:space="0"/>
            </w:tcBorders>
            <w:noWrap w:val="0"/>
            <w:vAlign w:val="center"/>
          </w:tcPr>
          <w:p w14:paraId="0A3A3BDE">
            <w:pPr>
              <w:keepNext/>
              <w:adjustRightInd w:val="0"/>
              <w:snapToGrid w:val="0"/>
              <w:spacing w:line="360" w:lineRule="auto"/>
              <w:ind w:left="63" w:right="63"/>
              <w:jc w:val="center"/>
              <w:rPr>
                <w:rFonts w:ascii="宋体" w:hAnsi="宋体" w:cs="仿宋"/>
                <w:sz w:val="24"/>
              </w:rPr>
            </w:pPr>
          </w:p>
        </w:tc>
        <w:tc>
          <w:tcPr>
            <w:tcW w:w="1352" w:type="dxa"/>
            <w:tcBorders>
              <w:top w:val="double" w:color="auto" w:sz="6" w:space="0"/>
              <w:bottom w:val="single" w:color="auto" w:sz="6" w:space="0"/>
            </w:tcBorders>
            <w:noWrap w:val="0"/>
            <w:vAlign w:val="center"/>
          </w:tcPr>
          <w:p w14:paraId="034123A8">
            <w:pPr>
              <w:keepNext/>
              <w:adjustRightInd w:val="0"/>
              <w:snapToGrid w:val="0"/>
              <w:spacing w:line="360" w:lineRule="auto"/>
              <w:ind w:left="63" w:right="63"/>
              <w:jc w:val="center"/>
              <w:rPr>
                <w:rFonts w:ascii="宋体" w:hAnsi="宋体" w:cs="仿宋"/>
                <w:sz w:val="24"/>
              </w:rPr>
            </w:pPr>
          </w:p>
        </w:tc>
        <w:tc>
          <w:tcPr>
            <w:tcW w:w="1418" w:type="dxa"/>
            <w:tcBorders>
              <w:top w:val="double" w:color="auto" w:sz="6" w:space="0"/>
              <w:bottom w:val="single" w:color="auto" w:sz="6" w:space="0"/>
            </w:tcBorders>
            <w:noWrap w:val="0"/>
            <w:vAlign w:val="center"/>
          </w:tcPr>
          <w:p w14:paraId="5CC16415">
            <w:pPr>
              <w:keepNext/>
              <w:adjustRightInd w:val="0"/>
              <w:snapToGrid w:val="0"/>
              <w:spacing w:line="360" w:lineRule="auto"/>
              <w:ind w:left="63" w:right="63"/>
              <w:jc w:val="center"/>
              <w:rPr>
                <w:rFonts w:ascii="宋体" w:hAnsi="宋体" w:cs="仿宋"/>
                <w:sz w:val="24"/>
              </w:rPr>
            </w:pPr>
          </w:p>
        </w:tc>
        <w:tc>
          <w:tcPr>
            <w:tcW w:w="1701" w:type="dxa"/>
            <w:tcBorders>
              <w:top w:val="double" w:color="auto" w:sz="6" w:space="0"/>
              <w:bottom w:val="single" w:color="auto" w:sz="6" w:space="0"/>
            </w:tcBorders>
            <w:noWrap w:val="0"/>
            <w:vAlign w:val="center"/>
          </w:tcPr>
          <w:p w14:paraId="2A466083">
            <w:pPr>
              <w:keepNext/>
              <w:adjustRightInd w:val="0"/>
              <w:snapToGrid w:val="0"/>
              <w:spacing w:line="360" w:lineRule="auto"/>
              <w:ind w:left="63" w:right="63"/>
              <w:jc w:val="center"/>
              <w:rPr>
                <w:rFonts w:ascii="宋体" w:hAnsi="宋体" w:cs="仿宋"/>
                <w:sz w:val="24"/>
              </w:rPr>
            </w:pPr>
          </w:p>
        </w:tc>
      </w:tr>
      <w:tr w14:paraId="51DF27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center"/>
          </w:tcPr>
          <w:p w14:paraId="3544CC09">
            <w:pPr>
              <w:keepNext/>
              <w:adjustRightInd w:val="0"/>
              <w:snapToGrid w:val="0"/>
              <w:spacing w:line="360" w:lineRule="auto"/>
              <w:ind w:left="63" w:right="63"/>
              <w:jc w:val="center"/>
              <w:rPr>
                <w:rFonts w:ascii="宋体" w:hAnsi="宋体" w:cs="仿宋"/>
                <w:sz w:val="24"/>
              </w:rPr>
            </w:pPr>
          </w:p>
        </w:tc>
        <w:tc>
          <w:tcPr>
            <w:tcW w:w="1984" w:type="dxa"/>
            <w:tcBorders>
              <w:top w:val="nil"/>
            </w:tcBorders>
            <w:noWrap w:val="0"/>
            <w:vAlign w:val="center"/>
          </w:tcPr>
          <w:p w14:paraId="6DBB1355">
            <w:pPr>
              <w:keepNext/>
              <w:adjustRightInd w:val="0"/>
              <w:snapToGrid w:val="0"/>
              <w:spacing w:line="360" w:lineRule="auto"/>
              <w:ind w:left="63" w:right="63"/>
              <w:jc w:val="center"/>
              <w:rPr>
                <w:rFonts w:ascii="宋体" w:hAnsi="宋体" w:cs="仿宋"/>
                <w:sz w:val="24"/>
              </w:rPr>
            </w:pPr>
          </w:p>
        </w:tc>
        <w:tc>
          <w:tcPr>
            <w:tcW w:w="851" w:type="dxa"/>
            <w:tcBorders>
              <w:top w:val="nil"/>
            </w:tcBorders>
            <w:noWrap w:val="0"/>
            <w:vAlign w:val="center"/>
          </w:tcPr>
          <w:p w14:paraId="4F1EAEE2">
            <w:pPr>
              <w:keepNext/>
              <w:adjustRightInd w:val="0"/>
              <w:snapToGrid w:val="0"/>
              <w:spacing w:line="360" w:lineRule="auto"/>
              <w:ind w:left="63" w:right="63"/>
              <w:jc w:val="center"/>
              <w:rPr>
                <w:rFonts w:ascii="宋体" w:hAnsi="宋体" w:cs="仿宋"/>
                <w:sz w:val="24"/>
              </w:rPr>
            </w:pPr>
          </w:p>
        </w:tc>
        <w:tc>
          <w:tcPr>
            <w:tcW w:w="774" w:type="dxa"/>
            <w:tcBorders>
              <w:top w:val="nil"/>
            </w:tcBorders>
            <w:noWrap w:val="0"/>
            <w:vAlign w:val="center"/>
          </w:tcPr>
          <w:p w14:paraId="1F734CB2">
            <w:pPr>
              <w:keepNext/>
              <w:adjustRightInd w:val="0"/>
              <w:snapToGrid w:val="0"/>
              <w:spacing w:line="360" w:lineRule="auto"/>
              <w:ind w:left="63" w:right="63"/>
              <w:jc w:val="center"/>
              <w:rPr>
                <w:rFonts w:ascii="宋体" w:hAnsi="宋体" w:cs="仿宋"/>
                <w:sz w:val="24"/>
              </w:rPr>
            </w:pPr>
          </w:p>
        </w:tc>
        <w:tc>
          <w:tcPr>
            <w:tcW w:w="1352" w:type="dxa"/>
            <w:tcBorders>
              <w:top w:val="nil"/>
            </w:tcBorders>
            <w:noWrap w:val="0"/>
            <w:vAlign w:val="center"/>
          </w:tcPr>
          <w:p w14:paraId="4D82F0B8">
            <w:pPr>
              <w:keepNext/>
              <w:adjustRightInd w:val="0"/>
              <w:snapToGrid w:val="0"/>
              <w:spacing w:line="360" w:lineRule="auto"/>
              <w:ind w:left="63" w:right="63"/>
              <w:jc w:val="center"/>
              <w:rPr>
                <w:rFonts w:ascii="宋体" w:hAnsi="宋体" w:cs="仿宋"/>
                <w:sz w:val="24"/>
              </w:rPr>
            </w:pPr>
          </w:p>
        </w:tc>
        <w:tc>
          <w:tcPr>
            <w:tcW w:w="1418" w:type="dxa"/>
            <w:tcBorders>
              <w:top w:val="nil"/>
            </w:tcBorders>
            <w:noWrap w:val="0"/>
            <w:vAlign w:val="center"/>
          </w:tcPr>
          <w:p w14:paraId="68057815">
            <w:pPr>
              <w:keepNext/>
              <w:adjustRightInd w:val="0"/>
              <w:snapToGrid w:val="0"/>
              <w:spacing w:line="360" w:lineRule="auto"/>
              <w:ind w:left="63" w:right="63"/>
              <w:jc w:val="center"/>
              <w:rPr>
                <w:rFonts w:ascii="宋体" w:hAnsi="宋体" w:cs="仿宋"/>
                <w:sz w:val="24"/>
              </w:rPr>
            </w:pPr>
          </w:p>
        </w:tc>
        <w:tc>
          <w:tcPr>
            <w:tcW w:w="1701" w:type="dxa"/>
            <w:tcBorders>
              <w:top w:val="nil"/>
            </w:tcBorders>
            <w:noWrap w:val="0"/>
            <w:vAlign w:val="center"/>
          </w:tcPr>
          <w:p w14:paraId="71766CBC">
            <w:pPr>
              <w:keepNext/>
              <w:adjustRightInd w:val="0"/>
              <w:snapToGrid w:val="0"/>
              <w:spacing w:line="360" w:lineRule="auto"/>
              <w:ind w:left="63" w:right="63"/>
              <w:jc w:val="center"/>
              <w:rPr>
                <w:rFonts w:ascii="宋体" w:hAnsi="宋体" w:cs="仿宋"/>
                <w:sz w:val="24"/>
              </w:rPr>
            </w:pPr>
          </w:p>
        </w:tc>
      </w:tr>
      <w:tr w14:paraId="18D2A0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noWrap w:val="0"/>
            <w:vAlign w:val="center"/>
          </w:tcPr>
          <w:p w14:paraId="5FAD1223">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2478339E">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7EBD0C08">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7C094AE1">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063B8269">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296AE5CE">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3F9F098E">
            <w:pPr>
              <w:keepNext/>
              <w:adjustRightInd w:val="0"/>
              <w:snapToGrid w:val="0"/>
              <w:spacing w:line="360" w:lineRule="auto"/>
              <w:ind w:left="63" w:right="63"/>
              <w:jc w:val="center"/>
              <w:rPr>
                <w:rFonts w:ascii="宋体" w:hAnsi="宋体" w:cs="仿宋"/>
                <w:sz w:val="24"/>
              </w:rPr>
            </w:pPr>
          </w:p>
        </w:tc>
      </w:tr>
      <w:tr w14:paraId="4D604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59F4B60B">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50C0DFE0">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562539B6">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54FEBDA2">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16CF6712">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3CB5D765">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D655A9F">
            <w:pPr>
              <w:keepNext/>
              <w:adjustRightInd w:val="0"/>
              <w:snapToGrid w:val="0"/>
              <w:spacing w:line="360" w:lineRule="auto"/>
              <w:ind w:left="63" w:right="63"/>
              <w:jc w:val="center"/>
              <w:rPr>
                <w:rFonts w:ascii="宋体" w:hAnsi="宋体" w:cs="仿宋"/>
                <w:sz w:val="24"/>
              </w:rPr>
            </w:pPr>
          </w:p>
        </w:tc>
      </w:tr>
      <w:tr w14:paraId="7D66E9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62A3438E">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32753ECE">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72B5314C">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2F6EC2FB">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36A57C99">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752EBFB5">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50669F2C">
            <w:pPr>
              <w:keepNext/>
              <w:adjustRightInd w:val="0"/>
              <w:snapToGrid w:val="0"/>
              <w:spacing w:line="360" w:lineRule="auto"/>
              <w:ind w:left="63" w:right="63"/>
              <w:jc w:val="center"/>
              <w:rPr>
                <w:rFonts w:ascii="宋体" w:hAnsi="宋体" w:cs="仿宋"/>
                <w:sz w:val="24"/>
              </w:rPr>
            </w:pPr>
          </w:p>
        </w:tc>
      </w:tr>
      <w:tr w14:paraId="16CC13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71BE8812">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134410A4">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7C5289D8">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49B6AFCE">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2AADAC8B">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066E50E8">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255C80A5">
            <w:pPr>
              <w:keepNext/>
              <w:adjustRightInd w:val="0"/>
              <w:snapToGrid w:val="0"/>
              <w:spacing w:line="360" w:lineRule="auto"/>
              <w:ind w:left="63" w:right="63"/>
              <w:jc w:val="center"/>
              <w:rPr>
                <w:rFonts w:ascii="宋体" w:hAnsi="宋体" w:cs="仿宋"/>
                <w:sz w:val="24"/>
              </w:rPr>
            </w:pPr>
          </w:p>
        </w:tc>
      </w:tr>
      <w:tr w14:paraId="00343B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486E0353">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5E29869D">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416D7641">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0422BDCC">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68FE65AF">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0286F46E">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31B7118B">
            <w:pPr>
              <w:keepNext/>
              <w:adjustRightInd w:val="0"/>
              <w:snapToGrid w:val="0"/>
              <w:spacing w:line="360" w:lineRule="auto"/>
              <w:ind w:left="63" w:right="63"/>
              <w:jc w:val="center"/>
              <w:rPr>
                <w:rFonts w:ascii="宋体" w:hAnsi="宋体" w:cs="仿宋"/>
                <w:sz w:val="24"/>
              </w:rPr>
            </w:pPr>
          </w:p>
        </w:tc>
      </w:tr>
      <w:tr w14:paraId="7EA88A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03DFD94F">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77766017">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5FD58A2B">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37533145">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5F02239D">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3B105D56">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1A91B14">
            <w:pPr>
              <w:keepNext/>
              <w:adjustRightInd w:val="0"/>
              <w:snapToGrid w:val="0"/>
              <w:spacing w:line="360" w:lineRule="auto"/>
              <w:ind w:left="63" w:right="63"/>
              <w:jc w:val="center"/>
              <w:rPr>
                <w:rFonts w:ascii="宋体" w:hAnsi="宋体" w:cs="仿宋"/>
                <w:sz w:val="24"/>
              </w:rPr>
            </w:pPr>
          </w:p>
        </w:tc>
      </w:tr>
      <w:tr w14:paraId="7D1F7B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1DAC82A7">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1D70B1C1">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182AD6C3">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2534AB97">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1180082C">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50CF874B">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07508379">
            <w:pPr>
              <w:keepNext/>
              <w:adjustRightInd w:val="0"/>
              <w:snapToGrid w:val="0"/>
              <w:spacing w:line="360" w:lineRule="auto"/>
              <w:ind w:left="63" w:right="63"/>
              <w:jc w:val="center"/>
              <w:rPr>
                <w:rFonts w:ascii="宋体" w:hAnsi="宋体" w:cs="仿宋"/>
                <w:sz w:val="24"/>
              </w:rPr>
            </w:pPr>
          </w:p>
        </w:tc>
      </w:tr>
      <w:tr w14:paraId="369920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5D4A8C9E">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0A94BD84">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46D43F0E">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68740BA3">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0DAE5E16">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1DFB4E65">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2E510E82">
            <w:pPr>
              <w:keepNext/>
              <w:adjustRightInd w:val="0"/>
              <w:snapToGrid w:val="0"/>
              <w:spacing w:line="360" w:lineRule="auto"/>
              <w:ind w:left="63" w:right="63"/>
              <w:jc w:val="center"/>
              <w:rPr>
                <w:rFonts w:ascii="宋体" w:hAnsi="宋体" w:cs="仿宋"/>
                <w:sz w:val="24"/>
              </w:rPr>
            </w:pPr>
          </w:p>
        </w:tc>
      </w:tr>
      <w:tr w14:paraId="08BADB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225EB2FE">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72945EB7">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3530EC2A">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49313048">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6D53B1CC">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0213FD32">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271F4B47">
            <w:pPr>
              <w:keepNext/>
              <w:adjustRightInd w:val="0"/>
              <w:snapToGrid w:val="0"/>
              <w:spacing w:line="360" w:lineRule="auto"/>
              <w:ind w:left="63" w:right="63"/>
              <w:jc w:val="center"/>
              <w:rPr>
                <w:rFonts w:ascii="宋体" w:hAnsi="宋体" w:cs="仿宋"/>
                <w:sz w:val="24"/>
              </w:rPr>
            </w:pPr>
          </w:p>
        </w:tc>
      </w:tr>
      <w:tr w14:paraId="3ADEBC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228A8B76">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36E91684">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2DF4722F">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4AEEAEA1">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79AA9BC2">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5AEBAACC">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4FF64535">
            <w:pPr>
              <w:keepNext/>
              <w:adjustRightInd w:val="0"/>
              <w:snapToGrid w:val="0"/>
              <w:spacing w:line="360" w:lineRule="auto"/>
              <w:ind w:left="63" w:right="63"/>
              <w:jc w:val="center"/>
              <w:rPr>
                <w:rFonts w:ascii="宋体" w:hAnsi="宋体" w:cs="仿宋"/>
                <w:sz w:val="24"/>
              </w:rPr>
            </w:pPr>
          </w:p>
        </w:tc>
      </w:tr>
      <w:tr w14:paraId="55C0DD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5BBD81A5">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6958478C">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3312D11E">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729D2D6E">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036F3393">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43D1BBBA">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197C5835">
            <w:pPr>
              <w:keepNext/>
              <w:adjustRightInd w:val="0"/>
              <w:snapToGrid w:val="0"/>
              <w:spacing w:line="360" w:lineRule="auto"/>
              <w:ind w:left="63" w:right="63"/>
              <w:jc w:val="center"/>
              <w:rPr>
                <w:rFonts w:ascii="宋体" w:hAnsi="宋体" w:cs="仿宋"/>
                <w:sz w:val="24"/>
              </w:rPr>
            </w:pPr>
          </w:p>
        </w:tc>
      </w:tr>
      <w:tr w14:paraId="11A406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noWrap w:val="0"/>
            <w:vAlign w:val="center"/>
          </w:tcPr>
          <w:p w14:paraId="2D4BB426">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3B041C2C">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6632E0A1">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35F94338">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3B8666F7">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6DD8B878">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4E5AE92">
            <w:pPr>
              <w:keepNext/>
              <w:adjustRightInd w:val="0"/>
              <w:snapToGrid w:val="0"/>
              <w:spacing w:line="360" w:lineRule="auto"/>
              <w:ind w:left="63" w:right="63"/>
              <w:jc w:val="center"/>
              <w:rPr>
                <w:rFonts w:ascii="宋体" w:hAnsi="宋体" w:cs="仿宋"/>
                <w:sz w:val="24"/>
              </w:rPr>
            </w:pPr>
          </w:p>
        </w:tc>
      </w:tr>
      <w:tr w14:paraId="77D52C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noWrap w:val="0"/>
            <w:vAlign w:val="center"/>
          </w:tcPr>
          <w:p w14:paraId="751CDD0F">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233E6BF3">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5DED5CC5">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248F9635">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18836E6F">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20D5DC7D">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05A13114">
            <w:pPr>
              <w:keepNext/>
              <w:adjustRightInd w:val="0"/>
              <w:snapToGrid w:val="0"/>
              <w:spacing w:line="360" w:lineRule="auto"/>
              <w:ind w:left="63" w:right="63"/>
              <w:jc w:val="center"/>
              <w:rPr>
                <w:rFonts w:ascii="宋体" w:hAnsi="宋体" w:cs="仿宋"/>
                <w:sz w:val="24"/>
              </w:rPr>
            </w:pPr>
          </w:p>
        </w:tc>
      </w:tr>
      <w:tr w14:paraId="11282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1E491DAE">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3C182B79">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3A87A34A">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788C0853">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21E565CD">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6ED5AA8A">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59733697">
            <w:pPr>
              <w:keepNext/>
              <w:adjustRightInd w:val="0"/>
              <w:snapToGrid w:val="0"/>
              <w:spacing w:line="360" w:lineRule="auto"/>
              <w:ind w:left="63" w:right="63"/>
              <w:jc w:val="center"/>
              <w:rPr>
                <w:rFonts w:ascii="宋体" w:hAnsi="宋体" w:cs="仿宋"/>
                <w:sz w:val="24"/>
              </w:rPr>
            </w:pPr>
          </w:p>
        </w:tc>
      </w:tr>
      <w:tr w14:paraId="0E9C18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3CE054CF">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323E0EF6">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51A861CC">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1547678E">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580E3D37">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1EB0E003">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2EE9E638">
            <w:pPr>
              <w:keepNext/>
              <w:adjustRightInd w:val="0"/>
              <w:snapToGrid w:val="0"/>
              <w:spacing w:line="360" w:lineRule="auto"/>
              <w:ind w:left="63" w:right="63"/>
              <w:jc w:val="center"/>
              <w:rPr>
                <w:rFonts w:ascii="宋体" w:hAnsi="宋体" w:cs="仿宋"/>
                <w:sz w:val="24"/>
              </w:rPr>
            </w:pPr>
          </w:p>
        </w:tc>
      </w:tr>
      <w:tr w14:paraId="6980B5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1D8D8B2F">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262C8802">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13204CA8">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687650CD">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2F98456E">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5C898479">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08F9B2E6">
            <w:pPr>
              <w:keepNext/>
              <w:adjustRightInd w:val="0"/>
              <w:snapToGrid w:val="0"/>
              <w:spacing w:line="360" w:lineRule="auto"/>
              <w:ind w:left="63" w:right="63"/>
              <w:jc w:val="center"/>
              <w:rPr>
                <w:rFonts w:ascii="宋体" w:hAnsi="宋体" w:cs="仿宋"/>
                <w:sz w:val="24"/>
              </w:rPr>
            </w:pPr>
          </w:p>
        </w:tc>
      </w:tr>
      <w:tr w14:paraId="1E96A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3BE9E074">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7A7916E3">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278BE3ED">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7D7704C9">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5B9AD4E7">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055D96BE">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3C921B92">
            <w:pPr>
              <w:keepNext/>
              <w:adjustRightInd w:val="0"/>
              <w:snapToGrid w:val="0"/>
              <w:spacing w:line="360" w:lineRule="auto"/>
              <w:ind w:left="63" w:right="63"/>
              <w:jc w:val="center"/>
              <w:rPr>
                <w:rFonts w:ascii="宋体" w:hAnsi="宋体" w:cs="仿宋"/>
                <w:sz w:val="24"/>
              </w:rPr>
            </w:pPr>
          </w:p>
        </w:tc>
      </w:tr>
      <w:tr w14:paraId="274B6C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2F86EB64">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1C6DF907">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53969D50">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18CF8C17">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5640EDF4">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112C22E1">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7B1C331">
            <w:pPr>
              <w:keepNext/>
              <w:adjustRightInd w:val="0"/>
              <w:snapToGrid w:val="0"/>
              <w:spacing w:line="360" w:lineRule="auto"/>
              <w:ind w:left="63" w:right="63"/>
              <w:jc w:val="center"/>
              <w:rPr>
                <w:rFonts w:ascii="宋体" w:hAnsi="宋体" w:cs="仿宋"/>
                <w:sz w:val="24"/>
              </w:rPr>
            </w:pPr>
          </w:p>
        </w:tc>
      </w:tr>
      <w:tr w14:paraId="012B71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26AD7DA7">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4AB427F6">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19FF2F15">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3CF8DFF9">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60313099">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54831A67">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634957B5">
            <w:pPr>
              <w:keepNext/>
              <w:adjustRightInd w:val="0"/>
              <w:snapToGrid w:val="0"/>
              <w:spacing w:line="360" w:lineRule="auto"/>
              <w:ind w:left="63" w:right="63"/>
              <w:jc w:val="center"/>
              <w:rPr>
                <w:rFonts w:ascii="宋体" w:hAnsi="宋体" w:cs="仿宋"/>
                <w:sz w:val="24"/>
              </w:rPr>
            </w:pPr>
          </w:p>
        </w:tc>
      </w:tr>
      <w:tr w14:paraId="54D568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2419F0A9">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7EC81809">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2F3D0943">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5719B0CE">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6301DC53">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363B87F5">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7E92FB03">
            <w:pPr>
              <w:keepNext/>
              <w:adjustRightInd w:val="0"/>
              <w:snapToGrid w:val="0"/>
              <w:spacing w:line="360" w:lineRule="auto"/>
              <w:ind w:left="63" w:right="63"/>
              <w:jc w:val="center"/>
              <w:rPr>
                <w:rFonts w:ascii="宋体" w:hAnsi="宋体" w:cs="仿宋"/>
                <w:sz w:val="24"/>
              </w:rPr>
            </w:pPr>
          </w:p>
        </w:tc>
      </w:tr>
      <w:tr w14:paraId="1B8CCA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center"/>
          </w:tcPr>
          <w:p w14:paraId="7F539985">
            <w:pPr>
              <w:keepNext/>
              <w:adjustRightInd w:val="0"/>
              <w:snapToGrid w:val="0"/>
              <w:spacing w:line="360" w:lineRule="auto"/>
              <w:ind w:left="63" w:right="63"/>
              <w:jc w:val="center"/>
              <w:rPr>
                <w:rFonts w:ascii="宋体" w:hAnsi="宋体" w:cs="仿宋"/>
                <w:sz w:val="24"/>
              </w:rPr>
            </w:pPr>
          </w:p>
        </w:tc>
        <w:tc>
          <w:tcPr>
            <w:tcW w:w="1984" w:type="dxa"/>
            <w:noWrap w:val="0"/>
            <w:vAlign w:val="center"/>
          </w:tcPr>
          <w:p w14:paraId="16CB8183">
            <w:pPr>
              <w:keepNext/>
              <w:adjustRightInd w:val="0"/>
              <w:snapToGrid w:val="0"/>
              <w:spacing w:line="360" w:lineRule="auto"/>
              <w:ind w:left="63" w:right="63"/>
              <w:jc w:val="center"/>
              <w:rPr>
                <w:rFonts w:ascii="宋体" w:hAnsi="宋体" w:cs="仿宋"/>
                <w:sz w:val="24"/>
              </w:rPr>
            </w:pPr>
          </w:p>
        </w:tc>
        <w:tc>
          <w:tcPr>
            <w:tcW w:w="851" w:type="dxa"/>
            <w:noWrap w:val="0"/>
            <w:vAlign w:val="center"/>
          </w:tcPr>
          <w:p w14:paraId="2E528F8D">
            <w:pPr>
              <w:keepNext/>
              <w:adjustRightInd w:val="0"/>
              <w:snapToGrid w:val="0"/>
              <w:spacing w:line="360" w:lineRule="auto"/>
              <w:ind w:left="63" w:right="63"/>
              <w:jc w:val="center"/>
              <w:rPr>
                <w:rFonts w:ascii="宋体" w:hAnsi="宋体" w:cs="仿宋"/>
                <w:sz w:val="24"/>
              </w:rPr>
            </w:pPr>
          </w:p>
        </w:tc>
        <w:tc>
          <w:tcPr>
            <w:tcW w:w="774" w:type="dxa"/>
            <w:noWrap w:val="0"/>
            <w:vAlign w:val="center"/>
          </w:tcPr>
          <w:p w14:paraId="4C1F9EBF">
            <w:pPr>
              <w:keepNext/>
              <w:adjustRightInd w:val="0"/>
              <w:snapToGrid w:val="0"/>
              <w:spacing w:line="360" w:lineRule="auto"/>
              <w:ind w:left="63" w:right="63"/>
              <w:jc w:val="center"/>
              <w:rPr>
                <w:rFonts w:ascii="宋体" w:hAnsi="宋体" w:cs="仿宋"/>
                <w:sz w:val="24"/>
              </w:rPr>
            </w:pPr>
          </w:p>
        </w:tc>
        <w:tc>
          <w:tcPr>
            <w:tcW w:w="1352" w:type="dxa"/>
            <w:noWrap w:val="0"/>
            <w:vAlign w:val="center"/>
          </w:tcPr>
          <w:p w14:paraId="4D321337">
            <w:pPr>
              <w:keepNext/>
              <w:adjustRightInd w:val="0"/>
              <w:snapToGrid w:val="0"/>
              <w:spacing w:line="360" w:lineRule="auto"/>
              <w:ind w:left="63" w:right="63"/>
              <w:jc w:val="center"/>
              <w:rPr>
                <w:rFonts w:ascii="宋体" w:hAnsi="宋体" w:cs="仿宋"/>
                <w:sz w:val="24"/>
              </w:rPr>
            </w:pPr>
          </w:p>
        </w:tc>
        <w:tc>
          <w:tcPr>
            <w:tcW w:w="1418" w:type="dxa"/>
            <w:noWrap w:val="0"/>
            <w:vAlign w:val="center"/>
          </w:tcPr>
          <w:p w14:paraId="6F81CE57">
            <w:pPr>
              <w:keepNext/>
              <w:adjustRightInd w:val="0"/>
              <w:snapToGrid w:val="0"/>
              <w:spacing w:line="360" w:lineRule="auto"/>
              <w:ind w:left="63" w:right="63"/>
              <w:jc w:val="center"/>
              <w:rPr>
                <w:rFonts w:ascii="宋体" w:hAnsi="宋体" w:cs="仿宋"/>
                <w:sz w:val="24"/>
              </w:rPr>
            </w:pPr>
          </w:p>
        </w:tc>
        <w:tc>
          <w:tcPr>
            <w:tcW w:w="1701" w:type="dxa"/>
            <w:noWrap w:val="0"/>
            <w:vAlign w:val="center"/>
          </w:tcPr>
          <w:p w14:paraId="0C00A5DD">
            <w:pPr>
              <w:keepNext/>
              <w:adjustRightInd w:val="0"/>
              <w:snapToGrid w:val="0"/>
              <w:spacing w:line="360" w:lineRule="auto"/>
              <w:ind w:left="63" w:right="63"/>
              <w:jc w:val="center"/>
              <w:rPr>
                <w:rFonts w:ascii="宋体" w:hAnsi="宋体" w:cs="仿宋"/>
                <w:sz w:val="24"/>
              </w:rPr>
            </w:pPr>
          </w:p>
        </w:tc>
      </w:tr>
    </w:tbl>
    <w:p w14:paraId="26F3A3DF">
      <w:pPr>
        <w:keepNext/>
        <w:keepLines/>
        <w:spacing w:before="260" w:after="260" w:line="416" w:lineRule="auto"/>
        <w:jc w:val="left"/>
        <w:outlineLvl w:val="9"/>
        <w:rPr>
          <w:rFonts w:ascii="黑体" w:hAnsi="黑体" w:eastAsia="黑体" w:cs="仿宋"/>
          <w:bCs/>
          <w:sz w:val="32"/>
          <w:szCs w:val="28"/>
        </w:rPr>
      </w:pPr>
      <w:bookmarkStart w:id="64" w:name="_Toc176786399"/>
      <w:bookmarkStart w:id="65" w:name="_Toc178155249"/>
      <w:bookmarkStart w:id="66" w:name="_Toc217983406"/>
      <w:bookmarkStart w:id="67" w:name="_Toc59006220"/>
    </w:p>
    <w:p w14:paraId="134C680D">
      <w:pPr>
        <w:keepNext/>
        <w:keepLines/>
        <w:spacing w:before="260" w:after="260" w:line="416" w:lineRule="auto"/>
        <w:jc w:val="left"/>
        <w:outlineLvl w:val="1"/>
        <w:rPr>
          <w:rFonts w:ascii="黑体" w:hAnsi="黑体" w:eastAsia="黑体" w:cs="仿宋"/>
          <w:bCs/>
          <w:sz w:val="32"/>
          <w:szCs w:val="28"/>
        </w:rPr>
      </w:pPr>
      <w:r>
        <w:rPr>
          <w:rFonts w:ascii="黑体" w:hAnsi="黑体" w:eastAsia="黑体" w:cs="仿宋"/>
          <w:bCs/>
          <w:sz w:val="32"/>
          <w:szCs w:val="28"/>
        </w:rPr>
        <w:br w:type="page"/>
      </w:r>
      <w:r>
        <w:rPr>
          <w:rFonts w:hint="eastAsia" w:ascii="黑体" w:hAnsi="黑体" w:eastAsia="黑体" w:cs="仿宋"/>
          <w:bCs/>
          <w:sz w:val="32"/>
          <w:szCs w:val="28"/>
        </w:rPr>
        <w:t>附件10：</w:t>
      </w:r>
      <w:bookmarkEnd w:id="64"/>
      <w:bookmarkEnd w:id="65"/>
      <w:bookmarkEnd w:id="66"/>
      <w:bookmarkEnd w:id="67"/>
    </w:p>
    <w:p w14:paraId="6A15BEE9">
      <w:pPr>
        <w:keepNext/>
        <w:keepLines/>
        <w:spacing w:before="260" w:after="260" w:line="416" w:lineRule="auto"/>
        <w:jc w:val="center"/>
        <w:outlineLvl w:val="9"/>
        <w:rPr>
          <w:rFonts w:ascii="黑体" w:hAnsi="黑体" w:eastAsia="黑体" w:cs="仿宋"/>
          <w:bCs/>
          <w:sz w:val="32"/>
          <w:szCs w:val="28"/>
        </w:rPr>
      </w:pPr>
      <w:bookmarkStart w:id="68" w:name="_Toc176786400"/>
      <w:bookmarkStart w:id="69" w:name="_Toc178155250"/>
      <w:bookmarkStart w:id="70" w:name="_Toc59006221"/>
      <w:bookmarkStart w:id="71" w:name="_Toc11590500"/>
      <w:bookmarkStart w:id="72" w:name="_Toc217983407"/>
      <w:r>
        <w:rPr>
          <w:rFonts w:hint="eastAsia" w:ascii="黑体" w:hAnsi="黑体" w:eastAsia="黑体" w:cs="仿宋"/>
          <w:bCs/>
          <w:sz w:val="32"/>
          <w:szCs w:val="28"/>
        </w:rPr>
        <w:t>施工现场安全生产管理责任书</w:t>
      </w:r>
      <w:bookmarkEnd w:id="68"/>
      <w:bookmarkEnd w:id="69"/>
      <w:bookmarkEnd w:id="70"/>
      <w:bookmarkEnd w:id="71"/>
      <w:bookmarkEnd w:id="72"/>
    </w:p>
    <w:p w14:paraId="1193F38F">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发包人：</w:t>
      </w:r>
      <w:r>
        <w:rPr>
          <w:rFonts w:hint="eastAsia" w:ascii="宋体" w:hAnsi="宋体" w:cs="仿宋"/>
          <w:sz w:val="24"/>
          <w:u w:val="single"/>
        </w:rPr>
        <w:t>以下简称甲方）</w:t>
      </w:r>
    </w:p>
    <w:p w14:paraId="232A648A">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承包人：</w:t>
      </w:r>
      <w:r>
        <w:rPr>
          <w:rFonts w:hint="eastAsia" w:ascii="宋体" w:hAnsi="宋体" w:cs="仿宋"/>
          <w:sz w:val="24"/>
          <w:u w:val="single"/>
        </w:rPr>
        <w:t>（以下简称乙方）</w:t>
      </w:r>
    </w:p>
    <w:p w14:paraId="6DCB5D17">
      <w:pPr>
        <w:adjustRightInd w:val="0"/>
        <w:spacing w:line="500" w:lineRule="exact"/>
        <w:ind w:firstLine="480" w:firstLineChars="200"/>
        <w:contextualSpacing/>
        <w:rPr>
          <w:rFonts w:ascii="宋体" w:hAnsi="宋体" w:cs="仿宋"/>
          <w:sz w:val="24"/>
        </w:rPr>
      </w:pPr>
      <w:r>
        <w:rPr>
          <w:rFonts w:hint="eastAsia" w:ascii="宋体" w:hAnsi="宋体" w:cs="仿宋"/>
          <w:sz w:val="24"/>
        </w:rPr>
        <w:t>甲方将工程项目发包给乙方施工，为贯彻“安全第一、预防为主”的方针，全面贯彻执行《安全生产法》、《中华人民共和国消防法》和《建设工程安全生产管理条例》，双方就安全管理达成如下条款。</w:t>
      </w:r>
    </w:p>
    <w:p w14:paraId="52E7FBE5">
      <w:pPr>
        <w:adjustRightInd w:val="0"/>
        <w:spacing w:line="500" w:lineRule="exact"/>
        <w:ind w:left="-280" w:leftChars="-100" w:firstLine="480" w:firstLineChars="200"/>
        <w:contextualSpacing/>
        <w:rPr>
          <w:rFonts w:ascii="宋体" w:hAnsi="宋体" w:cs="仿宋"/>
          <w:sz w:val="24"/>
        </w:rPr>
      </w:pPr>
      <w:r>
        <w:rPr>
          <w:rFonts w:hint="eastAsia" w:ascii="宋体" w:hAnsi="宋体" w:cs="仿宋"/>
          <w:sz w:val="24"/>
        </w:rPr>
        <w:t>一、安全生产管理条款</w:t>
      </w:r>
    </w:p>
    <w:p w14:paraId="35C7BD75">
      <w:pPr>
        <w:adjustRightInd w:val="0"/>
        <w:spacing w:line="500" w:lineRule="exact"/>
        <w:ind w:left="-280" w:leftChars="-100" w:firstLine="480" w:firstLineChars="200"/>
        <w:contextualSpacing/>
        <w:rPr>
          <w:rFonts w:ascii="宋体" w:hAnsi="宋体" w:cs="仿宋"/>
          <w:sz w:val="24"/>
        </w:rPr>
      </w:pPr>
      <w:r>
        <w:rPr>
          <w:rFonts w:hint="eastAsia" w:ascii="宋体" w:hAnsi="宋体" w:cs="仿宋"/>
          <w:sz w:val="24"/>
        </w:rPr>
        <w:t>（一）甲方、乙方双方必须认真贯彻国家、有关部委、当地政府颁发的有关安全生产的法律、法规、规范和规定。</w:t>
      </w:r>
    </w:p>
    <w:p w14:paraId="09644A34">
      <w:pPr>
        <w:adjustRightInd w:val="0"/>
        <w:spacing w:line="500" w:lineRule="exact"/>
        <w:ind w:left="-280" w:leftChars="-100" w:firstLine="480" w:firstLineChars="200"/>
        <w:contextualSpacing/>
        <w:rPr>
          <w:rFonts w:ascii="宋体" w:hAnsi="宋体" w:cs="仿宋"/>
          <w:sz w:val="24"/>
        </w:rPr>
      </w:pPr>
      <w:r>
        <w:rPr>
          <w:rFonts w:hint="eastAsia" w:ascii="宋体" w:hAnsi="宋体" w:cs="仿宋"/>
          <w:sz w:val="24"/>
        </w:rPr>
        <w:t>（二）乙方的主要职责和义务</w:t>
      </w:r>
    </w:p>
    <w:p w14:paraId="3D2CD71E">
      <w:pPr>
        <w:adjustRightInd w:val="0"/>
        <w:spacing w:line="500" w:lineRule="exact"/>
        <w:ind w:left="-280" w:leftChars="-100" w:firstLine="480" w:firstLineChars="200"/>
        <w:contextualSpacing/>
        <w:rPr>
          <w:rFonts w:ascii="宋体" w:hAnsi="宋体" w:cs="仿宋"/>
          <w:sz w:val="24"/>
        </w:rPr>
      </w:pPr>
      <w:r>
        <w:rPr>
          <w:rFonts w:hint="eastAsia" w:ascii="宋体" w:hAnsi="宋体" w:cs="仿宋"/>
          <w:sz w:val="24"/>
        </w:rPr>
        <w:t>1.乙方在施工期间必须严格遵守和执行国家、行业、地方、乙方企业在安全生产、治安保卫方面的有关规章制度，接受甲方、监理单位的监督、检查和指导。对甲方、监理单位违反安全生产规定、制度的指令，乙方有权要求甲方、监理单位改正。</w:t>
      </w:r>
    </w:p>
    <w:p w14:paraId="703BBA9E">
      <w:pPr>
        <w:adjustRightInd w:val="0"/>
        <w:spacing w:line="500" w:lineRule="exact"/>
        <w:ind w:firstLine="480" w:firstLineChars="200"/>
        <w:contextualSpacing/>
        <w:rPr>
          <w:rFonts w:ascii="宋体" w:hAnsi="宋体" w:cs="仿宋"/>
          <w:sz w:val="24"/>
        </w:rPr>
      </w:pPr>
      <w:r>
        <w:rPr>
          <w:rFonts w:hint="eastAsia" w:ascii="宋体" w:hAnsi="宋体" w:cs="仿宋"/>
          <w:sz w:val="24"/>
        </w:rPr>
        <w:t>2.乙方必须建立、健全安全生产责任制以及安全生产目标管理体系。</w:t>
      </w:r>
    </w:p>
    <w:p w14:paraId="2EB69082">
      <w:pPr>
        <w:adjustRightInd w:val="0"/>
        <w:spacing w:line="500" w:lineRule="exact"/>
        <w:ind w:firstLine="480" w:firstLineChars="200"/>
        <w:contextualSpacing/>
        <w:rPr>
          <w:rFonts w:ascii="宋体" w:hAnsi="宋体" w:cs="仿宋"/>
          <w:sz w:val="24"/>
        </w:rPr>
      </w:pPr>
      <w:r>
        <w:rPr>
          <w:rFonts w:hint="eastAsia" w:ascii="宋体" w:hAnsi="宋体" w:cs="仿宋"/>
          <w:sz w:val="24"/>
        </w:rPr>
        <w:t>3.乙方必须建立安全生产规章制度和操作规程，一般应包括：施工组织设计与专项安全施工方案编审制度；安全技术措施计划执行制度；安全技术交底制度；架体设备安装验收制度；施工机具进场验收与保养维修制度；安全检查制度；安全教育培训制度；伤亡事故报告制度；重特大安全事故应急救援制度；班组安全活动制度；消防防火责任制度；考核奖罚制度；门卫值班和治安保卫制度；卫生保洁制度；不扰民措施等。</w:t>
      </w:r>
    </w:p>
    <w:p w14:paraId="32F9C8BF">
      <w:pPr>
        <w:adjustRightInd w:val="0"/>
        <w:spacing w:line="500" w:lineRule="exact"/>
        <w:ind w:firstLine="480" w:firstLineChars="200"/>
        <w:contextualSpacing/>
        <w:rPr>
          <w:rFonts w:ascii="宋体" w:hAnsi="宋体" w:cs="仿宋"/>
          <w:sz w:val="24"/>
        </w:rPr>
      </w:pPr>
      <w:r>
        <w:rPr>
          <w:rFonts w:hint="eastAsia" w:ascii="宋体" w:hAnsi="宋体" w:cs="仿宋"/>
          <w:sz w:val="24"/>
        </w:rPr>
        <w:t>4.乙方编制《安全管理计划》和施工作业指导书，做好安全交底工作。乙方必须编制施工组织设计、施工方案和特殊作业的施工方案和安全技术措施，经所在公司技术负责人审批后报送甲方审批，审批通过后才能实施，甲方应监督乙方实施；乙方必须严格按施工组织设计和有关安全要求规定组织施工。</w:t>
      </w:r>
    </w:p>
    <w:p w14:paraId="56D9EF93">
      <w:pPr>
        <w:adjustRightInd w:val="0"/>
        <w:spacing w:line="500" w:lineRule="exact"/>
        <w:ind w:firstLine="480" w:firstLineChars="200"/>
        <w:contextualSpacing/>
        <w:rPr>
          <w:rFonts w:ascii="宋体" w:hAnsi="宋体" w:cs="仿宋"/>
          <w:sz w:val="24"/>
        </w:rPr>
      </w:pPr>
      <w:r>
        <w:rPr>
          <w:rFonts w:hint="eastAsia" w:ascii="宋体" w:hAnsi="宋体" w:cs="仿宋"/>
          <w:sz w:val="24"/>
        </w:rPr>
        <w:t>5.甲方、乙方双方都应有安全管理组织体制，包括具体负责安全生产管理人员。乙方必须按照《建筑施工企业安全生产管理机构设置及专职安全生产管理人员配备办法》中的要求配备足够多数量的现场安全员；进入现场施工人员及施工设备、机具、工器具的配备符合有关安全规定要求，确保个人防护用品的质量、配备、佩带方法符合有关要求，确保配备的消防器械的质量、保管和使用方法、热作业区域的管理规定等符合有关要求。</w:t>
      </w:r>
    </w:p>
    <w:p w14:paraId="533C7F40">
      <w:pPr>
        <w:adjustRightInd w:val="0"/>
        <w:spacing w:line="500" w:lineRule="exact"/>
        <w:ind w:firstLine="480" w:firstLineChars="200"/>
        <w:contextualSpacing/>
        <w:rPr>
          <w:rFonts w:ascii="宋体" w:hAnsi="宋体" w:cs="仿宋"/>
          <w:sz w:val="24"/>
        </w:rPr>
      </w:pPr>
      <w:r>
        <w:rPr>
          <w:rFonts w:hint="eastAsia" w:ascii="宋体" w:hAnsi="宋体" w:cs="仿宋"/>
          <w:sz w:val="24"/>
        </w:rPr>
        <w:t>6.乙方保证特种作业严格执行国家《特种作业人员安全技术培训考核管理规定》，特种作业人员须经省、市、地区的特种作业安全技术考核站培训考核后持证上岗，并按规定定期审核，中、小型机械的作业人员必须按规定做到“定机定人”和有证操作；起重吊装作业人员必须遵守“十不吊”规定，严禁违章、无证操作；严禁不懂电器、机械设备的人擅自操作使用电器、机械设备。</w:t>
      </w:r>
    </w:p>
    <w:p w14:paraId="474A4AA2">
      <w:pPr>
        <w:adjustRightInd w:val="0"/>
        <w:spacing w:line="500" w:lineRule="exact"/>
        <w:ind w:firstLine="480" w:firstLineChars="200"/>
        <w:contextualSpacing/>
        <w:rPr>
          <w:rFonts w:ascii="宋体" w:hAnsi="宋体" w:cs="仿宋"/>
          <w:sz w:val="24"/>
        </w:rPr>
      </w:pPr>
      <w:r>
        <w:rPr>
          <w:rFonts w:hint="eastAsia" w:ascii="宋体" w:hAnsi="宋体" w:cs="仿宋"/>
          <w:sz w:val="24"/>
        </w:rPr>
        <w:t>7.乙方必须在甲方和监理单位的协调监督下与有交叉施工的分包单位签订《工程承包安全管理协议》，明确各自的安全生产管理职责和应当采取的安全措施，并指定专职安全生产管理人员进行安全检查与协调。</w:t>
      </w:r>
    </w:p>
    <w:p w14:paraId="26906995">
      <w:pPr>
        <w:adjustRightInd w:val="0"/>
        <w:spacing w:line="500" w:lineRule="exact"/>
        <w:ind w:firstLine="480" w:firstLineChars="200"/>
        <w:contextualSpacing/>
        <w:rPr>
          <w:rFonts w:ascii="宋体" w:hAnsi="宋体" w:cs="仿宋"/>
          <w:sz w:val="24"/>
        </w:rPr>
      </w:pPr>
      <w:r>
        <w:rPr>
          <w:rFonts w:hint="eastAsia" w:ascii="宋体" w:hAnsi="宋体" w:cs="仿宋"/>
          <w:sz w:val="24"/>
        </w:rPr>
        <w:t>8.乙方的临设和施工场区布置应符合甲方关于施工总平面布置的有关要求，即充分考虑安全、防火、防爆、防污染等因素，做到分区明确，合理定位。</w:t>
      </w:r>
    </w:p>
    <w:p w14:paraId="74EE0D72">
      <w:pPr>
        <w:adjustRightInd w:val="0"/>
        <w:spacing w:line="500" w:lineRule="exact"/>
        <w:ind w:firstLine="480" w:firstLineChars="200"/>
        <w:contextualSpacing/>
        <w:rPr>
          <w:rFonts w:ascii="宋体" w:hAnsi="宋体" w:cs="仿宋"/>
          <w:sz w:val="24"/>
        </w:rPr>
      </w:pPr>
      <w:r>
        <w:rPr>
          <w:rFonts w:hint="eastAsia" w:ascii="宋体" w:hAnsi="宋体" w:cs="仿宋"/>
          <w:sz w:val="24"/>
        </w:rPr>
        <w:t>9.乙方必须在施工区域内设置醒目的警告、警戒、指示等信号，为施工现场提供足够有效的劳动保护和安全防护装置。各类安全防护设施、遮拦、安全标志牌、警告牌和接地线等不得擅自拆除、变动。如确实需要拆除、变动的，必须经施工负责人和监理单位、甲方指派的安全管理人员同意，办理手续，并采取必要、可靠的安全措施后方能拆除、变动现场安全防护设施。任何一方，擅自拆除、更动所造成的后果，均由该方负责。</w:t>
      </w:r>
    </w:p>
    <w:p w14:paraId="33B2B8AC">
      <w:pPr>
        <w:adjustRightInd w:val="0"/>
        <w:spacing w:line="500" w:lineRule="exact"/>
        <w:ind w:firstLine="480" w:firstLineChars="200"/>
        <w:contextualSpacing/>
        <w:rPr>
          <w:rFonts w:ascii="宋体" w:hAnsi="宋体" w:cs="仿宋"/>
          <w:sz w:val="24"/>
        </w:rPr>
      </w:pPr>
      <w:r>
        <w:rPr>
          <w:rFonts w:hint="eastAsia" w:ascii="宋体" w:hAnsi="宋体" w:cs="仿宋"/>
          <w:sz w:val="24"/>
        </w:rPr>
        <w:t>10.乙方应当为施工人员办理意外伤害保险。</w:t>
      </w:r>
    </w:p>
    <w:p w14:paraId="17E3A826">
      <w:pPr>
        <w:adjustRightInd w:val="0"/>
        <w:spacing w:line="500" w:lineRule="exact"/>
        <w:ind w:firstLine="480" w:firstLineChars="200"/>
        <w:contextualSpacing/>
        <w:rPr>
          <w:rFonts w:ascii="宋体" w:hAnsi="宋体" w:cs="仿宋"/>
          <w:sz w:val="24"/>
        </w:rPr>
      </w:pPr>
      <w:r>
        <w:rPr>
          <w:rFonts w:hint="eastAsia" w:ascii="宋体" w:hAnsi="宋体" w:cs="仿宋"/>
          <w:sz w:val="24"/>
        </w:rPr>
        <w:t>11.乙方严禁使用未经验收、验收已过期或验收不合格的机械设备、脚手架等设施，乙方使用人对施工现场脚手架每天开工前必须检查，发现隐患应及时整改。</w:t>
      </w:r>
    </w:p>
    <w:p w14:paraId="1A52800D">
      <w:pPr>
        <w:adjustRightInd w:val="0"/>
        <w:spacing w:line="500" w:lineRule="exact"/>
        <w:ind w:firstLine="480" w:firstLineChars="200"/>
        <w:contextualSpacing/>
        <w:rPr>
          <w:rFonts w:ascii="宋体" w:hAnsi="宋体" w:cs="仿宋"/>
          <w:sz w:val="24"/>
        </w:rPr>
      </w:pPr>
      <w:r>
        <w:rPr>
          <w:rFonts w:hint="eastAsia" w:ascii="宋体" w:hAnsi="宋体" w:cs="仿宋"/>
          <w:sz w:val="24"/>
        </w:rPr>
        <w:t>12.施工前，乙方必须办理好相应上岗位证等进场手续。乙方必须检查、督促施工人员严格遵守、认真执行规章制度。</w:t>
      </w:r>
    </w:p>
    <w:p w14:paraId="6B942047">
      <w:pPr>
        <w:adjustRightInd w:val="0"/>
        <w:spacing w:line="500" w:lineRule="exact"/>
        <w:ind w:firstLine="480" w:firstLineChars="200"/>
        <w:contextualSpacing/>
        <w:rPr>
          <w:rFonts w:ascii="宋体" w:hAnsi="宋体" w:cs="仿宋"/>
          <w:sz w:val="24"/>
        </w:rPr>
      </w:pPr>
      <w:r>
        <w:rPr>
          <w:rFonts w:hint="eastAsia" w:ascii="宋体" w:hAnsi="宋体" w:cs="仿宋"/>
          <w:sz w:val="24"/>
        </w:rPr>
        <w:t>13.乙方施工人员应对所在的施工区域、作业环境、操作设施设备、工用具等进行认真检查，发现隐患立即停止施工，并经落实整改后方准继续施工。一经开工，就表示乙方确认施工场所、作业环境、设施设备、工用具等符合安全要求和处于安全状态，乙方对施工过程中由于上述因素而导致的事故后果负责。</w:t>
      </w:r>
    </w:p>
    <w:p w14:paraId="4124D5B3">
      <w:pPr>
        <w:adjustRightInd w:val="0"/>
        <w:spacing w:line="500" w:lineRule="exact"/>
        <w:ind w:firstLine="480" w:firstLineChars="200"/>
        <w:contextualSpacing/>
        <w:rPr>
          <w:rFonts w:ascii="宋体" w:hAnsi="宋体" w:cs="仿宋"/>
          <w:sz w:val="24"/>
        </w:rPr>
      </w:pPr>
      <w:r>
        <w:rPr>
          <w:rFonts w:hint="eastAsia" w:ascii="宋体" w:hAnsi="宋体" w:cs="仿宋"/>
          <w:sz w:val="24"/>
        </w:rPr>
        <w:t>14.乙方施工人员不得随意进入非施工场所（除工作需要），不得随意操作阀门、开关等设备，不得私拉乱接电源，特殊情况必须向甲方、监理单位书面申请，并指定专人负责操作。乙方在施工中应与带电设备保持足够的安全距离或采取可靠的安全措施。在复杂地段施工，应增设足够的专业监护人。</w:t>
      </w:r>
    </w:p>
    <w:p w14:paraId="521DA835">
      <w:pPr>
        <w:adjustRightInd w:val="0"/>
        <w:spacing w:line="500" w:lineRule="exact"/>
        <w:ind w:firstLine="480" w:firstLineChars="200"/>
        <w:contextualSpacing/>
        <w:rPr>
          <w:rFonts w:ascii="宋体" w:hAnsi="宋体" w:cs="仿宋"/>
          <w:sz w:val="24"/>
        </w:rPr>
      </w:pPr>
      <w:r>
        <w:rPr>
          <w:rFonts w:hint="eastAsia" w:ascii="宋体" w:hAnsi="宋体" w:cs="仿宋"/>
          <w:sz w:val="24"/>
        </w:rPr>
        <w:t>15.乙方在施工中，应注意地下管线、光缆及高压架空线的保护。如遇有情况，应及时向甲方、监理单位和有关部门联系，采取保护措施后方能施工。严禁冒险作业、野蛮作业。</w:t>
      </w:r>
    </w:p>
    <w:p w14:paraId="7DBB8C2C">
      <w:pPr>
        <w:adjustRightInd w:val="0"/>
        <w:spacing w:line="500" w:lineRule="exact"/>
        <w:ind w:firstLine="480" w:firstLineChars="200"/>
        <w:contextualSpacing/>
        <w:rPr>
          <w:rFonts w:ascii="宋体" w:hAnsi="宋体" w:cs="仿宋"/>
          <w:sz w:val="24"/>
        </w:rPr>
      </w:pPr>
      <w:r>
        <w:rPr>
          <w:rFonts w:hint="eastAsia" w:ascii="宋体" w:hAnsi="宋体" w:cs="仿宋"/>
          <w:sz w:val="24"/>
        </w:rPr>
        <w:t>16.乙方在施工中，要注意文明施工。对施工现场要加强现场管理，每天工作结束后，对施工现场要进行一次全面的防火检查和检修工具、施工垃圾等的清理，做到工完场清，同时切断施工电源，封闭施工现场，消除安全隐患。</w:t>
      </w:r>
    </w:p>
    <w:p w14:paraId="3CA8FCBC">
      <w:pPr>
        <w:adjustRightInd w:val="0"/>
        <w:spacing w:line="500" w:lineRule="exact"/>
        <w:ind w:firstLine="480" w:firstLineChars="200"/>
        <w:contextualSpacing/>
        <w:rPr>
          <w:rFonts w:ascii="宋体" w:hAnsi="宋体" w:cs="仿宋"/>
          <w:sz w:val="24"/>
        </w:rPr>
      </w:pPr>
      <w:r>
        <w:rPr>
          <w:rFonts w:hint="eastAsia" w:ascii="宋体" w:hAnsi="宋体" w:cs="仿宋"/>
          <w:sz w:val="24"/>
        </w:rPr>
        <w:t>17.乙方应建立重特大事故应急救援组织，编制重特大事故应急救援预案报甲方审批，配置必要的应急救援器材、设备，并进行经常性维修、保养，保证正常运转；参与甲方的应急救援预案的实施。</w:t>
      </w:r>
    </w:p>
    <w:p w14:paraId="12D5009C">
      <w:pPr>
        <w:adjustRightInd w:val="0"/>
        <w:spacing w:line="500" w:lineRule="exact"/>
        <w:ind w:firstLine="480" w:firstLineChars="200"/>
        <w:contextualSpacing/>
        <w:rPr>
          <w:rFonts w:ascii="宋体" w:hAnsi="宋体" w:cs="仿宋"/>
          <w:sz w:val="24"/>
        </w:rPr>
      </w:pPr>
      <w:r>
        <w:rPr>
          <w:rFonts w:hint="eastAsia" w:ascii="宋体" w:hAnsi="宋体" w:cs="仿宋"/>
          <w:sz w:val="24"/>
        </w:rPr>
        <w:t>18.乙方在施工期间，发生安全事故后，事故现场有关人员应当立即报告本单位负责人和甲方和监理单位；乙方单位负责人接到事故报告后，应当迅速采取有效措施，组织抢救，防止事故扩大，减少人员伤亡和财产损失。</w:t>
      </w:r>
    </w:p>
    <w:p w14:paraId="2A368229">
      <w:pPr>
        <w:adjustRightInd w:val="0"/>
        <w:spacing w:line="500" w:lineRule="exact"/>
        <w:ind w:firstLine="480" w:firstLineChars="200"/>
        <w:contextualSpacing/>
        <w:rPr>
          <w:rFonts w:ascii="宋体" w:hAnsi="宋体" w:cs="仿宋"/>
          <w:sz w:val="24"/>
        </w:rPr>
      </w:pPr>
      <w:r>
        <w:rPr>
          <w:rFonts w:hint="eastAsia" w:ascii="宋体" w:hAnsi="宋体" w:cs="仿宋"/>
          <w:sz w:val="24"/>
        </w:rPr>
        <w:t>19.本工程施工中，乙方的建筑工程安全防护、文明施工措施费用为元。此费用是指按照国家现行的建筑施工安全、施工现场环境与卫生标准和有关规定购置和更新施工安全防护用具及设施、改善安全生产条件和作业环境所需的费用（并包括甲方对建筑安全防护文明施工措施其它要求所发生的费用）。该费用必须按照投标文件中明确的投入使用时间安排予以使用，乙方对该专项费用不得挪作它用，如乙方在安全生产专项费用使用上违约，由甲方根据实际情况扣减建筑工程安全防护文明施工措施费用中未使用部分（使用部分应提供相应的发票证明）。</w:t>
      </w:r>
    </w:p>
    <w:p w14:paraId="7EADD5CE">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20. 本工程施工中，乙方的安全文明履约保证金为履约保证金的。在发生乙方责任的人身伤亡事故或由于乙方施工人员违规操作影响甲方安全生产并造成损失时，甲方根据违章程度、损失程度决定是否扣除安全生产保证金及扣除比例，直至停止乙方工作。乙方如在建筑工程安全防护、文明施工措施专项费用上出现违约情况，除按本条款第19条的规定处理外，还可以决定是否扣除安全生产保证金及扣除比例。</w:t>
      </w:r>
    </w:p>
    <w:p w14:paraId="6FB2831D">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21.施工期间，乙方指派负责本工程项目的有关安全工作；监理单位指派、甲方指派负责联系、检查、督促乙方执行有关安全规定。监理单位、甲方、乙方应经常联系，相互协助检查和处理工程施工中有关的安全工作共同预防事故发生。</w:t>
      </w:r>
    </w:p>
    <w:p w14:paraId="3C2DC26D">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二、消防安全管理条款</w:t>
      </w:r>
    </w:p>
    <w:p w14:paraId="002EB85B">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（一）甲方、乙方的主要义务：</w:t>
      </w:r>
    </w:p>
    <w:p w14:paraId="0A31C951">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1.甲方必须认真贯彻国家、有关部委、工程所在地政府颁发的有关消防、防火安全的法律、法规、规范和规定。</w:t>
      </w:r>
    </w:p>
    <w:p w14:paraId="135AA4AF">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2.甲方必须严格按照消防规章、规定和制度的要求发出指令，乙方遵照执行；对甲方违背消防规章、规定和制度发出的指令，乙方有权拒绝执行或要求甲方改进。</w:t>
      </w:r>
    </w:p>
    <w:p w14:paraId="7A580C90">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3甲方应为乙方进场后解决消防水源、熟悉现场消防情况、协调各分包单位之间的消防设施等提供帮助。</w:t>
      </w:r>
    </w:p>
    <w:p w14:paraId="4883C9F0">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4.甲方人员进入乙方作业现场，应遵守乙方现场的消防管理规定。</w:t>
      </w:r>
    </w:p>
    <w:p w14:paraId="087007A1">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（二）乙方的主要职责和义务：</w:t>
      </w:r>
    </w:p>
    <w:p w14:paraId="2D950695">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1.乙方必须履行以下消防安全职责：</w:t>
      </w:r>
    </w:p>
    <w:p w14:paraId="421DA6CA">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（1）建立消防安全责任制，落实消防安全责任人，加强消防安全管理。</w:t>
      </w:r>
    </w:p>
    <w:p w14:paraId="6D47832B">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（2）建立健全易燃易爆物品安全管理、化学危险品安全管理、施工临时用电安全管理、动用明火审批制度以及安全检查等各项防火管理的规章制度和消防安全操作规程。</w:t>
      </w:r>
    </w:p>
    <w:p w14:paraId="3C556EDB">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（3）按照有关要求配置消防设施和器材、设置消防安全标志，并定期组织检验、维修，确保消防设施和器材完好、有效。</w:t>
      </w:r>
    </w:p>
    <w:p w14:paraId="313909EF">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（4）建立防火台帐。</w:t>
      </w:r>
    </w:p>
    <w:p w14:paraId="7F764268">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（5）对职工进行消防安全教育和培训，提高职工消防安全意识和相应的消防安全技能。</w:t>
      </w:r>
    </w:p>
    <w:p w14:paraId="4B62131C">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（6）制定火灾应急预案，并定期组织演练，确保适用、有效。</w:t>
      </w:r>
    </w:p>
    <w:p w14:paraId="1BC54ABD">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2.乙方必须认真贯彻国家、有关部委、工程所在地政府颁发的有关消防、防火安全的法律、法规、规范和规定。</w:t>
      </w:r>
    </w:p>
    <w:p w14:paraId="3D372E9D">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3.乙方在施工期间必须严格遵守和执行甲方在安全生产、消防保卫、治安卫生等方面的有关规章制度，接受甲方的监督、检查和指导。</w:t>
      </w:r>
    </w:p>
    <w:p w14:paraId="29D7662E">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4.乙方保证特种作业严格执行国家《特种作业人员安全及时培训考核管理规定》，特种作业人员须经省、市、地区的特种作业安全技术考核站培训考核后持证上岗，并按规定定期审核。乙方应对其对现场消防安全有重大影响的人员进行有关消防安全方面的培训、教育和交底。</w:t>
      </w:r>
    </w:p>
    <w:p w14:paraId="3869EA3B">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5.乙方的临时设施和施工材料、易燃易爆物品的堆放应符合甲方关于施工总平面图布置的有关要求，充分考虑安全、防火、防爆、防污染等因素，做到分区明确，定位合理。施工场所的易燃、易爆废料要及时处理。</w:t>
      </w:r>
    </w:p>
    <w:p w14:paraId="0109C147">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6.乙方应建立仓库管理制度，工地上存放化学危险品、易燃易爆物品的仓库须专库专用、专人负责，并建立台帐。仓库保管人员要严格遵守安全规程，严禁吸烟、使用明火和电气设备等。</w:t>
      </w:r>
    </w:p>
    <w:p w14:paraId="69A79BCA">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7.乙方应向甲方提交关于施工临时用电的施工组织设计或专项方案，配备专职电工，用电线路敷设、设备安装应符合相关电力规范的要求。工地严禁使用电炉，如因施工确需使用电炉时，应征得消防主管人员同意，采取可靠防护措施，并指派专人负责监管。严禁将电炉或其它电热设备作取暖用。</w:t>
      </w:r>
    </w:p>
    <w:p w14:paraId="181ECD87">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8.乙方必须严格执行动用明火审批制度，易燃、易爆场所严禁吸烟及动用明火，消防器材不准挪作他用。进行电焊、气割、气焊等具有火灾危险的作业，应按规定办理动火审批手续，严格遵守“十不烧”规定，操作人员必须持证上岗，并严格遵守消防安全操作规程。冬季施工如须采用明火加热的防冻措施时，应征得消防主管人员同意，落实防火、防爆、防中毒措施，并指派专人值班。</w:t>
      </w:r>
    </w:p>
    <w:p w14:paraId="49D27C6E">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9.乙方施工人员宿舍内严禁私拉乱接电线、生活做饭、烤火取暖。宿舍区不得设置在在建工程内。宿舍区与危险品仓库相隔距离应符合消防要求，宿舍不能兼为仓库使用。</w:t>
      </w:r>
    </w:p>
    <w:p w14:paraId="7CC943B2">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10.乙方在施工中，要注意文明施工。对施工现场要加强现场管理，禁止在施工现场吸烟。每天工作结束后，对施工现场要进行一次全面的防火检查和检修工具、施工垃圾等的清理，做到工完场清，同时切断施工电源，封闭施工现场，消除安全隐患。</w:t>
      </w:r>
    </w:p>
    <w:p w14:paraId="38CCDD3D">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11.乙方应建立消防事故的应急救援组织，编制消防事故应急救援预案并报甲方、乙方审批，配置必要的应急救援器材、设备，并进行经常性维修、保养，保证正常运行；参与甲方、乙方的应急救援预案的实施。</w:t>
      </w:r>
    </w:p>
    <w:p w14:paraId="6C61C6B6">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12.乙方在施工期间，发生消防事故后，事故现场有关人员应当立即报告本单位负责人和甲方，乙方单位负责人接到事故报告后，应迅速采取有效措施，组织抢救，防止事故扩大，减少人员伤亡和财产损失，做好标识保护好事故现场，协助和配合事故调查、处理。</w:t>
      </w:r>
    </w:p>
    <w:p w14:paraId="4C5A8F8C">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13.在工程施工过程中，非乙方原因发生消防事故时，乙方有义务根据甲方、乙方的要求配合支持事故抢救工作，甲方在事后应对此向乙方支付合理的补偿。</w:t>
      </w:r>
    </w:p>
    <w:p w14:paraId="11BBA245">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14.施工期间，乙方指派同志负责本工程项目的消防安全工作,甲方指派同志负责联系、检查、督促、管理乙方执行有关消防安全的相关规定。甲方、乙方双方应经常联系，相互协助检查和处理工程施工中有关的消防安全工作，共同预防事故发生。</w:t>
      </w:r>
    </w:p>
    <w:p w14:paraId="60DA740A">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三、违约责任</w:t>
      </w:r>
    </w:p>
    <w:p w14:paraId="0C86FBCE">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（一）双方均应严格按照本责任书的约定履行各自的义务，任何一方违反本责任书的约定均构成违约，应承担相应的违约责任。</w:t>
      </w:r>
    </w:p>
    <w:p w14:paraId="0868DD0E">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（二）甲方、监理单位对乙方的安全生产、消防安全管理情况进行检查发现乙方违反本责任书约定存在安全隐患的，乙方应当按照每次</w:t>
      </w:r>
      <w:r>
        <w:rPr>
          <w:rFonts w:hint="eastAsia" w:ascii="宋体" w:hAnsi="宋体" w:cs="仿宋"/>
          <w:sz w:val="24"/>
          <w:u w:val="single"/>
        </w:rPr>
        <w:t xml:space="preserve">    /   </w:t>
      </w:r>
      <w:r>
        <w:rPr>
          <w:rFonts w:hint="eastAsia" w:ascii="宋体" w:hAnsi="宋体" w:cs="仿宋"/>
          <w:sz w:val="24"/>
        </w:rPr>
        <w:t>的标准向甲方支付违约金。乙方应当及时按照甲方、监理单位的要求及时整改以消除安全隐患。甲方、监理单位对乙方的安全生产、消防安全管理情况进行检查发现乙方违反本责任书约定存在安全隐患</w:t>
      </w:r>
      <w:r>
        <w:rPr>
          <w:rFonts w:hint="eastAsia" w:ascii="宋体" w:hAnsi="宋体" w:cs="仿宋"/>
          <w:sz w:val="24"/>
          <w:u w:val="single"/>
        </w:rPr>
        <w:t xml:space="preserve">   /   </w:t>
      </w:r>
      <w:r>
        <w:rPr>
          <w:rFonts w:hint="eastAsia" w:ascii="宋体" w:hAnsi="宋体" w:cs="仿宋"/>
          <w:sz w:val="24"/>
        </w:rPr>
        <w:t>次以上（含）的，甲方有权要求乙方全面停止施工整改，整改到位后方可继续施工，甲方亦有权解除相关施工合同，由乙方承担违约责任。</w:t>
      </w:r>
    </w:p>
    <w:p w14:paraId="44A1919E">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三）由于乙方的原因形成事故造成人员伤亡和财产损失，乙方负责事故的抢救和善后处理工作，并承担事故造成的一切经济和法律责任。乙方应当按照的标准向甲方赔偿工期、材料等方面的损失，如该标准不足以赔偿甲方损失，甲方有权继续向乙方追索。</w:t>
      </w:r>
    </w:p>
    <w:p w14:paraId="6491EA84">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（四）就乙方应向甲方承担的违约责任，如乙方向甲方缴纳保证金的，甲方有权根据乙方的违约情况扣除相应金额的保证金，扣除后如甲方允许乙方继续施工，乙方应在扣除后</w:t>
      </w:r>
      <w:r>
        <w:rPr>
          <w:rFonts w:hint="eastAsia" w:ascii="宋体" w:hAnsi="宋体" w:cs="仿宋"/>
          <w:sz w:val="24"/>
          <w:u w:val="single"/>
        </w:rPr>
        <w:t xml:space="preserve">    /     </w:t>
      </w:r>
      <w:r>
        <w:rPr>
          <w:rFonts w:hint="eastAsia" w:ascii="宋体" w:hAnsi="宋体" w:cs="仿宋"/>
          <w:sz w:val="24"/>
        </w:rPr>
        <w:t>个工作日内补足。</w:t>
      </w:r>
    </w:p>
    <w:p w14:paraId="242198DA">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四、其他</w:t>
      </w:r>
    </w:p>
    <w:p w14:paraId="5695EE99">
      <w:pPr>
        <w:adjustRightInd w:val="0"/>
        <w:spacing w:line="500" w:lineRule="exact"/>
        <w:ind w:left="-378" w:leftChars="-135" w:firstLine="480" w:firstLineChars="200"/>
        <w:contextualSpacing/>
        <w:rPr>
          <w:rFonts w:ascii="宋体" w:hAnsi="宋体" w:cs="仿宋"/>
          <w:sz w:val="24"/>
        </w:rPr>
      </w:pPr>
      <w:r>
        <w:rPr>
          <w:rFonts w:hint="eastAsia" w:ascii="宋体" w:hAnsi="宋体" w:cs="仿宋"/>
          <w:sz w:val="24"/>
        </w:rPr>
        <w:t>本责任书一式</w:t>
      </w:r>
      <w:r>
        <w:rPr>
          <w:rFonts w:hint="eastAsia" w:ascii="宋体" w:hAnsi="宋体" w:cs="仿宋"/>
          <w:sz w:val="24"/>
          <w:u w:val="single"/>
        </w:rPr>
        <w:t>捌</w:t>
      </w:r>
      <w:r>
        <w:rPr>
          <w:rFonts w:hint="eastAsia" w:ascii="宋体" w:hAnsi="宋体" w:cs="仿宋"/>
          <w:sz w:val="24"/>
        </w:rPr>
        <w:t>份，甲方持</w:t>
      </w:r>
      <w:r>
        <w:rPr>
          <w:rFonts w:hint="eastAsia" w:ascii="宋体" w:hAnsi="宋体" w:cs="仿宋"/>
          <w:sz w:val="24"/>
          <w:u w:val="single"/>
        </w:rPr>
        <w:t>肆</w:t>
      </w:r>
      <w:r>
        <w:rPr>
          <w:rFonts w:hint="eastAsia" w:ascii="宋体" w:hAnsi="宋体" w:cs="仿宋"/>
          <w:sz w:val="24"/>
        </w:rPr>
        <w:t>份，乙方持</w:t>
      </w:r>
      <w:r>
        <w:rPr>
          <w:rFonts w:hint="eastAsia" w:ascii="宋体" w:hAnsi="宋体" w:cs="仿宋"/>
          <w:sz w:val="24"/>
          <w:u w:val="single"/>
        </w:rPr>
        <w:t>肆</w:t>
      </w:r>
      <w:r>
        <w:rPr>
          <w:rFonts w:hint="eastAsia" w:ascii="宋体" w:hAnsi="宋体" w:cs="仿宋"/>
          <w:sz w:val="24"/>
        </w:rPr>
        <w:t>份，自双方法定代表人/负责人/授权代理人签字并加盖公章或合同专用章之日起生效。</w:t>
      </w:r>
    </w:p>
    <w:p w14:paraId="4A037D7A">
      <w:pPr>
        <w:adjustRightInd w:val="0"/>
        <w:spacing w:line="500" w:lineRule="exact"/>
        <w:ind w:firstLine="480" w:firstLineChars="200"/>
        <w:contextualSpacing/>
        <w:rPr>
          <w:rFonts w:ascii="宋体" w:hAnsi="宋体" w:cs="仿宋"/>
          <w:sz w:val="24"/>
        </w:rPr>
      </w:pPr>
      <w:r>
        <w:rPr>
          <w:rFonts w:hint="eastAsia" w:ascii="宋体" w:hAnsi="宋体" w:cs="仿宋"/>
          <w:sz w:val="24"/>
        </w:rPr>
        <w:t>甲方（盖章）：乙方（盖章）：</w:t>
      </w:r>
    </w:p>
    <w:p w14:paraId="74AAA825">
      <w:pPr>
        <w:adjustRightInd w:val="0"/>
        <w:spacing w:line="500" w:lineRule="exact"/>
        <w:ind w:firstLine="480" w:firstLineChars="200"/>
        <w:contextualSpacing/>
        <w:rPr>
          <w:rFonts w:ascii="宋体" w:hAnsi="宋体" w:cs="仿宋"/>
          <w:sz w:val="24"/>
        </w:rPr>
      </w:pPr>
      <w:r>
        <w:rPr>
          <w:rFonts w:hint="eastAsia" w:ascii="宋体" w:hAnsi="宋体" w:cs="仿宋"/>
          <w:sz w:val="24"/>
        </w:rPr>
        <w:t xml:space="preserve">法定代表人/负责人/授权代理人： </w:t>
      </w:r>
      <w:r>
        <w:rPr>
          <w:rFonts w:ascii="宋体" w:hAnsi="宋体" w:cs="仿宋"/>
          <w:sz w:val="24"/>
        </w:rPr>
        <w:t xml:space="preserve">        </w:t>
      </w:r>
      <w:r>
        <w:rPr>
          <w:rFonts w:hint="eastAsia" w:ascii="宋体" w:hAnsi="宋体" w:cs="仿宋"/>
          <w:sz w:val="24"/>
        </w:rPr>
        <w:t>法定代表人/负责人/授权代理人：</w:t>
      </w:r>
    </w:p>
    <w:p w14:paraId="213648A1">
      <w:pPr>
        <w:tabs>
          <w:tab w:val="left" w:pos="5150"/>
        </w:tabs>
        <w:adjustRightInd w:val="0"/>
        <w:spacing w:line="500" w:lineRule="exact"/>
        <w:ind w:right="7" w:firstLine="480" w:firstLineChars="200"/>
        <w:contextualSpacing/>
        <w:rPr>
          <w:rFonts w:ascii="宋体" w:hAnsi="宋体" w:cs="仿宋"/>
          <w:sz w:val="24"/>
        </w:rPr>
      </w:pPr>
      <w:r>
        <w:rPr>
          <w:rFonts w:hint="eastAsia" w:ascii="宋体" w:hAnsi="宋体" w:cs="仿宋"/>
          <w:sz w:val="24"/>
        </w:rPr>
        <w:t xml:space="preserve">日期：年月日 </w:t>
      </w:r>
      <w:r>
        <w:rPr>
          <w:rFonts w:ascii="宋体" w:hAnsi="宋体" w:cs="仿宋"/>
          <w:sz w:val="24"/>
        </w:rPr>
        <w:t xml:space="preserve">                               </w:t>
      </w:r>
      <w:r>
        <w:rPr>
          <w:rFonts w:hint="eastAsia" w:ascii="宋体" w:hAnsi="宋体" w:cs="仿宋"/>
          <w:sz w:val="24"/>
        </w:rPr>
        <w:t>日期：年月日</w:t>
      </w:r>
    </w:p>
    <w:p w14:paraId="5BCD3A90">
      <w:pPr>
        <w:tabs>
          <w:tab w:val="left" w:pos="5150"/>
        </w:tabs>
        <w:adjustRightInd w:val="0"/>
        <w:snapToGrid w:val="0"/>
        <w:spacing w:line="360" w:lineRule="auto"/>
        <w:ind w:right="7"/>
        <w:rPr>
          <w:rFonts w:ascii="仿宋" w:hAnsi="仿宋" w:eastAsia="仿宋_GB2312" w:cs="仿宋"/>
          <w:sz w:val="24"/>
        </w:rPr>
      </w:pPr>
    </w:p>
    <w:p w14:paraId="4D86F57B">
      <w:pPr>
        <w:keepNext/>
        <w:keepLines/>
        <w:spacing w:before="260" w:after="260" w:line="416" w:lineRule="auto"/>
        <w:jc w:val="left"/>
        <w:outlineLvl w:val="1"/>
        <w:rPr>
          <w:rFonts w:ascii="黑体" w:hAnsi="黑体" w:eastAsia="黑体" w:cs="仿宋"/>
          <w:bCs/>
          <w:sz w:val="32"/>
          <w:szCs w:val="28"/>
        </w:rPr>
      </w:pPr>
      <w:r>
        <w:rPr>
          <w:rFonts w:hint="eastAsia" w:ascii="仿宋" w:hAnsi="仿宋" w:eastAsia="仿宋_GB2312" w:cs="仿宋"/>
          <w:b/>
          <w:bCs/>
          <w:sz w:val="24"/>
        </w:rPr>
        <w:br w:type="column"/>
      </w:r>
      <w:bookmarkStart w:id="73" w:name="_Toc59006222"/>
      <w:bookmarkStart w:id="74" w:name="_Toc178155251"/>
      <w:bookmarkStart w:id="75" w:name="_Toc217983408"/>
      <w:bookmarkStart w:id="76" w:name="_Toc176786401"/>
      <w:r>
        <w:rPr>
          <w:rFonts w:hint="eastAsia" w:ascii="黑体" w:hAnsi="黑体" w:eastAsia="黑体" w:cs="仿宋"/>
          <w:bCs/>
          <w:sz w:val="32"/>
          <w:szCs w:val="28"/>
        </w:rPr>
        <w:t>附件11：</w:t>
      </w:r>
      <w:bookmarkEnd w:id="73"/>
      <w:bookmarkEnd w:id="74"/>
      <w:bookmarkEnd w:id="75"/>
      <w:bookmarkEnd w:id="76"/>
    </w:p>
    <w:p w14:paraId="1FEB6CFB">
      <w:pPr>
        <w:keepNext/>
        <w:keepLines/>
        <w:spacing w:before="260" w:after="260" w:line="416" w:lineRule="auto"/>
        <w:jc w:val="center"/>
        <w:outlineLvl w:val="9"/>
        <w:rPr>
          <w:rFonts w:ascii="黑体" w:hAnsi="黑体" w:eastAsia="黑体" w:cs="仿宋"/>
          <w:bCs/>
          <w:sz w:val="32"/>
          <w:szCs w:val="28"/>
        </w:rPr>
      </w:pPr>
      <w:bookmarkStart w:id="77" w:name="_Toc178155252"/>
      <w:bookmarkStart w:id="78" w:name="_Toc59006223"/>
      <w:bookmarkStart w:id="79" w:name="_Toc176786402"/>
      <w:bookmarkStart w:id="80" w:name="_Toc217983409"/>
      <w:bookmarkStart w:id="81" w:name="_Toc11590501"/>
      <w:r>
        <w:rPr>
          <w:rFonts w:hint="eastAsia" w:ascii="黑体" w:hAnsi="黑体" w:eastAsia="黑体" w:cs="仿宋"/>
          <w:bCs/>
          <w:sz w:val="32"/>
          <w:szCs w:val="28"/>
        </w:rPr>
        <w:t>安全生产文明施工管理办法</w:t>
      </w:r>
      <w:bookmarkEnd w:id="77"/>
      <w:bookmarkEnd w:id="78"/>
      <w:bookmarkEnd w:id="79"/>
      <w:bookmarkEnd w:id="80"/>
      <w:bookmarkEnd w:id="81"/>
    </w:p>
    <w:p w14:paraId="23250C4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一、安全生产管理</w:t>
      </w:r>
    </w:p>
    <w:p w14:paraId="54F4EAB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（一）安全生产管理</w:t>
      </w:r>
    </w:p>
    <w:p w14:paraId="70AFC2B3">
      <w:pPr>
        <w:adjustRightInd w:val="0"/>
        <w:spacing w:line="500" w:lineRule="exact"/>
        <w:ind w:firstLine="480" w:firstLineChars="200"/>
        <w:contextualSpacing/>
        <w:rPr>
          <w:rFonts w:ascii="宋体" w:hAnsi="宋体" w:cs="仿宋"/>
          <w:sz w:val="24"/>
        </w:rPr>
      </w:pPr>
      <w:r>
        <w:rPr>
          <w:rFonts w:hint="eastAsia" w:ascii="宋体" w:hAnsi="宋体" w:cs="仿宋"/>
          <w:sz w:val="24"/>
        </w:rPr>
        <w:t>安全文明管理的目标：杜绝重大工伤和人员死亡事故。</w:t>
      </w:r>
    </w:p>
    <w:p w14:paraId="179BAC36">
      <w:pPr>
        <w:adjustRightInd w:val="0"/>
        <w:spacing w:line="500" w:lineRule="exact"/>
        <w:ind w:firstLine="480" w:firstLineChars="200"/>
        <w:contextualSpacing/>
        <w:rPr>
          <w:rFonts w:ascii="宋体" w:hAnsi="宋体" w:cs="仿宋"/>
          <w:sz w:val="24"/>
        </w:rPr>
      </w:pPr>
      <w:r>
        <w:rPr>
          <w:rFonts w:hint="eastAsia" w:ascii="宋体" w:hAnsi="宋体" w:cs="仿宋"/>
          <w:sz w:val="24"/>
        </w:rPr>
        <w:t>（二）组织机构</w:t>
      </w:r>
    </w:p>
    <w:p w14:paraId="36DE085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本项目成立安全生产文明施工领导小组：</w:t>
      </w:r>
    </w:p>
    <w:p w14:paraId="17BDA0AF">
      <w:pPr>
        <w:adjustRightInd w:val="0"/>
        <w:spacing w:line="500" w:lineRule="exact"/>
        <w:ind w:firstLine="480" w:firstLineChars="200"/>
        <w:contextualSpacing/>
        <w:rPr>
          <w:rFonts w:ascii="宋体" w:hAnsi="宋体" w:cs="仿宋"/>
          <w:sz w:val="24"/>
        </w:rPr>
      </w:pPr>
      <w:r>
        <w:rPr>
          <w:rFonts w:hint="eastAsia" w:ascii="宋体" w:hAnsi="宋体" w:cs="仿宋"/>
          <w:sz w:val="24"/>
        </w:rPr>
        <w:t>组长：装修施工单位项目经理</w:t>
      </w:r>
    </w:p>
    <w:p w14:paraId="59D302EC">
      <w:pPr>
        <w:adjustRightInd w:val="0"/>
        <w:spacing w:line="500" w:lineRule="exact"/>
        <w:ind w:firstLine="480" w:firstLineChars="200"/>
        <w:contextualSpacing/>
        <w:rPr>
          <w:rFonts w:ascii="宋体" w:hAnsi="宋体" w:cs="仿宋"/>
          <w:sz w:val="24"/>
        </w:rPr>
      </w:pPr>
      <w:r>
        <w:rPr>
          <w:rFonts w:hint="eastAsia" w:ascii="宋体" w:hAnsi="宋体" w:cs="仿宋"/>
          <w:sz w:val="24"/>
        </w:rPr>
        <w:t>副组长：项目总监理工程师</w:t>
      </w:r>
    </w:p>
    <w:p w14:paraId="6F8C80FA">
      <w:pPr>
        <w:adjustRightInd w:val="0"/>
        <w:spacing w:line="500" w:lineRule="exact"/>
        <w:ind w:firstLine="480" w:firstLineChars="200"/>
        <w:contextualSpacing/>
        <w:rPr>
          <w:rFonts w:ascii="宋体" w:hAnsi="宋体" w:cs="仿宋"/>
          <w:sz w:val="24"/>
        </w:rPr>
      </w:pPr>
      <w:r>
        <w:rPr>
          <w:rFonts w:hint="eastAsia" w:ascii="宋体" w:hAnsi="宋体" w:cs="仿宋"/>
          <w:sz w:val="24"/>
        </w:rPr>
        <w:t>成员：建设单位代表</w:t>
      </w:r>
    </w:p>
    <w:p w14:paraId="6ED04831">
      <w:pPr>
        <w:adjustRightInd w:val="0"/>
        <w:spacing w:line="500" w:lineRule="exact"/>
        <w:ind w:firstLine="480" w:firstLineChars="200"/>
        <w:contextualSpacing/>
        <w:rPr>
          <w:rFonts w:ascii="宋体" w:hAnsi="宋体" w:cs="仿宋"/>
          <w:sz w:val="24"/>
        </w:rPr>
      </w:pPr>
      <w:r>
        <w:rPr>
          <w:rFonts w:hint="eastAsia" w:ascii="宋体" w:hAnsi="宋体" w:cs="仿宋"/>
          <w:sz w:val="24"/>
        </w:rPr>
        <w:t>装修施工单位安全生产负责人</w:t>
      </w:r>
    </w:p>
    <w:p w14:paraId="2842B63B">
      <w:pPr>
        <w:adjustRightInd w:val="0"/>
        <w:spacing w:line="500" w:lineRule="exact"/>
        <w:ind w:firstLine="480" w:firstLineChars="200"/>
        <w:contextualSpacing/>
        <w:rPr>
          <w:rFonts w:ascii="宋体" w:hAnsi="宋体" w:cs="仿宋"/>
          <w:sz w:val="24"/>
        </w:rPr>
      </w:pPr>
      <w:r>
        <w:rPr>
          <w:rFonts w:hint="eastAsia" w:ascii="宋体" w:hAnsi="宋体" w:cs="仿宋"/>
          <w:sz w:val="24"/>
        </w:rPr>
        <w:t>各施工分包项目经理</w:t>
      </w:r>
    </w:p>
    <w:p w14:paraId="1DBB9A7D">
      <w:pPr>
        <w:adjustRightInd w:val="0"/>
        <w:spacing w:line="500" w:lineRule="exact"/>
        <w:ind w:firstLine="480" w:firstLineChars="200"/>
        <w:contextualSpacing/>
        <w:rPr>
          <w:rFonts w:ascii="宋体" w:hAnsi="宋体" w:cs="仿宋"/>
          <w:sz w:val="24"/>
        </w:rPr>
      </w:pPr>
      <w:r>
        <w:rPr>
          <w:rFonts w:hint="eastAsia" w:ascii="宋体" w:hAnsi="宋体" w:cs="仿宋"/>
          <w:sz w:val="24"/>
        </w:rPr>
        <w:t>（三）安全管理的原则</w:t>
      </w:r>
    </w:p>
    <w:p w14:paraId="5C9060DB">
      <w:pPr>
        <w:adjustRightInd w:val="0"/>
        <w:spacing w:line="500" w:lineRule="exact"/>
        <w:ind w:firstLine="480" w:firstLineChars="200"/>
        <w:contextualSpacing/>
        <w:rPr>
          <w:rFonts w:ascii="宋体" w:hAnsi="宋体" w:cs="仿宋"/>
          <w:sz w:val="24"/>
        </w:rPr>
      </w:pPr>
      <w:r>
        <w:rPr>
          <w:rFonts w:hint="eastAsia" w:ascii="宋体" w:hAnsi="宋体" w:cs="仿宋"/>
          <w:sz w:val="24"/>
        </w:rPr>
        <w:t>1.坚持安全第一，预防为主的原则。</w:t>
      </w:r>
    </w:p>
    <w:p w14:paraId="21F175FF">
      <w:pPr>
        <w:adjustRightInd w:val="0"/>
        <w:spacing w:line="500" w:lineRule="exact"/>
        <w:ind w:firstLine="480" w:firstLineChars="200"/>
        <w:contextualSpacing/>
        <w:rPr>
          <w:rFonts w:ascii="宋体" w:hAnsi="宋体" w:cs="仿宋"/>
          <w:sz w:val="24"/>
        </w:rPr>
      </w:pPr>
      <w:r>
        <w:rPr>
          <w:rFonts w:hint="eastAsia" w:ascii="宋体" w:hAnsi="宋体" w:cs="仿宋"/>
          <w:sz w:val="24"/>
        </w:rPr>
        <w:t>2.坚持安全生产“三同时”原则。</w:t>
      </w:r>
    </w:p>
    <w:p w14:paraId="1C22901C">
      <w:pPr>
        <w:adjustRightInd w:val="0"/>
        <w:spacing w:line="500" w:lineRule="exact"/>
        <w:ind w:firstLine="480" w:firstLineChars="200"/>
        <w:contextualSpacing/>
        <w:rPr>
          <w:rFonts w:ascii="宋体" w:hAnsi="宋体" w:cs="仿宋"/>
          <w:sz w:val="24"/>
        </w:rPr>
      </w:pPr>
      <w:r>
        <w:rPr>
          <w:rFonts w:hint="eastAsia" w:ascii="宋体" w:hAnsi="宋体" w:cs="仿宋"/>
          <w:sz w:val="24"/>
        </w:rPr>
        <w:t>3.坚持以人为本的原则。</w:t>
      </w:r>
    </w:p>
    <w:p w14:paraId="69BB1796">
      <w:pPr>
        <w:adjustRightInd w:val="0"/>
        <w:spacing w:line="500" w:lineRule="exact"/>
        <w:ind w:firstLine="422" w:firstLineChars="176"/>
        <w:contextualSpacing/>
        <w:rPr>
          <w:rFonts w:ascii="宋体" w:hAnsi="宋体" w:cs="仿宋"/>
          <w:sz w:val="24"/>
        </w:rPr>
      </w:pPr>
      <w:r>
        <w:rPr>
          <w:rFonts w:hint="eastAsia" w:ascii="宋体" w:hAnsi="宋体" w:cs="仿宋"/>
          <w:sz w:val="24"/>
        </w:rPr>
        <w:t>4.坚持系统控制的原则。</w:t>
      </w:r>
    </w:p>
    <w:p w14:paraId="1C0440E4">
      <w:pPr>
        <w:adjustRightInd w:val="0"/>
        <w:spacing w:line="500" w:lineRule="exact"/>
        <w:ind w:firstLine="422" w:firstLineChars="176"/>
        <w:contextualSpacing/>
        <w:rPr>
          <w:rFonts w:ascii="宋体" w:hAnsi="宋体" w:cs="仿宋"/>
          <w:sz w:val="24"/>
        </w:rPr>
      </w:pPr>
      <w:r>
        <w:rPr>
          <w:rFonts w:hint="eastAsia" w:ascii="宋体" w:hAnsi="宋体" w:cs="仿宋"/>
          <w:sz w:val="24"/>
        </w:rPr>
        <w:t>5.坚持全过程控制的原则。</w:t>
      </w:r>
    </w:p>
    <w:p w14:paraId="7141AEDD">
      <w:pPr>
        <w:adjustRightInd w:val="0"/>
        <w:spacing w:line="500" w:lineRule="exact"/>
        <w:ind w:firstLine="422" w:firstLineChars="176"/>
        <w:contextualSpacing/>
        <w:rPr>
          <w:rFonts w:ascii="宋体" w:hAnsi="宋体" w:cs="仿宋"/>
          <w:sz w:val="24"/>
        </w:rPr>
      </w:pPr>
      <w:r>
        <w:rPr>
          <w:rFonts w:hint="eastAsia" w:ascii="宋体" w:hAnsi="宋体" w:cs="仿宋"/>
          <w:sz w:val="24"/>
        </w:rPr>
        <w:t>6.坚持全方位控制的原则。</w:t>
      </w:r>
    </w:p>
    <w:p w14:paraId="68BBB678">
      <w:pPr>
        <w:adjustRightInd w:val="0"/>
        <w:spacing w:line="500" w:lineRule="exact"/>
        <w:ind w:firstLine="422" w:firstLineChars="176"/>
        <w:contextualSpacing/>
        <w:rPr>
          <w:rFonts w:ascii="宋体" w:hAnsi="宋体" w:cs="仿宋"/>
          <w:sz w:val="24"/>
        </w:rPr>
      </w:pPr>
      <w:r>
        <w:rPr>
          <w:rFonts w:hint="eastAsia" w:ascii="宋体" w:hAnsi="宋体" w:cs="仿宋"/>
          <w:sz w:val="24"/>
        </w:rPr>
        <w:t>7.坚持动态控制的原则。</w:t>
      </w:r>
    </w:p>
    <w:p w14:paraId="788F508F">
      <w:pPr>
        <w:adjustRightInd w:val="0"/>
        <w:spacing w:line="500" w:lineRule="exact"/>
        <w:ind w:firstLine="422" w:firstLineChars="176"/>
        <w:contextualSpacing/>
        <w:rPr>
          <w:rFonts w:ascii="宋体" w:hAnsi="宋体" w:cs="仿宋"/>
          <w:sz w:val="24"/>
        </w:rPr>
      </w:pPr>
      <w:r>
        <w:rPr>
          <w:rFonts w:hint="eastAsia" w:ascii="宋体" w:hAnsi="宋体" w:cs="仿宋"/>
          <w:sz w:val="24"/>
        </w:rPr>
        <w:t>8.坚持持续改进的原则。</w:t>
      </w:r>
    </w:p>
    <w:p w14:paraId="30C4A869">
      <w:pPr>
        <w:adjustRightInd w:val="0"/>
        <w:spacing w:line="500" w:lineRule="exact"/>
        <w:ind w:firstLine="480" w:firstLineChars="200"/>
        <w:contextualSpacing/>
        <w:rPr>
          <w:rFonts w:ascii="宋体" w:hAnsi="宋体" w:cs="仿宋"/>
          <w:sz w:val="24"/>
        </w:rPr>
      </w:pPr>
      <w:r>
        <w:rPr>
          <w:rFonts w:hint="eastAsia" w:ascii="宋体" w:hAnsi="宋体" w:cs="仿宋"/>
          <w:sz w:val="24"/>
        </w:rPr>
        <w:t>（四）项目监理（含代建）管理单位职责</w:t>
      </w:r>
    </w:p>
    <w:p w14:paraId="3883E26B">
      <w:pPr>
        <w:adjustRightInd w:val="0"/>
        <w:spacing w:line="500" w:lineRule="exact"/>
        <w:ind w:firstLine="480" w:firstLineChars="200"/>
        <w:contextualSpacing/>
        <w:rPr>
          <w:rFonts w:ascii="宋体" w:hAnsi="宋体" w:cs="仿宋"/>
          <w:sz w:val="24"/>
        </w:rPr>
      </w:pPr>
      <w:r>
        <w:rPr>
          <w:rFonts w:hint="eastAsia" w:ascii="宋体" w:hAnsi="宋体" w:cs="仿宋"/>
          <w:sz w:val="24"/>
        </w:rPr>
        <w:t>编制《安全施工监理细则》，该细则应包括但不限于以下内容：</w:t>
      </w:r>
    </w:p>
    <w:p w14:paraId="303A43E1">
      <w:pPr>
        <w:adjustRightInd w:val="0"/>
        <w:spacing w:line="500" w:lineRule="exact"/>
        <w:ind w:firstLine="480" w:firstLineChars="200"/>
        <w:contextualSpacing/>
        <w:rPr>
          <w:rFonts w:ascii="宋体" w:hAnsi="宋体" w:cs="仿宋"/>
          <w:sz w:val="24"/>
        </w:rPr>
      </w:pPr>
      <w:r>
        <w:rPr>
          <w:rFonts w:hint="eastAsia" w:ascii="宋体" w:hAnsi="宋体" w:cs="仿宋"/>
          <w:sz w:val="24"/>
        </w:rPr>
        <w:t>1.与安全控制有关的工程特点和内容。</w:t>
      </w:r>
    </w:p>
    <w:p w14:paraId="5B798527">
      <w:pPr>
        <w:adjustRightInd w:val="0"/>
        <w:spacing w:line="500" w:lineRule="exact"/>
        <w:ind w:firstLine="480" w:firstLineChars="200"/>
        <w:contextualSpacing/>
        <w:rPr>
          <w:rFonts w:ascii="宋体" w:hAnsi="宋体" w:cs="仿宋"/>
          <w:sz w:val="24"/>
        </w:rPr>
      </w:pPr>
      <w:r>
        <w:rPr>
          <w:rFonts w:hint="eastAsia" w:ascii="宋体" w:hAnsi="宋体" w:cs="仿宋"/>
          <w:sz w:val="24"/>
        </w:rPr>
        <w:t>2.安全监理控制目标。</w:t>
      </w:r>
    </w:p>
    <w:p w14:paraId="46B63403">
      <w:pPr>
        <w:adjustRightInd w:val="0"/>
        <w:spacing w:line="500" w:lineRule="exact"/>
        <w:ind w:firstLine="480" w:firstLineChars="200"/>
        <w:contextualSpacing/>
        <w:rPr>
          <w:rFonts w:ascii="宋体" w:hAnsi="宋体" w:cs="仿宋"/>
          <w:sz w:val="24"/>
        </w:rPr>
      </w:pPr>
      <w:r>
        <w:rPr>
          <w:rFonts w:hint="eastAsia" w:ascii="宋体" w:hAnsi="宋体" w:cs="仿宋"/>
          <w:sz w:val="24"/>
        </w:rPr>
        <w:t>3.安全监理责任分工。</w:t>
      </w:r>
    </w:p>
    <w:p w14:paraId="7130A190">
      <w:pPr>
        <w:adjustRightInd w:val="0"/>
        <w:spacing w:line="500" w:lineRule="exact"/>
        <w:ind w:firstLine="480" w:firstLineChars="200"/>
        <w:contextualSpacing/>
        <w:rPr>
          <w:rFonts w:ascii="宋体" w:hAnsi="宋体" w:cs="仿宋"/>
          <w:sz w:val="24"/>
        </w:rPr>
      </w:pPr>
      <w:r>
        <w:rPr>
          <w:rFonts w:hint="eastAsia" w:ascii="宋体" w:hAnsi="宋体" w:cs="仿宋"/>
          <w:sz w:val="24"/>
        </w:rPr>
        <w:t>4.安全控制的关键环节、关键部位，控制的重点和方法。</w:t>
      </w:r>
    </w:p>
    <w:p w14:paraId="3CBAA51C">
      <w:pPr>
        <w:adjustRightInd w:val="0"/>
        <w:spacing w:line="500" w:lineRule="exact"/>
        <w:ind w:firstLine="480" w:firstLineChars="200"/>
        <w:contextualSpacing/>
        <w:rPr>
          <w:rFonts w:ascii="宋体" w:hAnsi="宋体" w:cs="仿宋"/>
          <w:sz w:val="24"/>
        </w:rPr>
      </w:pPr>
      <w:r>
        <w:rPr>
          <w:rFonts w:hint="eastAsia" w:ascii="宋体" w:hAnsi="宋体" w:cs="仿宋"/>
          <w:sz w:val="24"/>
        </w:rPr>
        <w:t>5.安全控制措施落实的检查及奖惩。</w:t>
      </w:r>
    </w:p>
    <w:p w14:paraId="75D0A0A9">
      <w:pPr>
        <w:adjustRightInd w:val="0"/>
        <w:spacing w:line="500" w:lineRule="exact"/>
        <w:ind w:firstLine="480" w:firstLineChars="200"/>
        <w:contextualSpacing/>
        <w:rPr>
          <w:rFonts w:ascii="宋体" w:hAnsi="宋体" w:cs="仿宋"/>
          <w:sz w:val="24"/>
        </w:rPr>
      </w:pPr>
      <w:r>
        <w:rPr>
          <w:rFonts w:hint="eastAsia" w:ascii="宋体" w:hAnsi="宋体" w:cs="仿宋"/>
          <w:sz w:val="24"/>
        </w:rPr>
        <w:t>6.建立施工安全监理台账制度。</w:t>
      </w:r>
    </w:p>
    <w:p w14:paraId="543F7E93">
      <w:pPr>
        <w:adjustRightInd w:val="0"/>
        <w:spacing w:line="500" w:lineRule="exact"/>
        <w:ind w:firstLine="480" w:firstLineChars="200"/>
        <w:contextualSpacing/>
        <w:rPr>
          <w:rFonts w:ascii="宋体" w:hAnsi="宋体" w:cs="仿宋"/>
          <w:sz w:val="24"/>
        </w:rPr>
      </w:pPr>
      <w:r>
        <w:rPr>
          <w:rFonts w:hint="eastAsia" w:ascii="宋体" w:hAnsi="宋体" w:cs="仿宋"/>
          <w:sz w:val="24"/>
        </w:rPr>
        <w:t>7.审查批准施工单位申报的施工组织设计中的安全施工方案。</w:t>
      </w:r>
    </w:p>
    <w:p w14:paraId="59D93A56">
      <w:pPr>
        <w:adjustRightInd w:val="0"/>
        <w:spacing w:line="500" w:lineRule="exact"/>
        <w:ind w:firstLine="480" w:firstLineChars="200"/>
        <w:contextualSpacing/>
        <w:rPr>
          <w:rFonts w:ascii="宋体" w:hAnsi="宋体" w:cs="仿宋"/>
          <w:sz w:val="24"/>
        </w:rPr>
      </w:pPr>
      <w:r>
        <w:rPr>
          <w:rFonts w:hint="eastAsia" w:ascii="宋体" w:hAnsi="宋体" w:cs="仿宋"/>
          <w:sz w:val="24"/>
        </w:rPr>
        <w:t>8.负责检查施工单位安全保证体系、安全技术措施、及安全保证措施的落实执行情况。</w:t>
      </w:r>
    </w:p>
    <w:p w14:paraId="506F0831">
      <w:pPr>
        <w:adjustRightInd w:val="0"/>
        <w:spacing w:line="500" w:lineRule="exact"/>
        <w:ind w:firstLine="480" w:firstLineChars="200"/>
        <w:contextualSpacing/>
        <w:rPr>
          <w:rFonts w:ascii="宋体" w:hAnsi="宋体" w:cs="仿宋"/>
          <w:sz w:val="24"/>
        </w:rPr>
      </w:pPr>
      <w:r>
        <w:rPr>
          <w:rFonts w:hint="eastAsia" w:ascii="宋体" w:hAnsi="宋体" w:cs="仿宋"/>
          <w:sz w:val="24"/>
        </w:rPr>
        <w:t>9.参加安全技术方案的专家论证。</w:t>
      </w:r>
    </w:p>
    <w:p w14:paraId="3BEC555C">
      <w:pPr>
        <w:adjustRightInd w:val="0"/>
        <w:spacing w:line="500" w:lineRule="exact"/>
        <w:ind w:firstLine="480" w:firstLineChars="200"/>
        <w:contextualSpacing/>
        <w:rPr>
          <w:rFonts w:ascii="宋体" w:hAnsi="宋体" w:cs="仿宋"/>
          <w:sz w:val="24"/>
        </w:rPr>
      </w:pPr>
      <w:r>
        <w:rPr>
          <w:rFonts w:hint="eastAsia" w:ascii="宋体" w:hAnsi="宋体" w:cs="仿宋"/>
          <w:sz w:val="24"/>
        </w:rPr>
        <w:t>10.生产过程中的安全控制。</w:t>
      </w:r>
    </w:p>
    <w:p w14:paraId="758BEF17">
      <w:pPr>
        <w:adjustRightInd w:val="0"/>
        <w:spacing w:line="500" w:lineRule="exact"/>
        <w:ind w:firstLine="480" w:firstLineChars="200"/>
        <w:contextualSpacing/>
        <w:rPr>
          <w:rFonts w:ascii="宋体" w:hAnsi="宋体" w:cs="仿宋"/>
          <w:sz w:val="24"/>
        </w:rPr>
      </w:pPr>
      <w:r>
        <w:rPr>
          <w:rFonts w:hint="eastAsia" w:ascii="宋体" w:hAnsi="宋体" w:cs="仿宋"/>
          <w:sz w:val="24"/>
        </w:rPr>
        <w:t>11.负责日常巡回检查、定期集中检查、资料检查，发现隐患，及时处理。</w:t>
      </w:r>
    </w:p>
    <w:p w14:paraId="58C208E5">
      <w:pPr>
        <w:adjustRightInd w:val="0"/>
        <w:spacing w:line="500" w:lineRule="exact"/>
        <w:ind w:firstLine="480" w:firstLineChars="200"/>
        <w:contextualSpacing/>
        <w:rPr>
          <w:rFonts w:ascii="宋体" w:hAnsi="宋体" w:cs="仿宋"/>
          <w:sz w:val="24"/>
        </w:rPr>
      </w:pPr>
      <w:r>
        <w:rPr>
          <w:rFonts w:hint="eastAsia" w:ascii="宋体" w:hAnsi="宋体" w:cs="仿宋"/>
          <w:sz w:val="24"/>
        </w:rPr>
        <w:t>12.对现场出现的安全问题，负责要求责任单位立即改正。对于严重威胁生命、财产安全的隐患，要求其相关单位立即整改，并汇报代建单位。</w:t>
      </w:r>
    </w:p>
    <w:p w14:paraId="62ED21BB">
      <w:pPr>
        <w:adjustRightInd w:val="0"/>
        <w:spacing w:line="500" w:lineRule="exact"/>
        <w:ind w:firstLine="480" w:firstLineChars="200"/>
        <w:contextualSpacing/>
        <w:rPr>
          <w:rFonts w:ascii="宋体" w:hAnsi="宋体" w:cs="仿宋"/>
          <w:sz w:val="24"/>
        </w:rPr>
      </w:pPr>
      <w:r>
        <w:rPr>
          <w:rFonts w:hint="eastAsia" w:ascii="宋体" w:hAnsi="宋体" w:cs="仿宋"/>
          <w:sz w:val="24"/>
        </w:rPr>
        <w:t>13.定期召开安全例会，分析不安全因素，提出整改要求，部署安全工作。</w:t>
      </w:r>
    </w:p>
    <w:p w14:paraId="31F9A6D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14.定期与建设单位工程部联合组织安全、文明施工大检查（包括现场和资料）。</w:t>
      </w:r>
    </w:p>
    <w:p w14:paraId="71E3841E">
      <w:pPr>
        <w:adjustRightInd w:val="0"/>
        <w:spacing w:line="500" w:lineRule="exact"/>
        <w:ind w:firstLine="480" w:firstLineChars="200"/>
        <w:contextualSpacing/>
        <w:rPr>
          <w:rFonts w:ascii="宋体" w:hAnsi="宋体" w:cs="仿宋"/>
          <w:sz w:val="24"/>
        </w:rPr>
      </w:pPr>
      <w:r>
        <w:rPr>
          <w:rFonts w:hint="eastAsia" w:ascii="宋体" w:hAnsi="宋体" w:cs="仿宋"/>
          <w:sz w:val="24"/>
        </w:rPr>
        <w:t>（五）施工单位的职责</w:t>
      </w:r>
    </w:p>
    <w:p w14:paraId="52179F22">
      <w:pPr>
        <w:adjustRightInd w:val="0"/>
        <w:spacing w:line="500" w:lineRule="exact"/>
        <w:ind w:firstLine="480" w:firstLineChars="200"/>
        <w:contextualSpacing/>
        <w:rPr>
          <w:rFonts w:ascii="宋体" w:hAnsi="宋体" w:cs="仿宋"/>
          <w:sz w:val="24"/>
        </w:rPr>
      </w:pPr>
      <w:r>
        <w:rPr>
          <w:rFonts w:hint="eastAsia" w:ascii="宋体" w:hAnsi="宋体" w:cs="仿宋"/>
          <w:sz w:val="24"/>
        </w:rPr>
        <w:t>1.落实安全责任制。装修施工单位为安全生产第一责任人，该单位与各分包单位应签订安全生产责任书。总管理施工单位应做好安全检查、验收、事故报告、教育培训、安全技术交底等工作，做好责任范围内的安全生产工作。</w:t>
      </w:r>
    </w:p>
    <w:p w14:paraId="655BCCB3">
      <w:pPr>
        <w:adjustRightInd w:val="0"/>
        <w:spacing w:line="500" w:lineRule="exact"/>
        <w:ind w:firstLine="480" w:firstLineChars="200"/>
        <w:contextualSpacing/>
        <w:rPr>
          <w:rFonts w:ascii="宋体" w:hAnsi="宋体" w:cs="仿宋"/>
          <w:sz w:val="24"/>
        </w:rPr>
      </w:pPr>
      <w:r>
        <w:rPr>
          <w:rFonts w:hint="eastAsia" w:ascii="宋体" w:hAnsi="宋体" w:cs="仿宋"/>
          <w:sz w:val="24"/>
        </w:rPr>
        <w:t>2.建立安全生产管理体系。建立健全安全保障体系，设立专职安全员（持证上岗），要求安全生产管理体系的组成合理、机构健全，人员资质符合要求并到位，安全体系的运行具有可操作性等。</w:t>
      </w:r>
    </w:p>
    <w:p w14:paraId="09970EE5">
      <w:pPr>
        <w:adjustRightInd w:val="0"/>
        <w:spacing w:line="500" w:lineRule="exact"/>
        <w:ind w:firstLine="480" w:firstLineChars="200"/>
        <w:contextualSpacing/>
        <w:rPr>
          <w:rFonts w:ascii="宋体" w:hAnsi="宋体" w:cs="仿宋"/>
          <w:sz w:val="24"/>
        </w:rPr>
      </w:pPr>
      <w:r>
        <w:rPr>
          <w:rFonts w:hint="eastAsia" w:ascii="宋体" w:hAnsi="宋体" w:cs="仿宋"/>
          <w:sz w:val="24"/>
        </w:rPr>
        <w:t>3.编制专项安全施工方案。施工单位应根据现场实际情况，编制安全施工方案，确定工程危险源，并单独编制危险源的清单报监理单位审核，对于重大危险源项目安全施工方案必须进行专家论证。所涉及到安全方面的施工方案,由专职安全生产管理人员组织进行交底。</w:t>
      </w:r>
    </w:p>
    <w:p w14:paraId="51854864">
      <w:pPr>
        <w:adjustRightInd w:val="0"/>
        <w:spacing w:line="500" w:lineRule="exact"/>
        <w:ind w:firstLine="480" w:firstLineChars="200"/>
        <w:contextualSpacing/>
        <w:rPr>
          <w:rFonts w:ascii="宋体" w:hAnsi="宋体" w:cs="仿宋"/>
          <w:sz w:val="24"/>
        </w:rPr>
      </w:pPr>
      <w:r>
        <w:rPr>
          <w:rFonts w:hint="eastAsia" w:ascii="宋体" w:hAnsi="宋体" w:cs="仿宋"/>
          <w:sz w:val="24"/>
        </w:rPr>
        <w:t>4.形成安全生产教育制度。操作人员三级安全教育及考试登记制度。安全教育、培训可以根据各自的特点，采取多种形式进行如设培训班、上安全课、安全知识讲座、报告会、图片展、黑板报、简报、通报、广播等。</w:t>
      </w:r>
    </w:p>
    <w:p w14:paraId="3847A53E">
      <w:pPr>
        <w:adjustRightInd w:val="0"/>
        <w:spacing w:line="500" w:lineRule="exact"/>
        <w:ind w:firstLine="480" w:firstLineChars="200"/>
        <w:contextualSpacing/>
        <w:rPr>
          <w:rFonts w:ascii="宋体" w:hAnsi="宋体" w:cs="仿宋"/>
          <w:sz w:val="24"/>
        </w:rPr>
      </w:pPr>
      <w:r>
        <w:rPr>
          <w:rFonts w:hint="eastAsia" w:ascii="宋体" w:hAnsi="宋体" w:cs="仿宋"/>
          <w:sz w:val="24"/>
        </w:rPr>
        <w:t>5.事故应急预案制度。应急预案应明确各项事故出现时的紧急处理方案以及采取的措施。施工单位在工程开工前必须做好事故应急预案，报监理单位审核，现场各项应急措施应落实到位。</w:t>
      </w:r>
    </w:p>
    <w:p w14:paraId="4338E94B">
      <w:pPr>
        <w:adjustRightInd w:val="0"/>
        <w:spacing w:line="500" w:lineRule="exact"/>
        <w:ind w:firstLine="480" w:firstLineChars="200"/>
        <w:contextualSpacing/>
        <w:rPr>
          <w:rFonts w:ascii="宋体" w:hAnsi="宋体" w:cs="仿宋"/>
          <w:sz w:val="24"/>
        </w:rPr>
      </w:pPr>
      <w:r>
        <w:rPr>
          <w:rFonts w:hint="eastAsia" w:ascii="宋体" w:hAnsi="宋体" w:cs="仿宋"/>
          <w:sz w:val="24"/>
        </w:rPr>
        <w:t>（六）施工现场管理制度</w:t>
      </w:r>
    </w:p>
    <w:p w14:paraId="1512EA6D">
      <w:pPr>
        <w:adjustRightInd w:val="0"/>
        <w:spacing w:line="500" w:lineRule="exact"/>
        <w:ind w:firstLine="480" w:firstLineChars="200"/>
        <w:contextualSpacing/>
        <w:rPr>
          <w:rFonts w:ascii="宋体" w:hAnsi="宋体" w:cs="仿宋"/>
          <w:sz w:val="24"/>
        </w:rPr>
      </w:pPr>
      <w:r>
        <w:rPr>
          <w:rFonts w:hint="eastAsia" w:ascii="宋体" w:hAnsi="宋体" w:cs="仿宋"/>
          <w:sz w:val="24"/>
        </w:rPr>
        <w:t>为确保现场安全文明施工的实施，要求施工单位做好如下工作：</w:t>
      </w:r>
    </w:p>
    <w:p w14:paraId="2C6D9DF4">
      <w:pPr>
        <w:adjustRightInd w:val="0"/>
        <w:spacing w:line="500" w:lineRule="exact"/>
        <w:ind w:firstLine="480" w:firstLineChars="200"/>
        <w:contextualSpacing/>
        <w:rPr>
          <w:rFonts w:ascii="宋体" w:hAnsi="宋体" w:cs="仿宋"/>
          <w:sz w:val="24"/>
        </w:rPr>
      </w:pPr>
      <w:r>
        <w:rPr>
          <w:rFonts w:hint="eastAsia" w:ascii="宋体" w:hAnsi="宋体" w:cs="仿宋"/>
          <w:sz w:val="24"/>
        </w:rPr>
        <w:t>1.建立施工安全保障体系，建立安全管理台帐，实行安全生产责任制。</w:t>
      </w:r>
    </w:p>
    <w:p w14:paraId="7279A15A">
      <w:pPr>
        <w:adjustRightInd w:val="0"/>
        <w:spacing w:line="500" w:lineRule="exact"/>
        <w:ind w:firstLine="480" w:firstLineChars="200"/>
        <w:contextualSpacing/>
        <w:rPr>
          <w:rFonts w:ascii="宋体" w:hAnsi="宋体" w:cs="仿宋"/>
          <w:sz w:val="24"/>
        </w:rPr>
      </w:pPr>
      <w:r>
        <w:rPr>
          <w:rFonts w:hint="eastAsia" w:ascii="宋体" w:hAnsi="宋体" w:cs="仿宋"/>
          <w:sz w:val="24"/>
        </w:rPr>
        <w:t>2.施工现场应按施工总平面布置图实施，管理层次清楚，条理分明，现场材料、物品、机具堆放整齐。使用统一、连续的安全防护设施和交通标志（牌）。</w:t>
      </w:r>
    </w:p>
    <w:p w14:paraId="615E631B">
      <w:pPr>
        <w:adjustRightInd w:val="0"/>
        <w:spacing w:line="500" w:lineRule="exact"/>
        <w:ind w:firstLine="480" w:firstLineChars="200"/>
        <w:contextualSpacing/>
        <w:rPr>
          <w:rFonts w:ascii="宋体" w:hAnsi="宋体" w:cs="仿宋"/>
          <w:sz w:val="24"/>
        </w:rPr>
      </w:pPr>
      <w:r>
        <w:rPr>
          <w:rFonts w:hint="eastAsia" w:ascii="宋体" w:hAnsi="宋体" w:cs="仿宋"/>
          <w:sz w:val="24"/>
        </w:rPr>
        <w:t>3.装修施工单位应根据现场平面布局设置保卫人员，保护施工现场财产不受损失。所有施工人员必须佩戴出入证，外来人员未经许可，不得进入施工现场。如外来人员确需进入须有登记手续。</w:t>
      </w:r>
    </w:p>
    <w:p w14:paraId="5E6B2279">
      <w:pPr>
        <w:adjustRightInd w:val="0"/>
        <w:spacing w:line="500" w:lineRule="exact"/>
        <w:ind w:firstLine="480" w:firstLineChars="200"/>
        <w:contextualSpacing/>
        <w:rPr>
          <w:rFonts w:ascii="宋体" w:hAnsi="宋体" w:cs="仿宋"/>
          <w:sz w:val="24"/>
        </w:rPr>
      </w:pPr>
      <w:r>
        <w:rPr>
          <w:rFonts w:hint="eastAsia" w:ascii="宋体" w:hAnsi="宋体" w:cs="仿宋"/>
          <w:sz w:val="24"/>
        </w:rPr>
        <w:t>4.装修施工单位现场实行封闭施工。工地范围内要有切实可行的临时排水措施，凡有施工沟槽，均应每隔一定间距设置跨槽便桥并有安全措施确保行人、行车安全。施工现场出入口处应采取保证车辆清洁的措施。生活废水、施工产生的废水、废油须经无害化处理达标排放。</w:t>
      </w:r>
    </w:p>
    <w:p w14:paraId="07094CEC">
      <w:pPr>
        <w:adjustRightInd w:val="0"/>
        <w:spacing w:line="500" w:lineRule="exact"/>
        <w:ind w:firstLine="480" w:firstLineChars="200"/>
        <w:contextualSpacing/>
        <w:rPr>
          <w:rFonts w:ascii="宋体" w:hAnsi="宋体" w:cs="仿宋"/>
          <w:sz w:val="24"/>
        </w:rPr>
      </w:pPr>
      <w:r>
        <w:rPr>
          <w:rFonts w:hint="eastAsia" w:ascii="宋体" w:hAnsi="宋体" w:cs="仿宋"/>
          <w:sz w:val="24"/>
        </w:rPr>
        <w:t>5.各分包单位自带的所有设备、工具等应进行登记，登记清单由总管理单位保管，以备相关人员查阅。设立严格的进出场制度，以避免各施工单位因为材料、设备、机械原因产生纠纷，同时防止偷盗行为的发生。</w:t>
      </w:r>
    </w:p>
    <w:p w14:paraId="6F51ECD1">
      <w:pPr>
        <w:adjustRightInd w:val="0"/>
        <w:spacing w:line="500" w:lineRule="exact"/>
        <w:ind w:firstLine="480" w:firstLineChars="200"/>
        <w:contextualSpacing/>
        <w:rPr>
          <w:rFonts w:ascii="宋体" w:hAnsi="宋体" w:cs="仿宋"/>
          <w:sz w:val="24"/>
        </w:rPr>
      </w:pPr>
      <w:r>
        <w:rPr>
          <w:rFonts w:hint="eastAsia" w:ascii="宋体" w:hAnsi="宋体" w:cs="仿宋"/>
          <w:sz w:val="24"/>
        </w:rPr>
        <w:t>6.装修施工单位应保证施工场地外围的车辆和行人正常通行，和卫生保洁及清扫工作。在材料进出、混凝土浇筑等施工过程中安排专人指挥交通。</w:t>
      </w:r>
    </w:p>
    <w:p w14:paraId="1715B645">
      <w:pPr>
        <w:adjustRightInd w:val="0"/>
        <w:spacing w:line="500" w:lineRule="exact"/>
        <w:ind w:firstLine="480" w:firstLineChars="200"/>
        <w:contextualSpacing/>
        <w:rPr>
          <w:rFonts w:ascii="宋体" w:hAnsi="宋体" w:cs="仿宋"/>
          <w:sz w:val="24"/>
        </w:rPr>
      </w:pPr>
      <w:r>
        <w:rPr>
          <w:rFonts w:hint="eastAsia" w:ascii="宋体" w:hAnsi="宋体" w:cs="仿宋"/>
          <w:sz w:val="24"/>
        </w:rPr>
        <w:t>7.施工单位应结合季节特点，做好作业人员的饮食卫生和防暑降温、防寒保暖、防煤气中毒、防疫等工作。施工现场应配备常用药及绷带、止血带、颈托、担架等急救器材。</w:t>
      </w:r>
    </w:p>
    <w:p w14:paraId="7AFEF003">
      <w:pPr>
        <w:adjustRightInd w:val="0"/>
        <w:spacing w:line="500" w:lineRule="exact"/>
        <w:ind w:firstLine="480" w:firstLineChars="200"/>
        <w:contextualSpacing/>
        <w:rPr>
          <w:rFonts w:ascii="宋体" w:hAnsi="宋体" w:cs="仿宋"/>
          <w:sz w:val="24"/>
        </w:rPr>
      </w:pPr>
      <w:r>
        <w:rPr>
          <w:rFonts w:hint="eastAsia" w:ascii="宋体" w:hAnsi="宋体" w:cs="仿宋"/>
          <w:sz w:val="24"/>
        </w:rPr>
        <w:t>8.施工单位应加强安全专检及巡查并做好记录，特别对容易发生事故（塔吊、升降机的安拆、加节、“三宝”、“四口”、“五临边”、高处作业、基坑施工、桩基施工、临时用电、脚手架、高支模、施工机械等）部位加强管理。</w:t>
      </w:r>
    </w:p>
    <w:p w14:paraId="5145C607">
      <w:pPr>
        <w:adjustRightInd w:val="0"/>
        <w:spacing w:line="500" w:lineRule="exact"/>
        <w:ind w:firstLine="480" w:firstLineChars="200"/>
        <w:contextualSpacing/>
        <w:rPr>
          <w:rFonts w:ascii="宋体" w:hAnsi="宋体" w:cs="仿宋"/>
          <w:sz w:val="24"/>
        </w:rPr>
      </w:pPr>
      <w:r>
        <w:rPr>
          <w:rFonts w:hint="eastAsia" w:ascii="宋体" w:hAnsi="宋体" w:cs="仿宋"/>
          <w:sz w:val="24"/>
        </w:rPr>
        <w:t>9.必须完整地保存有关阐明安全施工管理的资料，如文明安全活动记录、旬报、月报、事故报告等。</w:t>
      </w:r>
    </w:p>
    <w:p w14:paraId="37B0B249">
      <w:pPr>
        <w:adjustRightInd w:val="0"/>
        <w:spacing w:line="500" w:lineRule="exact"/>
        <w:ind w:firstLine="480" w:firstLineChars="200"/>
        <w:contextualSpacing/>
        <w:rPr>
          <w:rFonts w:ascii="宋体" w:hAnsi="宋体" w:cs="仿宋"/>
          <w:sz w:val="24"/>
        </w:rPr>
      </w:pPr>
      <w:r>
        <w:rPr>
          <w:rFonts w:hint="eastAsia" w:ascii="宋体" w:hAnsi="宋体" w:cs="仿宋"/>
          <w:sz w:val="24"/>
        </w:rPr>
        <w:t>（七）建立施工现场消防管理制度</w:t>
      </w:r>
    </w:p>
    <w:p w14:paraId="5DFA49BC">
      <w:pPr>
        <w:adjustRightInd w:val="0"/>
        <w:spacing w:line="500" w:lineRule="exact"/>
        <w:ind w:firstLine="480" w:firstLineChars="200"/>
        <w:contextualSpacing/>
        <w:rPr>
          <w:rFonts w:ascii="宋体" w:hAnsi="宋体" w:cs="仿宋"/>
          <w:sz w:val="24"/>
        </w:rPr>
      </w:pPr>
      <w:r>
        <w:rPr>
          <w:rFonts w:hint="eastAsia" w:ascii="宋体" w:hAnsi="宋体" w:cs="仿宋"/>
          <w:sz w:val="24"/>
        </w:rPr>
        <w:t>定期参加相关单位组织召开安全例会，汇报安全文明施工情况，分析不安全因素，提出整改情况，部署安全工作。定期参加安全、文明施工大检查。</w:t>
      </w:r>
    </w:p>
    <w:p w14:paraId="1A9B3F8E">
      <w:pPr>
        <w:adjustRightInd w:val="0"/>
        <w:spacing w:line="500" w:lineRule="exact"/>
        <w:ind w:firstLine="480" w:firstLineChars="200"/>
        <w:contextualSpacing/>
        <w:rPr>
          <w:rFonts w:ascii="宋体" w:hAnsi="宋体" w:cs="仿宋"/>
          <w:sz w:val="24"/>
        </w:rPr>
      </w:pPr>
      <w:r>
        <w:rPr>
          <w:rFonts w:hint="eastAsia" w:ascii="宋体" w:hAnsi="宋体" w:cs="仿宋"/>
          <w:sz w:val="24"/>
        </w:rPr>
        <w:t>（八）建立安全、文明施工状况登记制度</w:t>
      </w:r>
    </w:p>
    <w:p w14:paraId="00ECD146">
      <w:pPr>
        <w:adjustRightInd w:val="0"/>
        <w:spacing w:line="500" w:lineRule="exact"/>
        <w:ind w:firstLine="480" w:firstLineChars="200"/>
        <w:contextualSpacing/>
        <w:rPr>
          <w:rFonts w:ascii="宋体" w:hAnsi="宋体" w:cs="仿宋"/>
          <w:sz w:val="24"/>
        </w:rPr>
      </w:pPr>
      <w:r>
        <w:rPr>
          <w:rFonts w:hint="eastAsia" w:ascii="宋体" w:hAnsi="宋体" w:cs="仿宋"/>
          <w:sz w:val="24"/>
        </w:rPr>
        <w:t>事故处理程序</w:t>
      </w:r>
    </w:p>
    <w:p w14:paraId="61325B1E">
      <w:pPr>
        <w:adjustRightInd w:val="0"/>
        <w:snapToGrid w:val="0"/>
        <w:spacing w:line="360" w:lineRule="auto"/>
        <w:ind w:left="988"/>
        <w:jc w:val="left"/>
        <w:rPr>
          <w:rFonts w:ascii="仿宋" w:hAnsi="仿宋" w:eastAsia="仿宋_GB2312" w:cs="仿宋"/>
          <w:sz w:val="24"/>
        </w:rPr>
      </w:pPr>
      <w:r>
        <w:rPr>
          <w:rFonts w:ascii="仿宋" w:hAnsi="仿宋" w:eastAsia="仿宋_GB2312" w:cs="仿宋"/>
          <w:sz w:val="24"/>
        </w:rPr>
        <mc:AlternateContent>
          <mc:Choice Requires="wpg">
            <w:drawing>
              <wp:anchor distT="0" distB="0" distL="114300" distR="114300" simplePos="0" relativeHeight="251660288" behindDoc="0" locked="0" layoutInCell="1" allowOverlap="1">
                <wp:simplePos x="0" y="0"/>
                <wp:positionH relativeFrom="column">
                  <wp:posOffset>31115</wp:posOffset>
                </wp:positionH>
                <wp:positionV relativeFrom="paragraph">
                  <wp:posOffset>41910</wp:posOffset>
                </wp:positionV>
                <wp:extent cx="5985510" cy="4614545"/>
                <wp:effectExtent l="5080" t="4445" r="13970" b="13970"/>
                <wp:wrapNone/>
                <wp:docPr id="30" name="组合 30"/>
                <wp:cNvGraphicFramePr/>
                <a:graphic xmlns:a="http://schemas.openxmlformats.org/drawingml/2006/main">
                  <a:graphicData uri="http://schemas.microsoft.com/office/word/2010/wordprocessingGroup">
                    <wpg:wgp>
                      <wpg:cNvGrpSpPr/>
                      <wpg:grpSpPr>
                        <a:xfrm>
                          <a:off x="0" y="0"/>
                          <a:ext cx="5985510" cy="4614545"/>
                          <a:chOff x="0" y="0"/>
                          <a:chExt cx="8322" cy="7770"/>
                        </a:xfrm>
                      </wpg:grpSpPr>
                      <wps:wsp>
                        <wps:cNvPr id="1" name="矩形 1"/>
                        <wps:cNvSpPr/>
                        <wps:spPr>
                          <a:xfrm>
                            <a:off x="1354" y="0"/>
                            <a:ext cx="4498"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29864D61">
                              <w:pPr>
                                <w:jc w:val="center"/>
                                <w:rPr>
                                  <w:rFonts w:ascii="仿宋" w:hAnsi="仿宋" w:eastAsia="仿宋" w:cs="仿宋"/>
                                  <w:sz w:val="24"/>
                                </w:rPr>
                              </w:pPr>
                              <w:r>
                                <w:rPr>
                                  <w:rFonts w:hint="eastAsia" w:ascii="仿宋" w:hAnsi="仿宋" w:eastAsia="仿宋" w:cs="仿宋"/>
                                  <w:sz w:val="24"/>
                                </w:rPr>
                                <w:t>发生工程安全问题（事故）</w:t>
                              </w:r>
                            </w:p>
                          </w:txbxContent>
                        </wps:txbx>
                        <wps:bodyPr upright="1"/>
                      </wps:wsp>
                      <wps:wsp>
                        <wps:cNvPr id="2" name="矩形 2"/>
                        <wps:cNvSpPr/>
                        <wps:spPr>
                          <a:xfrm>
                            <a:off x="1354" y="859"/>
                            <a:ext cx="4499"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3313C9CA">
                              <w:pPr>
                                <w:jc w:val="center"/>
                                <w:rPr>
                                  <w:rFonts w:ascii="宋体" w:hAnsi="宋体"/>
                                  <w:sz w:val="24"/>
                                </w:rPr>
                              </w:pPr>
                              <w:r>
                                <w:rPr>
                                  <w:rFonts w:hint="eastAsia" w:ascii="仿宋" w:hAnsi="仿宋" w:eastAsia="仿宋" w:cs="仿宋"/>
                                  <w:sz w:val="24"/>
                                </w:rPr>
                                <w:t>装修施工填写安全问题（事故）报告书</w:t>
                              </w:r>
                            </w:p>
                          </w:txbxContent>
                        </wps:txbx>
                        <wps:bodyPr upright="1"/>
                      </wps:wsp>
                      <wps:wsp>
                        <wps:cNvPr id="3" name="矩形 3"/>
                        <wps:cNvSpPr/>
                        <wps:spPr>
                          <a:xfrm>
                            <a:off x="1354" y="1720"/>
                            <a:ext cx="4499"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7F44775C">
                              <w:pPr>
                                <w:jc w:val="center"/>
                                <w:rPr>
                                  <w:rFonts w:ascii="仿宋" w:hAnsi="仿宋" w:eastAsia="仿宋" w:cs="仿宋"/>
                                  <w:sz w:val="24"/>
                                </w:rPr>
                              </w:pPr>
                              <w:r>
                                <w:rPr>
                                  <w:rFonts w:hint="eastAsia" w:ascii="仿宋" w:hAnsi="仿宋" w:eastAsia="仿宋" w:cs="仿宋"/>
                                  <w:sz w:val="24"/>
                                </w:rPr>
                                <w:t>监理组织各方听取承包商汇报</w:t>
                              </w:r>
                            </w:p>
                          </w:txbxContent>
                        </wps:txbx>
                        <wps:bodyPr upright="1"/>
                      </wps:wsp>
                      <wps:wsp>
                        <wps:cNvPr id="4" name="矩形 4"/>
                        <wps:cNvSpPr/>
                        <wps:spPr>
                          <a:xfrm>
                            <a:off x="0" y="2708"/>
                            <a:ext cx="2177"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6A1B57A0">
                              <w:pPr>
                                <w:jc w:val="center"/>
                                <w:rPr>
                                  <w:rFonts w:ascii="仿宋" w:hAnsi="仿宋" w:eastAsia="仿宋" w:cs="仿宋"/>
                                  <w:sz w:val="24"/>
                                </w:rPr>
                              </w:pPr>
                              <w:r>
                                <w:rPr>
                                  <w:rFonts w:hint="eastAsia" w:ascii="仿宋" w:hAnsi="仿宋" w:eastAsia="仿宋" w:cs="仿宋"/>
                                  <w:sz w:val="24"/>
                                </w:rPr>
                                <w:t>一般安全问题</w:t>
                              </w:r>
                            </w:p>
                          </w:txbxContent>
                        </wps:txbx>
                        <wps:bodyPr upright="1"/>
                      </wps:wsp>
                      <wps:wsp>
                        <wps:cNvPr id="5" name="矩形 5"/>
                        <wps:cNvSpPr/>
                        <wps:spPr>
                          <a:xfrm>
                            <a:off x="5076" y="3519"/>
                            <a:ext cx="3238" cy="582"/>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0F9C71B1">
                              <w:pPr>
                                <w:ind w:left="63" w:right="63"/>
                                <w:rPr>
                                  <w:rFonts w:ascii="仿宋" w:hAnsi="仿宋" w:eastAsia="仿宋" w:cs="仿宋"/>
                                  <w:sz w:val="24"/>
                                </w:rPr>
                              </w:pPr>
                              <w:r>
                                <w:rPr>
                                  <w:rFonts w:hint="eastAsia" w:ascii="仿宋" w:hAnsi="仿宋" w:eastAsia="仿宋" w:cs="仿宋"/>
                                  <w:sz w:val="24"/>
                                </w:rPr>
                                <w:t>总监签《工程暂停令》</w:t>
                              </w:r>
                            </w:p>
                          </w:txbxContent>
                        </wps:txbx>
                        <wps:bodyPr upright="1"/>
                      </wps:wsp>
                      <wps:wsp>
                        <wps:cNvPr id="6" name="矩形 6"/>
                        <wps:cNvSpPr/>
                        <wps:spPr>
                          <a:xfrm>
                            <a:off x="5076" y="4519"/>
                            <a:ext cx="3238" cy="468"/>
                          </a:xfrm>
                          <a:prstGeom prst="rect">
                            <a:avLst/>
                          </a:prstGeom>
                          <a:solidFill>
                            <a:srgbClr val="00FFFF"/>
                          </a:solidFill>
                          <a:ln w="6350" cap="flat" cmpd="sng">
                            <a:solidFill>
                              <a:srgbClr val="000000"/>
                            </a:solidFill>
                            <a:prstDash val="solid"/>
                            <a:miter/>
                            <a:headEnd type="none" w="med" len="med"/>
                            <a:tailEnd type="none" w="med" len="med"/>
                          </a:ln>
                        </wps:spPr>
                        <wps:txbx>
                          <w:txbxContent>
                            <w:p w14:paraId="0DDBE122">
                              <w:pPr>
                                <w:jc w:val="center"/>
                                <w:rPr>
                                  <w:rFonts w:ascii="仿宋" w:hAnsi="仿宋" w:eastAsia="仿宋" w:cs="仿宋"/>
                                  <w:sz w:val="24"/>
                                </w:rPr>
                              </w:pPr>
                              <w:r>
                                <w:rPr>
                                  <w:rFonts w:hint="eastAsia" w:ascii="仿宋" w:hAnsi="仿宋" w:eastAsia="仿宋" w:cs="仿宋"/>
                                  <w:sz w:val="24"/>
                                </w:rPr>
                                <w:t>管理单位组织各方调研处理意见</w:t>
                              </w:r>
                            </w:p>
                          </w:txbxContent>
                        </wps:txbx>
                        <wps:bodyPr upright="1"/>
                      </wps:wsp>
                      <wps:wsp>
                        <wps:cNvPr id="7" name="矩形 7"/>
                        <wps:cNvSpPr/>
                        <wps:spPr>
                          <a:xfrm>
                            <a:off x="5076" y="5443"/>
                            <a:ext cx="3238"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3491A799">
                              <w:pPr>
                                <w:jc w:val="center"/>
                                <w:rPr>
                                  <w:rFonts w:ascii="仿宋" w:hAnsi="仿宋" w:eastAsia="仿宋" w:cs="仿宋"/>
                                  <w:sz w:val="24"/>
                                </w:rPr>
                              </w:pPr>
                              <w:r>
                                <w:rPr>
                                  <w:rFonts w:hint="eastAsia" w:ascii="仿宋" w:hAnsi="仿宋" w:eastAsia="仿宋" w:cs="仿宋"/>
                                  <w:sz w:val="24"/>
                                </w:rPr>
                                <w:t>监理督查整改</w:t>
                              </w:r>
                            </w:p>
                          </w:txbxContent>
                        </wps:txbx>
                        <wps:bodyPr upright="1"/>
                      </wps:wsp>
                      <wps:wsp>
                        <wps:cNvPr id="8" name="矩形 8"/>
                        <wps:cNvSpPr/>
                        <wps:spPr>
                          <a:xfrm>
                            <a:off x="5076" y="6367"/>
                            <a:ext cx="3238"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1BC78F50">
                              <w:pPr>
                                <w:jc w:val="center"/>
                                <w:rPr>
                                  <w:rFonts w:ascii="仿宋" w:hAnsi="仿宋" w:eastAsia="仿宋" w:cs="仿宋"/>
                                  <w:sz w:val="24"/>
                                </w:rPr>
                              </w:pPr>
                              <w:r>
                                <w:rPr>
                                  <w:rFonts w:hint="eastAsia" w:ascii="仿宋" w:hAnsi="仿宋" w:eastAsia="仿宋" w:cs="仿宋"/>
                                  <w:sz w:val="24"/>
                                </w:rPr>
                                <w:t>项目管理组织事故处理验收</w:t>
                              </w:r>
                            </w:p>
                          </w:txbxContent>
                        </wps:txbx>
                        <wps:bodyPr upright="1"/>
                      </wps:wsp>
                      <wps:wsp>
                        <wps:cNvPr id="9" name="矩形 9"/>
                        <wps:cNvSpPr/>
                        <wps:spPr>
                          <a:xfrm>
                            <a:off x="5076" y="7302"/>
                            <a:ext cx="3238"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25B2C059">
                              <w:pPr>
                                <w:rPr>
                                  <w:rFonts w:ascii="仿宋" w:hAnsi="仿宋" w:eastAsia="仿宋" w:cs="仿宋"/>
                                  <w:sz w:val="24"/>
                                </w:rPr>
                              </w:pPr>
                              <w:r>
                                <w:rPr>
                                  <w:rFonts w:hint="eastAsia" w:ascii="仿宋" w:hAnsi="仿宋" w:eastAsia="仿宋" w:cs="仿宋"/>
                                  <w:sz w:val="24"/>
                                </w:rPr>
                                <w:t>监理签发《工程复工报审表》</w:t>
                              </w:r>
                            </w:p>
                          </w:txbxContent>
                        </wps:txbx>
                        <wps:bodyPr upright="1"/>
                      </wps:wsp>
                      <wps:wsp>
                        <wps:cNvPr id="10" name="直接连接符 10"/>
                        <wps:cNvCnPr/>
                        <wps:spPr>
                          <a:xfrm flipH="1">
                            <a:off x="3622" y="491"/>
                            <a:ext cx="0" cy="368"/>
                          </a:xfrm>
                          <a:prstGeom prst="line">
                            <a:avLst/>
                          </a:prstGeom>
                          <a:ln w="6350" cap="flat" cmpd="sng">
                            <a:solidFill>
                              <a:srgbClr val="000000"/>
                            </a:solidFill>
                            <a:prstDash val="solid"/>
                            <a:headEnd type="none" w="med" len="med"/>
                            <a:tailEnd type="triangle" w="med" len="med"/>
                          </a:ln>
                        </wps:spPr>
                        <wps:bodyPr upright="1"/>
                      </wps:wsp>
                      <wps:wsp>
                        <wps:cNvPr id="11" name="直接连接符 11"/>
                        <wps:cNvCnPr/>
                        <wps:spPr>
                          <a:xfrm flipH="1">
                            <a:off x="3603" y="1327"/>
                            <a:ext cx="0" cy="393"/>
                          </a:xfrm>
                          <a:prstGeom prst="line">
                            <a:avLst/>
                          </a:prstGeom>
                          <a:ln w="6350" cap="flat" cmpd="sng">
                            <a:solidFill>
                              <a:srgbClr val="000000"/>
                            </a:solidFill>
                            <a:prstDash val="solid"/>
                            <a:headEnd type="none" w="med" len="med"/>
                            <a:tailEnd type="triangle" w="med" len="med"/>
                          </a:ln>
                        </wps:spPr>
                        <wps:bodyPr upright="1"/>
                      </wps:wsp>
                      <wps:wsp>
                        <wps:cNvPr id="12" name="直接连接符 12"/>
                        <wps:cNvCnPr/>
                        <wps:spPr>
                          <a:xfrm flipH="1">
                            <a:off x="6694" y="3176"/>
                            <a:ext cx="4" cy="456"/>
                          </a:xfrm>
                          <a:prstGeom prst="line">
                            <a:avLst/>
                          </a:prstGeom>
                          <a:ln w="6350" cap="flat" cmpd="sng">
                            <a:solidFill>
                              <a:srgbClr val="000000"/>
                            </a:solidFill>
                            <a:prstDash val="solid"/>
                            <a:headEnd type="none" w="med" len="med"/>
                            <a:tailEnd type="triangle" w="med" len="med"/>
                          </a:ln>
                        </wps:spPr>
                        <wps:bodyPr upright="1"/>
                      </wps:wsp>
                      <wps:wsp>
                        <wps:cNvPr id="13" name="流程图: 决策 13"/>
                        <wps:cNvSpPr/>
                        <wps:spPr>
                          <a:xfrm>
                            <a:off x="2745" y="2593"/>
                            <a:ext cx="1716" cy="841"/>
                          </a:xfrm>
                          <a:prstGeom prst="flowChartDecision">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41507313">
                              <w:pPr>
                                <w:pBdr>
                                  <w:bottom w:val="single" w:color="auto" w:sz="4" w:space="1"/>
                                </w:pBdr>
                                <w:jc w:val="center"/>
                                <w:rPr>
                                  <w:rFonts w:ascii="宋体" w:hAnsi="宋体"/>
                                  <w:sz w:val="24"/>
                                </w:rPr>
                              </w:pPr>
                              <w:r>
                                <w:rPr>
                                  <w:rFonts w:hint="eastAsia" w:ascii="仿宋" w:hAnsi="仿宋" w:eastAsia="仿宋" w:cs="仿宋"/>
                                  <w:sz w:val="24"/>
                                </w:rPr>
                                <w:t>判断</w:t>
                              </w:r>
                            </w:p>
                          </w:txbxContent>
                        </wps:txbx>
                        <wps:bodyPr upright="1"/>
                      </wps:wsp>
                      <wps:wsp>
                        <wps:cNvPr id="14" name="文本框 14"/>
                        <wps:cNvSpPr txBox="1"/>
                        <wps:spPr>
                          <a:xfrm>
                            <a:off x="9" y="4429"/>
                            <a:ext cx="2161"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3106464E">
                              <w:pPr>
                                <w:jc w:val="center"/>
                                <w:rPr>
                                  <w:rFonts w:ascii="宋体" w:hAnsi="宋体"/>
                                  <w:sz w:val="24"/>
                                </w:rPr>
                              </w:pPr>
                              <w:r>
                                <w:rPr>
                                  <w:rFonts w:hint="eastAsia" w:ascii="仿宋" w:hAnsi="仿宋" w:eastAsia="仿宋" w:cs="仿宋"/>
                                  <w:sz w:val="24"/>
                                </w:rPr>
                                <w:t>总监理工程师审核</w:t>
                              </w:r>
                            </w:p>
                          </w:txbxContent>
                        </wps:txbx>
                        <wps:bodyPr upright="1"/>
                      </wps:wsp>
                      <wps:wsp>
                        <wps:cNvPr id="15" name="文本框 15"/>
                        <wps:cNvSpPr txBox="1"/>
                        <wps:spPr>
                          <a:xfrm>
                            <a:off x="8" y="5294"/>
                            <a:ext cx="2161"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78F5C8D3">
                              <w:pPr>
                                <w:jc w:val="center"/>
                                <w:rPr>
                                  <w:rFonts w:ascii="宋体" w:hAnsi="宋体"/>
                                  <w:sz w:val="24"/>
                                </w:rPr>
                              </w:pPr>
                              <w:r>
                                <w:rPr>
                                  <w:rFonts w:hint="eastAsia" w:ascii="仿宋" w:hAnsi="仿宋" w:eastAsia="仿宋" w:cs="仿宋"/>
                                  <w:spacing w:val="-20"/>
                                  <w:sz w:val="24"/>
                                </w:rPr>
                                <w:t>装修施工按方案处</w:t>
                              </w:r>
                              <w:r>
                                <w:rPr>
                                  <w:rFonts w:hint="eastAsia" w:ascii="仿宋" w:hAnsi="仿宋" w:eastAsia="仿宋" w:cs="仿宋"/>
                                  <w:sz w:val="24"/>
                                </w:rPr>
                                <w:t>理</w:t>
                              </w:r>
                            </w:p>
                          </w:txbxContent>
                        </wps:txbx>
                        <wps:bodyPr upright="1"/>
                      </wps:wsp>
                      <wps:wsp>
                        <wps:cNvPr id="16" name="文本框 16"/>
                        <wps:cNvSpPr txBox="1"/>
                        <wps:spPr>
                          <a:xfrm>
                            <a:off x="9" y="6134"/>
                            <a:ext cx="2167" cy="444"/>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79E0BBB0">
                              <w:pPr>
                                <w:jc w:val="center"/>
                                <w:rPr>
                                  <w:rFonts w:ascii="仿宋" w:hAnsi="仿宋" w:eastAsia="仿宋" w:cs="仿宋"/>
                                  <w:sz w:val="24"/>
                                </w:rPr>
                              </w:pPr>
                              <w:r>
                                <w:rPr>
                                  <w:rFonts w:hint="eastAsia" w:ascii="仿宋" w:hAnsi="仿宋" w:eastAsia="仿宋" w:cs="仿宋"/>
                                  <w:sz w:val="24"/>
                                </w:rPr>
                                <w:t>总监理工程师验收</w:t>
                              </w:r>
                            </w:p>
                          </w:txbxContent>
                        </wps:txbx>
                        <wps:bodyPr upright="1"/>
                      </wps:wsp>
                      <wps:wsp>
                        <wps:cNvPr id="17" name="文本框 17"/>
                        <wps:cNvSpPr txBox="1"/>
                        <wps:spPr>
                          <a:xfrm>
                            <a:off x="5076" y="2708"/>
                            <a:ext cx="3246"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51F6F764">
                              <w:pPr>
                                <w:jc w:val="center"/>
                                <w:rPr>
                                  <w:rFonts w:ascii="仿宋" w:hAnsi="仿宋" w:eastAsia="仿宋" w:cs="仿宋"/>
                                  <w:sz w:val="24"/>
                                </w:rPr>
                              </w:pPr>
                              <w:r>
                                <w:rPr>
                                  <w:rFonts w:hint="eastAsia" w:ascii="仿宋" w:hAnsi="仿宋" w:eastAsia="仿宋" w:cs="仿宋"/>
                                  <w:sz w:val="24"/>
                                </w:rPr>
                                <w:t>安全事故</w:t>
                              </w:r>
                            </w:p>
                          </w:txbxContent>
                        </wps:txbx>
                        <wps:bodyPr upright="1"/>
                      </wps:wsp>
                      <wps:wsp>
                        <wps:cNvPr id="18" name="直接连接符 18"/>
                        <wps:cNvCnPr/>
                        <wps:spPr>
                          <a:xfrm flipH="1">
                            <a:off x="2325" y="3007"/>
                            <a:ext cx="329" cy="0"/>
                          </a:xfrm>
                          <a:prstGeom prst="line">
                            <a:avLst/>
                          </a:prstGeom>
                          <a:ln w="6350" cap="flat" cmpd="sng">
                            <a:solidFill>
                              <a:srgbClr val="000000"/>
                            </a:solidFill>
                            <a:prstDash val="solid"/>
                            <a:headEnd type="none" w="med" len="med"/>
                            <a:tailEnd type="triangle" w="med" len="med"/>
                          </a:ln>
                        </wps:spPr>
                        <wps:bodyPr upright="1"/>
                      </wps:wsp>
                      <wps:wsp>
                        <wps:cNvPr id="19" name="直接连接符 19"/>
                        <wps:cNvCnPr/>
                        <wps:spPr>
                          <a:xfrm>
                            <a:off x="4568" y="3007"/>
                            <a:ext cx="392" cy="0"/>
                          </a:xfrm>
                          <a:prstGeom prst="line">
                            <a:avLst/>
                          </a:prstGeom>
                          <a:ln w="6350" cap="flat" cmpd="sng">
                            <a:solidFill>
                              <a:srgbClr val="000000"/>
                            </a:solidFill>
                            <a:prstDash val="solid"/>
                            <a:headEnd type="none" w="med" len="med"/>
                            <a:tailEnd type="triangle" w="med" len="med"/>
                          </a:ln>
                        </wps:spPr>
                        <wps:bodyPr upright="1"/>
                      </wps:wsp>
                      <wps:wsp>
                        <wps:cNvPr id="20" name="直接连接符 20"/>
                        <wps:cNvCnPr/>
                        <wps:spPr>
                          <a:xfrm>
                            <a:off x="6694" y="4987"/>
                            <a:ext cx="0" cy="456"/>
                          </a:xfrm>
                          <a:prstGeom prst="line">
                            <a:avLst/>
                          </a:prstGeom>
                          <a:ln w="6350" cap="flat" cmpd="sng">
                            <a:solidFill>
                              <a:srgbClr val="000000"/>
                            </a:solidFill>
                            <a:prstDash val="solid"/>
                            <a:headEnd type="none" w="med" len="med"/>
                            <a:tailEnd type="triangle" w="med" len="med"/>
                          </a:ln>
                        </wps:spPr>
                        <wps:bodyPr upright="1"/>
                      </wps:wsp>
                      <wps:wsp>
                        <wps:cNvPr id="21" name="文本框 21"/>
                        <wps:cNvSpPr txBox="1"/>
                        <wps:spPr>
                          <a:xfrm>
                            <a:off x="3839" y="3656"/>
                            <a:ext cx="831" cy="3184"/>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48223EC8">
                              <w:pPr>
                                <w:jc w:val="center"/>
                                <w:rPr>
                                  <w:rFonts w:ascii="仿宋" w:hAnsi="仿宋" w:eastAsia="仿宋" w:cs="仿宋"/>
                                  <w:sz w:val="24"/>
                                </w:rPr>
                              </w:pPr>
                              <w:r>
                                <w:rPr>
                                  <w:rFonts w:hint="eastAsia" w:ascii="仿宋" w:hAnsi="仿宋" w:eastAsia="仿宋" w:cs="仿宋"/>
                                  <w:sz w:val="24"/>
                                </w:rPr>
                                <w:t>必要时报请政府主管部门</w:t>
                              </w:r>
                            </w:p>
                          </w:txbxContent>
                        </wps:txbx>
                        <wps:bodyPr vert="eaVert" upright="1"/>
                      </wps:wsp>
                      <wps:wsp>
                        <wps:cNvPr id="22" name="文本框 22"/>
                        <wps:cNvSpPr txBox="1"/>
                        <wps:spPr>
                          <a:xfrm>
                            <a:off x="6153" y="0"/>
                            <a:ext cx="2161" cy="468"/>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21F066C1">
                              <w:pPr>
                                <w:rPr>
                                  <w:rFonts w:ascii="仿宋" w:hAnsi="仿宋" w:eastAsia="仿宋" w:cs="仿宋"/>
                                  <w:spacing w:val="-11"/>
                                  <w:sz w:val="24"/>
                                </w:rPr>
                              </w:pPr>
                              <w:r>
                                <w:rPr>
                                  <w:rFonts w:hint="eastAsia" w:ascii="仿宋" w:hAnsi="仿宋" w:eastAsia="仿宋" w:cs="仿宋"/>
                                  <w:spacing w:val="-40"/>
                                  <w:sz w:val="24"/>
                                </w:rPr>
                                <w:t>向项目负责人单位负责人汇</w:t>
                              </w:r>
                              <w:r>
                                <w:rPr>
                                  <w:rFonts w:hint="eastAsia" w:ascii="仿宋" w:hAnsi="仿宋" w:eastAsia="仿宋" w:cs="仿宋"/>
                                  <w:spacing w:val="-11"/>
                                  <w:sz w:val="24"/>
                                </w:rPr>
                                <w:t>报</w:t>
                              </w:r>
                            </w:p>
                          </w:txbxContent>
                        </wps:txbx>
                        <wps:bodyPr upright="1"/>
                      </wps:wsp>
                      <wps:wsp>
                        <wps:cNvPr id="23" name="直接连接符 23"/>
                        <wps:cNvCnPr/>
                        <wps:spPr>
                          <a:xfrm>
                            <a:off x="5852" y="234"/>
                            <a:ext cx="301" cy="0"/>
                          </a:xfrm>
                          <a:prstGeom prst="line">
                            <a:avLst/>
                          </a:prstGeom>
                          <a:ln w="6350" cap="flat" cmpd="sng">
                            <a:solidFill>
                              <a:srgbClr val="000000"/>
                            </a:solidFill>
                            <a:prstDash val="solid"/>
                            <a:headEnd type="none" w="med" len="med"/>
                            <a:tailEnd type="triangle" w="med" len="med"/>
                          </a:ln>
                        </wps:spPr>
                        <wps:bodyPr upright="1"/>
                      </wps:wsp>
                      <wps:wsp>
                        <wps:cNvPr id="24" name="直接连接符 24"/>
                        <wps:cNvCnPr/>
                        <wps:spPr>
                          <a:xfrm flipV="1">
                            <a:off x="2170" y="4661"/>
                            <a:ext cx="385" cy="2"/>
                          </a:xfrm>
                          <a:prstGeom prst="line">
                            <a:avLst/>
                          </a:prstGeom>
                          <a:ln w="6350" cap="flat" cmpd="sng">
                            <a:solidFill>
                              <a:srgbClr val="000000"/>
                            </a:solidFill>
                            <a:prstDash val="solid"/>
                            <a:headEnd type="none" w="med" len="med"/>
                            <a:tailEnd type="triangle" w="med" len="med"/>
                          </a:ln>
                        </wps:spPr>
                        <wps:bodyPr upright="1"/>
                      </wps:wsp>
                      <wps:wsp>
                        <wps:cNvPr id="25" name="直接连接符 25"/>
                        <wps:cNvCnPr/>
                        <wps:spPr>
                          <a:xfrm flipH="1" flipV="1">
                            <a:off x="4781" y="4751"/>
                            <a:ext cx="295" cy="2"/>
                          </a:xfrm>
                          <a:prstGeom prst="line">
                            <a:avLst/>
                          </a:prstGeom>
                          <a:ln w="6350" cap="flat" cmpd="sng">
                            <a:solidFill>
                              <a:srgbClr val="000000"/>
                            </a:solidFill>
                            <a:prstDash val="solid"/>
                            <a:headEnd type="none" w="med" len="med"/>
                            <a:tailEnd type="triangle" w="med" len="med"/>
                          </a:ln>
                        </wps:spPr>
                        <wps:bodyPr upright="1"/>
                      </wps:wsp>
                      <wps:wsp>
                        <wps:cNvPr id="26" name="直接连接符 26"/>
                        <wps:cNvCnPr/>
                        <wps:spPr>
                          <a:xfrm>
                            <a:off x="6694" y="5911"/>
                            <a:ext cx="0" cy="456"/>
                          </a:xfrm>
                          <a:prstGeom prst="line">
                            <a:avLst/>
                          </a:prstGeom>
                          <a:ln w="6350" cap="flat" cmpd="sng">
                            <a:solidFill>
                              <a:srgbClr val="000000"/>
                            </a:solidFill>
                            <a:prstDash val="solid"/>
                            <a:headEnd type="none" w="med" len="med"/>
                            <a:tailEnd type="triangle" w="med" len="med"/>
                          </a:ln>
                        </wps:spPr>
                        <wps:bodyPr upright="1"/>
                      </wps:wsp>
                      <wps:wsp>
                        <wps:cNvPr id="27" name="直接连接符 27"/>
                        <wps:cNvCnPr/>
                        <wps:spPr>
                          <a:xfrm>
                            <a:off x="6694" y="6835"/>
                            <a:ext cx="0" cy="467"/>
                          </a:xfrm>
                          <a:prstGeom prst="line">
                            <a:avLst/>
                          </a:prstGeom>
                          <a:ln w="6350" cap="flat" cmpd="sng">
                            <a:solidFill>
                              <a:srgbClr val="000000"/>
                            </a:solidFill>
                            <a:prstDash val="solid"/>
                            <a:headEnd type="none" w="med" len="med"/>
                            <a:tailEnd type="triangle" w="med" len="med"/>
                          </a:ln>
                        </wps:spPr>
                        <wps:bodyPr upright="1"/>
                      </wps:wsp>
                      <wps:wsp>
                        <wps:cNvPr id="28" name="直接连接符 28"/>
                        <wps:cNvCnPr/>
                        <wps:spPr>
                          <a:xfrm flipH="1">
                            <a:off x="3603" y="2188"/>
                            <a:ext cx="0" cy="393"/>
                          </a:xfrm>
                          <a:prstGeom prst="line">
                            <a:avLst/>
                          </a:prstGeom>
                          <a:ln w="6350" cap="flat" cmpd="sng">
                            <a:solidFill>
                              <a:srgbClr val="000000"/>
                            </a:solidFill>
                            <a:prstDash val="solid"/>
                            <a:headEnd type="none" w="med" len="med"/>
                            <a:tailEnd type="triangle" w="med" len="med"/>
                          </a:ln>
                        </wps:spPr>
                        <wps:bodyPr upright="1"/>
                      </wps:wsp>
                      <wps:wsp>
                        <wps:cNvPr id="29" name="文本框 29"/>
                        <wps:cNvSpPr txBox="1"/>
                        <wps:spPr>
                          <a:xfrm>
                            <a:off x="7" y="3602"/>
                            <a:ext cx="2167" cy="444"/>
                          </a:xfrm>
                          <a:prstGeom prst="rect">
                            <a:avLst/>
                          </a:prstGeom>
                          <a:gradFill rotWithShape="0">
                            <a:gsLst>
                              <a:gs pos="0">
                                <a:srgbClr val="00FFFF"/>
                              </a:gs>
                              <a:gs pos="100000">
                                <a:srgbClr val="FFFFFF"/>
                              </a:gs>
                            </a:gsLst>
                            <a:lin ang="5400000" scaled="1"/>
                            <a:tileRect/>
                          </a:gradFill>
                          <a:ln w="6350" cap="flat" cmpd="sng">
                            <a:solidFill>
                              <a:srgbClr val="000000"/>
                            </a:solidFill>
                            <a:prstDash val="solid"/>
                            <a:miter/>
                            <a:headEnd type="none" w="med" len="med"/>
                            <a:tailEnd type="none" w="med" len="med"/>
                          </a:ln>
                        </wps:spPr>
                        <wps:txbx>
                          <w:txbxContent>
                            <w:p w14:paraId="64B253D0">
                              <w:pPr>
                                <w:jc w:val="center"/>
                                <w:rPr>
                                  <w:rFonts w:ascii="宋体" w:hAnsi="宋体"/>
                                  <w:sz w:val="24"/>
                                </w:rPr>
                              </w:pPr>
                              <w:r>
                                <w:rPr>
                                  <w:rFonts w:hint="eastAsia" w:ascii="仿宋" w:hAnsi="仿宋" w:eastAsia="仿宋" w:cs="仿宋"/>
                                  <w:sz w:val="24"/>
                                </w:rPr>
                                <w:t>承包商提出处理方</w:t>
                              </w:r>
                              <w:r>
                                <w:rPr>
                                  <w:rFonts w:hint="eastAsia" w:ascii="宋体" w:hAnsi="宋体"/>
                                  <w:sz w:val="24"/>
                                </w:rPr>
                                <w:t>案</w:t>
                              </w:r>
                            </w:p>
                            <w:p w14:paraId="6C577ECC">
                              <w:pPr>
                                <w:jc w:val="center"/>
                                <w:rPr>
                                  <w:rFonts w:ascii="宋体" w:hAnsi="宋体"/>
                                  <w:sz w:val="24"/>
                                </w:rPr>
                              </w:pPr>
                            </w:p>
                          </w:txbxContent>
                        </wps:txbx>
                        <wps:bodyPr upright="1"/>
                      </wps:wsp>
                    </wpg:wgp>
                  </a:graphicData>
                </a:graphic>
              </wp:anchor>
            </w:drawing>
          </mc:Choice>
          <mc:Fallback>
            <w:pict>
              <v:group id="_x0000_s1026" o:spid="_x0000_s1026" o:spt="203" style="position:absolute;left:0pt;margin-left:2.45pt;margin-top:3.3pt;height:363.35pt;width:471.3pt;z-index:251660288;mso-width-relative:page;mso-height-relative:page;" coordsize="8322,7770" o:gfxdata="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">
                <o:lock v:ext="edit" aspectratio="f"/>
                <v:rect id="_x0000_s1026" o:spid="_x0000_s1026" o:spt="1" style="position:absolute;left:1354;top:0;height:468;width:4498;" fillcolor="#00FFFF" filled="t" stroked="t" coordsize="21600,21600" o:gfxdata="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8BVrG5AAAA2gAA&#10;AA8AAAAAAAAAAQAgAAAAIgAAAGRycy9kb3ducmV2LnhtbFBLAQIUABQAAAAIAIdO4kAzLwWeOwAA&#10;ADkAAAAQAAAAAAAAAAEAIAAAAAgBAABkcnMvc2hhcGV4bWwueG1sUEsFBgAAAAAGAAYAWwEAALID&#10;AAAAAA==&#10;">
                  <v:fill type="gradient" on="t" color2="#FFFFFF" focus="100%" focussize="0,0"/>
                  <v:stroke weight="0.5pt" color="#000000" joinstyle="miter"/>
                  <v:imagedata o:title=""/>
                  <o:lock v:ext="edit" aspectratio="f"/>
                  <v:textbox>
                    <w:txbxContent>
                      <w:p w14:paraId="29864D61">
                        <w:pPr>
                          <w:jc w:val="center"/>
                          <w:rPr>
                            <w:rFonts w:ascii="仿宋" w:hAnsi="仿宋" w:eastAsia="仿宋" w:cs="仿宋"/>
                            <w:sz w:val="24"/>
                          </w:rPr>
                        </w:pPr>
                        <w:r>
                          <w:rPr>
                            <w:rFonts w:hint="eastAsia" w:ascii="仿宋" w:hAnsi="仿宋" w:eastAsia="仿宋" w:cs="仿宋"/>
                            <w:sz w:val="24"/>
                          </w:rPr>
                          <w:t>发生工程安全问题（事故）</w:t>
                        </w:r>
                      </w:p>
                    </w:txbxContent>
                  </v:textbox>
                </v:rect>
                <v:rect id="_x0000_s1026" o:spid="_x0000_s1026" o:spt="1" style="position:absolute;left:1354;top:859;height:468;width:4499;" fillcolor="#00FFFF" filled="t" stroked="t" coordsize="21600,21600" o:gfxdata="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TyMa8AAAA&#10;2gAAAA8AAAAAAAAAAQAgAAAAIgAAAGRycy9kb3ducmV2LnhtbFBLAQIUABQAAAAIAIdO4kAzLwWe&#10;OwAAADkAAAAQAAAAAAAAAAEAIAAAAAsBAABkcnMvc2hhcGV4bWwueG1sUEsFBgAAAAAGAAYAWwEA&#10;ALUDAAAAAA==&#10;">
                  <v:fill type="gradient" on="t" color2="#FFFFFF" focus="100%" focussize="0,0"/>
                  <v:stroke weight="0.5pt" color="#000000" joinstyle="miter"/>
                  <v:imagedata o:title=""/>
                  <o:lock v:ext="edit" aspectratio="f"/>
                  <v:textbox>
                    <w:txbxContent>
                      <w:p w14:paraId="3313C9CA">
                        <w:pPr>
                          <w:jc w:val="center"/>
                          <w:rPr>
                            <w:rFonts w:ascii="宋体" w:hAnsi="宋体"/>
                            <w:sz w:val="24"/>
                          </w:rPr>
                        </w:pPr>
                        <w:r>
                          <w:rPr>
                            <w:rFonts w:hint="eastAsia" w:ascii="仿宋" w:hAnsi="仿宋" w:eastAsia="仿宋" w:cs="仿宋"/>
                            <w:sz w:val="24"/>
                          </w:rPr>
                          <w:t>装修施工填写安全问题（事故）报告书</w:t>
                        </w:r>
                      </w:p>
                    </w:txbxContent>
                  </v:textbox>
                </v:rect>
                <v:rect id="_x0000_s1026" o:spid="_x0000_s1026" o:spt="1" style="position:absolute;left:1354;top:1720;height:468;width:4499;" fillcolor="#00FFFF" filled="t" stroked="t" coordsize="21600,21600" o:gfxdata="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CfbV28AAAA&#10;2gAAAA8AAAAAAAAAAQAgAAAAIgAAAGRycy9kb3ducmV2LnhtbFBLAQIUABQAAAAIAIdO4kAzLwWe&#10;OwAAADkAAAAQAAAAAAAAAAEAIAAAAAsBAABkcnMvc2hhcGV4bWwueG1sUEsFBgAAAAAGAAYAWwEA&#10;ALUDAAAAAA==&#10;">
                  <v:fill type="gradient" on="t" color2="#FFFFFF" focus="100%" focussize="0,0"/>
                  <v:stroke weight="0.5pt" color="#000000" joinstyle="miter"/>
                  <v:imagedata o:title=""/>
                  <o:lock v:ext="edit" aspectratio="f"/>
                  <v:textbox>
                    <w:txbxContent>
                      <w:p w14:paraId="7F44775C">
                        <w:pPr>
                          <w:jc w:val="center"/>
                          <w:rPr>
                            <w:rFonts w:ascii="仿宋" w:hAnsi="仿宋" w:eastAsia="仿宋" w:cs="仿宋"/>
                            <w:sz w:val="24"/>
                          </w:rPr>
                        </w:pPr>
                        <w:r>
                          <w:rPr>
                            <w:rFonts w:hint="eastAsia" w:ascii="仿宋" w:hAnsi="仿宋" w:eastAsia="仿宋" w:cs="仿宋"/>
                            <w:sz w:val="24"/>
                          </w:rPr>
                          <w:t>监理组织各方听取承包商汇报</w:t>
                        </w:r>
                      </w:p>
                    </w:txbxContent>
                  </v:textbox>
                </v:rect>
                <v:rect id="_x0000_s1026" o:spid="_x0000_s1026" o:spt="1" style="position:absolute;left:0;top:2708;height:468;width:2177;" fillcolor="#00FFFF" filled="t" stroked="t" coordsize="21600,21600" o:gfxdata="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3b1Kb4A&#10;AADaAAAADwAAAAAAAAABACAAAAAiAAAAZHJzL2Rvd25yZXYueG1sUEsBAhQAFAAAAAgAh07iQDMv&#10;BZ47AAAAOQAAABAAAAAAAAAAAQAgAAAADQEAAGRycy9zaGFwZXhtbC54bWxQSwUGAAAAAAYABgBb&#10;AQAAtwMAAAAA&#10;">
                  <v:fill type="gradient" on="t" color2="#FFFFFF" focus="100%" focussize="0,0"/>
                  <v:stroke weight="0.5pt" color="#000000" joinstyle="miter"/>
                  <v:imagedata o:title=""/>
                  <o:lock v:ext="edit" aspectratio="f"/>
                  <v:textbox>
                    <w:txbxContent>
                      <w:p w14:paraId="6A1B57A0">
                        <w:pPr>
                          <w:jc w:val="center"/>
                          <w:rPr>
                            <w:rFonts w:ascii="仿宋" w:hAnsi="仿宋" w:eastAsia="仿宋" w:cs="仿宋"/>
                            <w:sz w:val="24"/>
                          </w:rPr>
                        </w:pPr>
                        <w:r>
                          <w:rPr>
                            <w:rFonts w:hint="eastAsia" w:ascii="仿宋" w:hAnsi="仿宋" w:eastAsia="仿宋" w:cs="仿宋"/>
                            <w:sz w:val="24"/>
                          </w:rPr>
                          <w:t>一般安全问题</w:t>
                        </w:r>
                      </w:p>
                    </w:txbxContent>
                  </v:textbox>
                </v:rect>
                <v:rect id="_x0000_s1026" o:spid="_x0000_s1026" o:spt="1" style="position:absolute;left:5076;top:3519;height:582;width:3238;" fillcolor="#00FFFF" filled="t" stroked="t" coordsize="21600,21600" o:gfxdata="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DpQsr4A&#10;AADaAAAADwAAAAAAAAABACAAAAAiAAAAZHJzL2Rvd25yZXYueG1sUEsBAhQAFAAAAAgAh07iQDMv&#10;BZ47AAAAOQAAABAAAAAAAAAAAQAgAAAADQEAAGRycy9zaGFwZXhtbC54bWxQSwUGAAAAAAYABgBb&#10;AQAAtwMAAAAA&#10;">
                  <v:fill type="gradient" on="t" color2="#FFFFFF" focus="100%" focussize="0,0"/>
                  <v:stroke weight="0.5pt" color="#000000" joinstyle="miter"/>
                  <v:imagedata o:title=""/>
                  <o:lock v:ext="edit" aspectratio="f"/>
                  <v:textbox>
                    <w:txbxContent>
                      <w:p w14:paraId="0F9C71B1">
                        <w:pPr>
                          <w:ind w:left="63" w:right="63"/>
                          <w:rPr>
                            <w:rFonts w:ascii="仿宋" w:hAnsi="仿宋" w:eastAsia="仿宋" w:cs="仿宋"/>
                            <w:sz w:val="24"/>
                          </w:rPr>
                        </w:pPr>
                        <w:r>
                          <w:rPr>
                            <w:rFonts w:hint="eastAsia" w:ascii="仿宋" w:hAnsi="仿宋" w:eastAsia="仿宋" w:cs="仿宋"/>
                            <w:sz w:val="24"/>
                          </w:rPr>
                          <w:t>总监签《工程暂停令》</w:t>
                        </w:r>
                      </w:p>
                    </w:txbxContent>
                  </v:textbox>
                </v:rect>
                <v:rect id="_x0000_s1026" o:spid="_x0000_s1026" o:spt="1" style="position:absolute;left:5076;top:4519;height:468;width:3238;" fillcolor="#00FFFF" filled="t" stroked="t" coordsize="21600,21600" o:gfxdata="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ntnbO8AAAA&#10;2g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14:paraId="0DDBE122">
                        <w:pPr>
                          <w:jc w:val="center"/>
                          <w:rPr>
                            <w:rFonts w:ascii="仿宋" w:hAnsi="仿宋" w:eastAsia="仿宋" w:cs="仿宋"/>
                            <w:sz w:val="24"/>
                          </w:rPr>
                        </w:pPr>
                        <w:r>
                          <w:rPr>
                            <w:rFonts w:hint="eastAsia" w:ascii="仿宋" w:hAnsi="仿宋" w:eastAsia="仿宋" w:cs="仿宋"/>
                            <w:sz w:val="24"/>
                          </w:rPr>
                          <w:t>管理单位组织各方调研处理意见</w:t>
                        </w:r>
                      </w:p>
                    </w:txbxContent>
                  </v:textbox>
                </v:rect>
                <v:rect id="_x0000_s1026" o:spid="_x0000_s1026" o:spt="1" style="position:absolute;left:5076;top:5443;height:468;width:3238;" fillcolor="#00FFFF" filled="t" stroked="t" coordsize="21600,21600" o:gfxdata="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6RrXr4A&#10;AADaAAAADwAAAAAAAAABACAAAAAiAAAAZHJzL2Rvd25yZXYueG1sUEsBAhQAFAAAAAgAh07iQDMv&#10;BZ47AAAAOQAAABAAAAAAAAAAAQAgAAAADQEAAGRycy9zaGFwZXhtbC54bWxQSwUGAAAAAAYABgBb&#10;AQAAtwMAAAAA&#10;">
                  <v:fill type="gradient" on="t" color2="#FFFFFF" focus="100%" focussize="0,0"/>
                  <v:stroke weight="0.5pt" color="#000000" joinstyle="miter"/>
                  <v:imagedata o:title=""/>
                  <o:lock v:ext="edit" aspectratio="f"/>
                  <v:textbox>
                    <w:txbxContent>
                      <w:p w14:paraId="3491A799">
                        <w:pPr>
                          <w:jc w:val="center"/>
                          <w:rPr>
                            <w:rFonts w:ascii="仿宋" w:hAnsi="仿宋" w:eastAsia="仿宋" w:cs="仿宋"/>
                            <w:sz w:val="24"/>
                          </w:rPr>
                        </w:pPr>
                        <w:r>
                          <w:rPr>
                            <w:rFonts w:hint="eastAsia" w:ascii="仿宋" w:hAnsi="仿宋" w:eastAsia="仿宋" w:cs="仿宋"/>
                            <w:sz w:val="24"/>
                          </w:rPr>
                          <w:t>监理督查整改</w:t>
                        </w:r>
                      </w:p>
                    </w:txbxContent>
                  </v:textbox>
                </v:rect>
                <v:rect id="_x0000_s1026" o:spid="_x0000_s1026" o:spt="1" style="position:absolute;left:5076;top:6367;height:468;width:3238;" fillcolor="#00FFFF" filled="t" stroked="t" coordsize="21600,21600" o:gfxdata="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eO/8sugAAANoA&#10;AAAPAAAAAAAAAAEAIAAAACIAAABkcnMvZG93bnJldi54bWxQSwECFAAUAAAACACHTuJAMy8FnjsA&#10;AAA5AAAAEAAAAAAAAAABACAAAAAJAQAAZHJzL3NoYXBleG1sLnhtbFBLBQYAAAAABgAGAFsBAACz&#10;AwAAAAA=&#10;">
                  <v:fill type="gradient" on="t" color2="#FFFFFF" focus="100%" focussize="0,0"/>
                  <v:stroke weight="0.5pt" color="#000000" joinstyle="miter"/>
                  <v:imagedata o:title=""/>
                  <o:lock v:ext="edit" aspectratio="f"/>
                  <v:textbox>
                    <w:txbxContent>
                      <w:p w14:paraId="1BC78F50">
                        <w:pPr>
                          <w:jc w:val="center"/>
                          <w:rPr>
                            <w:rFonts w:ascii="仿宋" w:hAnsi="仿宋" w:eastAsia="仿宋" w:cs="仿宋"/>
                            <w:sz w:val="24"/>
                          </w:rPr>
                        </w:pPr>
                        <w:r>
                          <w:rPr>
                            <w:rFonts w:hint="eastAsia" w:ascii="仿宋" w:hAnsi="仿宋" w:eastAsia="仿宋" w:cs="仿宋"/>
                            <w:sz w:val="24"/>
                          </w:rPr>
                          <w:t>项目管理组织事故处理验收</w:t>
                        </w:r>
                      </w:p>
                    </w:txbxContent>
                  </v:textbox>
                </v:rect>
                <v:rect id="_x0000_s1026" o:spid="_x0000_s1026" o:spt="1" style="position:absolute;left:5076;top:7302;height:468;width:3238;" fillcolor="#00FFFF" filled="t" stroked="t" coordsize="21600,21600" o:gfxdata="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F3Wre8AAAA&#10;2gAAAA8AAAAAAAAAAQAgAAAAIgAAAGRycy9kb3ducmV2LnhtbFBLAQIUABQAAAAIAIdO4kAzLwWe&#10;OwAAADkAAAAQAAAAAAAAAAEAIAAAAAsBAABkcnMvc2hhcGV4bWwueG1sUEsFBgAAAAAGAAYAWwEA&#10;ALUDAAAAAA==&#10;">
                  <v:fill type="gradient" on="t" color2="#FFFFFF" focus="100%" focussize="0,0"/>
                  <v:stroke weight="0.5pt" color="#000000" joinstyle="miter"/>
                  <v:imagedata o:title=""/>
                  <o:lock v:ext="edit" aspectratio="f"/>
                  <v:textbox>
                    <w:txbxContent>
                      <w:p w14:paraId="25B2C059">
                        <w:pPr>
                          <w:rPr>
                            <w:rFonts w:ascii="仿宋" w:hAnsi="仿宋" w:eastAsia="仿宋" w:cs="仿宋"/>
                            <w:sz w:val="24"/>
                          </w:rPr>
                        </w:pPr>
                        <w:r>
                          <w:rPr>
                            <w:rFonts w:hint="eastAsia" w:ascii="仿宋" w:hAnsi="仿宋" w:eastAsia="仿宋" w:cs="仿宋"/>
                            <w:sz w:val="24"/>
                          </w:rPr>
                          <w:t>监理签发《工程复工报审表》</w:t>
                        </w:r>
                      </w:p>
                    </w:txbxContent>
                  </v:textbox>
                </v:rect>
                <v:line id="_x0000_s1026" o:spid="_x0000_s1026" o:spt="20" style="position:absolute;left:3622;top:491;flip:x;height:368;width:0;" filled="f" stroked="t" coordsize="21600,21600" o:gfxdata="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M8Kza/&#10;AAAA2wAAAA8AAAAAAAAAAQAgAAAAIgAAAGRycy9kb3ducmV2LnhtbFBLAQIUABQAAAAIAIdO4kAz&#10;LwWeOwAAADkAAAAQAAAAAAAAAAEAIAAAAA4BAABkcnMvc2hhcGV4bWwueG1sUEsFBgAAAAAGAAYA&#10;WwEAALgDAAAAAA==&#10;">
                  <v:fill on="f" focussize="0,0"/>
                  <v:stroke weight="0.5pt" color="#000000" joinstyle="round" endarrow="block"/>
                  <v:imagedata o:title=""/>
                  <o:lock v:ext="edit" aspectratio="f"/>
                </v:line>
                <v:line id="_x0000_s1026" o:spid="_x0000_s1026" o:spt="20" style="position:absolute;left:3603;top:1327;flip:x;height:393;width:0;" filled="f" stroked="t" coordsize="21600,21600" o:gfxdata="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xwjq28AAAA&#10;2wAAAA8AAAAAAAAAAQAgAAAAIgAAAGRycy9kb3ducmV2LnhtbFBLAQIUABQAAAAIAIdO4kAzLwWe&#10;OwAAADkAAAAQAAAAAAAAAAEAIAAAAAsBAABkcnMvc2hhcGV4bWwueG1sUEsFBgAAAAAGAAYAWwEA&#10;ALUDAAAAAA==&#10;">
                  <v:fill on="f" focussize="0,0"/>
                  <v:stroke weight="0.5pt" color="#000000" joinstyle="round" endarrow="block"/>
                  <v:imagedata o:title=""/>
                  <o:lock v:ext="edit" aspectratio="f"/>
                </v:line>
                <v:line id="_x0000_s1026" o:spid="_x0000_s1026" o:spt="20" style="position:absolute;left:6694;top:3176;flip:x;height:456;width:4;" filled="f" stroked="t" coordsize="21600,21600" o:gfxdata="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KIQ2rsAAADb&#10;AAAADwAAAAAAAAABACAAAAAiAAAAZHJzL2Rvd25yZXYueG1sUEsBAhQAFAAAAAgAh07iQDMvBZ47&#10;AAAAOQAAABAAAAAAAAAAAQAgAAAACgEAAGRycy9zaGFwZXhtbC54bWxQSwUGAAAAAAYABgBbAQAA&#10;tAMAAAAA&#10;">
                  <v:fill on="f" focussize="0,0"/>
                  <v:stroke weight="0.5pt" color="#000000" joinstyle="round" endarrow="block"/>
                  <v:imagedata o:title=""/>
                  <o:lock v:ext="edit" aspectratio="f"/>
                </v:line>
                <v:shape id="_x0000_s1026" o:spid="_x0000_s1026" o:spt="110" type="#_x0000_t110" style="position:absolute;left:2745;top:2593;height:841;width:1716;" fillcolor="#00FFFF" filled="t" stroked="t" coordsize="21600,21600" o:gfxdata="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T1t87sAAADb&#10;AAAADwAAAAAAAAABACAAAAAiAAAAZHJzL2Rvd25yZXYueG1sUEsBAhQAFAAAAAgAh07iQDMvBZ47&#10;AAAAOQAAABAAAAAAAAAAAQAgAAAACgEAAGRycy9zaGFwZXhtbC54bWxQSwUGAAAAAAYABgBbAQAA&#10;tAMAAAAA&#10;">
                  <v:fill type="gradient" on="t" color2="#FFFFFF" focus="100%" focussize="0,0"/>
                  <v:stroke weight="0.5pt" color="#000000" joinstyle="miter"/>
                  <v:imagedata o:title=""/>
                  <o:lock v:ext="edit" aspectratio="f"/>
                  <v:textbox>
                    <w:txbxContent>
                      <w:p w14:paraId="41507313">
                        <w:pPr>
                          <w:pBdr>
                            <w:bottom w:val="single" w:color="auto" w:sz="4" w:space="1"/>
                          </w:pBdr>
                          <w:jc w:val="center"/>
                          <w:rPr>
                            <w:rFonts w:ascii="宋体" w:hAnsi="宋体"/>
                            <w:sz w:val="24"/>
                          </w:rPr>
                        </w:pPr>
                        <w:r>
                          <w:rPr>
                            <w:rFonts w:hint="eastAsia" w:ascii="仿宋" w:hAnsi="仿宋" w:eastAsia="仿宋" w:cs="仿宋"/>
                            <w:sz w:val="24"/>
                          </w:rPr>
                          <w:t>判断</w:t>
                        </w:r>
                      </w:p>
                    </w:txbxContent>
                  </v:textbox>
                </v:shape>
                <v:shape id="_x0000_s1026" o:spid="_x0000_s1026" o:spt="202" type="#_x0000_t202" style="position:absolute;left:9;top:4429;height:468;width:2161;" fillcolor="#00FFFF" filled="t" stroked="t" coordsize="21600,21600" o:gfxdata="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2AXLm8AAAA&#10;2wAAAA8AAAAAAAAAAQAgAAAAIgAAAGRycy9kb3ducmV2LnhtbFBLAQIUABQAAAAIAIdO4kAzLwWe&#10;OwAAADkAAAAQAAAAAAAAAAEAIAAAAAsBAABkcnMvc2hhcGV4bWwueG1sUEsFBgAAAAAGAAYAWwEA&#10;ALUDAAAAAA==&#10;">
                  <v:fill type="gradient" on="t" color2="#FFFFFF" focus="100%" focussize="0,0"/>
                  <v:stroke weight="0.5pt" color="#000000" joinstyle="miter"/>
                  <v:imagedata o:title=""/>
                  <o:lock v:ext="edit" aspectratio="f"/>
                  <v:textbox>
                    <w:txbxContent>
                      <w:p w14:paraId="3106464E">
                        <w:pPr>
                          <w:jc w:val="center"/>
                          <w:rPr>
                            <w:rFonts w:ascii="宋体" w:hAnsi="宋体"/>
                            <w:sz w:val="24"/>
                          </w:rPr>
                        </w:pPr>
                        <w:r>
                          <w:rPr>
                            <w:rFonts w:hint="eastAsia" w:ascii="仿宋" w:hAnsi="仿宋" w:eastAsia="仿宋" w:cs="仿宋"/>
                            <w:sz w:val="24"/>
                          </w:rPr>
                          <w:t>总监理工程师审核</w:t>
                        </w:r>
                      </w:p>
                    </w:txbxContent>
                  </v:textbox>
                </v:shape>
                <v:shape id="_x0000_s1026" o:spid="_x0000_s1026" o:spt="202" type="#_x0000_t202" style="position:absolute;left:8;top:5294;height:468;width:2161;" fillcolor="#00FFFF" filled="t" stroked="t" coordsize="21600,21600" o:gfxdata="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LM+SK8AAAA&#10;2wAAAA8AAAAAAAAAAQAgAAAAIgAAAGRycy9kb3ducmV2LnhtbFBLAQIUABQAAAAIAIdO4kAzLwWe&#10;OwAAADkAAAAQAAAAAAAAAAEAIAAAAAsBAABkcnMvc2hhcGV4bWwueG1sUEsFBgAAAAAGAAYAWwEA&#10;ALUDAAAAAA==&#10;">
                  <v:fill type="gradient" on="t" color2="#FFFFFF" focus="100%" focussize="0,0"/>
                  <v:stroke weight="0.5pt" color="#000000" joinstyle="miter"/>
                  <v:imagedata o:title=""/>
                  <o:lock v:ext="edit" aspectratio="f"/>
                  <v:textbox>
                    <w:txbxContent>
                      <w:p w14:paraId="78F5C8D3">
                        <w:pPr>
                          <w:jc w:val="center"/>
                          <w:rPr>
                            <w:rFonts w:ascii="宋体" w:hAnsi="宋体"/>
                            <w:sz w:val="24"/>
                          </w:rPr>
                        </w:pPr>
                        <w:r>
                          <w:rPr>
                            <w:rFonts w:hint="eastAsia" w:ascii="仿宋" w:hAnsi="仿宋" w:eastAsia="仿宋" w:cs="仿宋"/>
                            <w:spacing w:val="-20"/>
                            <w:sz w:val="24"/>
                          </w:rPr>
                          <w:t>装修施工按方案处</w:t>
                        </w:r>
                        <w:r>
                          <w:rPr>
                            <w:rFonts w:hint="eastAsia" w:ascii="仿宋" w:hAnsi="仿宋" w:eastAsia="仿宋" w:cs="仿宋"/>
                            <w:sz w:val="24"/>
                          </w:rPr>
                          <w:t>理</w:t>
                        </w:r>
                      </w:p>
                    </w:txbxContent>
                  </v:textbox>
                </v:shape>
                <v:shape id="_x0000_s1026" o:spid="_x0000_s1026" o:spt="202" type="#_x0000_t202" style="position:absolute;left:9;top:6134;height:444;width:2167;" fillcolor="#00FFFF" filled="t" stroked="t" coordsize="21600,21600" o:gfxdata="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HmdVugAAANsA&#10;AAAPAAAAAAAAAAEAIAAAACIAAABkcnMvZG93bnJldi54bWxQSwECFAAUAAAACACHTuJAMy8FnjsA&#10;AAA5AAAAEAAAAAAAAAABACAAAAAJAQAAZHJzL3NoYXBleG1sLnhtbFBLBQYAAAAABgAGAFsBAACz&#10;AwAAAAA=&#10;">
                  <v:fill type="gradient" on="t" color2="#FFFFFF" focus="100%" focussize="0,0"/>
                  <v:stroke weight="0.5pt" color="#000000" joinstyle="miter"/>
                  <v:imagedata o:title=""/>
                  <o:lock v:ext="edit" aspectratio="f"/>
                  <v:textbox>
                    <w:txbxContent>
                      <w:p w14:paraId="79E0BBB0">
                        <w:pPr>
                          <w:jc w:val="center"/>
                          <w:rPr>
                            <w:rFonts w:ascii="仿宋" w:hAnsi="仿宋" w:eastAsia="仿宋" w:cs="仿宋"/>
                            <w:sz w:val="24"/>
                          </w:rPr>
                        </w:pPr>
                        <w:r>
                          <w:rPr>
                            <w:rFonts w:hint="eastAsia" w:ascii="仿宋" w:hAnsi="仿宋" w:eastAsia="仿宋" w:cs="仿宋"/>
                            <w:sz w:val="24"/>
                          </w:rPr>
                          <w:t>总监理工程师验收</w:t>
                        </w:r>
                      </w:p>
                    </w:txbxContent>
                  </v:textbox>
                </v:shape>
                <v:shape id="_x0000_s1026" o:spid="_x0000_s1026" o:spt="202" type="#_x0000_t202" style="position:absolute;left:5076;top:2708;height:468;width:3246;" fillcolor="#00FFFF" filled="t" stroked="t" coordsize="21600,21600" o:gfxdata="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1Sws68AAAA&#10;2wAAAA8AAAAAAAAAAQAgAAAAIgAAAGRycy9kb3ducmV2LnhtbFBLAQIUABQAAAAIAIdO4kAzLwWe&#10;OwAAADkAAAAQAAAAAAAAAAEAIAAAAAsBAABkcnMvc2hhcGV4bWwueG1sUEsFBgAAAAAGAAYAWwEA&#10;ALUDAAAAAA==&#10;">
                  <v:fill type="gradient" on="t" color2="#FFFFFF" focus="100%" focussize="0,0"/>
                  <v:stroke weight="0.5pt" color="#000000" joinstyle="miter"/>
                  <v:imagedata o:title=""/>
                  <o:lock v:ext="edit" aspectratio="f"/>
                  <v:textbox>
                    <w:txbxContent>
                      <w:p w14:paraId="51F6F764">
                        <w:pPr>
                          <w:jc w:val="center"/>
                          <w:rPr>
                            <w:rFonts w:ascii="仿宋" w:hAnsi="仿宋" w:eastAsia="仿宋" w:cs="仿宋"/>
                            <w:sz w:val="24"/>
                          </w:rPr>
                        </w:pPr>
                        <w:r>
                          <w:rPr>
                            <w:rFonts w:hint="eastAsia" w:ascii="仿宋" w:hAnsi="仿宋" w:eastAsia="仿宋" w:cs="仿宋"/>
                            <w:sz w:val="24"/>
                          </w:rPr>
                          <w:t>安全事故</w:t>
                        </w:r>
                      </w:p>
                    </w:txbxContent>
                  </v:textbox>
                </v:shape>
                <v:line id="_x0000_s1026" o:spid="_x0000_s1026" o:spt="20" style="position:absolute;left:2325;top:3007;flip:x;height:0;width:329;" filled="f" stroked="t" coordsize="21600,21600" o:gfxdata="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1KJzC/&#10;AAAA2wAAAA8AAAAAAAAAAQAgAAAAIgAAAGRycy9kb3ducmV2LnhtbFBLAQIUABQAAAAIAIdO4kAz&#10;LwWeOwAAADkAAAAQAAAAAAAAAAEAIAAAAA4BAABkcnMvc2hhcGV4bWwueG1sUEsFBgAAAAAGAAYA&#10;WwEAALgDAAAAAA==&#10;">
                  <v:fill on="f" focussize="0,0"/>
                  <v:stroke weight="0.5pt" color="#000000" joinstyle="round" endarrow="block"/>
                  <v:imagedata o:title=""/>
                  <o:lock v:ext="edit" aspectratio="f"/>
                </v:line>
                <v:line id="_x0000_s1026" o:spid="_x0000_s1026" o:spt="20" style="position:absolute;left:4568;top:3007;height:0;width:392;" filled="f" stroked="t" coordsize="21600,21600" o:gfxdata="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ZFePLsAAADb&#10;AAAADwAAAAAAAAABACAAAAAiAAAAZHJzL2Rvd25yZXYueG1sUEsBAhQAFAAAAAgAh07iQDMvBZ47&#10;AAAAOQAAABAAAAAAAAAAAQAgAAAACgEAAGRycy9zaGFwZXhtbC54bWxQSwUGAAAAAAYABgBbAQAA&#10;tAMAAAAA&#10;">
                  <v:fill on="f" focussize="0,0"/>
                  <v:stroke weight="0.5pt" color="#000000" joinstyle="round" endarrow="block"/>
                  <v:imagedata o:title=""/>
                  <o:lock v:ext="edit" aspectratio="f"/>
                </v:line>
                <v:line id="_x0000_s1026" o:spid="_x0000_s1026" o:spt="20" style="position:absolute;left:6694;top:4987;height:456;width:0;" filled="f" stroked="t" coordsize="21600,21600" o:gfxdata="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sc9HLsAAADb&#10;AAAADwAAAAAAAAABACAAAAAiAAAAZHJzL2Rvd25yZXYueG1sUEsBAhQAFAAAAAgAh07iQDMvBZ47&#10;AAAAOQAAABAAAAAAAAAAAQAgAAAACgEAAGRycy9zaGFwZXhtbC54bWxQSwUGAAAAAAYABgBbAQAA&#10;tAMAAAAA&#10;">
                  <v:fill on="f" focussize="0,0"/>
                  <v:stroke weight="0.5pt" color="#000000" joinstyle="round" endarrow="block"/>
                  <v:imagedata o:title=""/>
                  <o:lock v:ext="edit" aspectratio="f"/>
                </v:line>
                <v:shape id="_x0000_s1026" o:spid="_x0000_s1026" o:spt="202" type="#_x0000_t202" style="position:absolute;left:3839;top:3656;height:3184;width:831;" fillcolor="#00FFFF" filled="t" stroked="t" coordsize="21600,21600" o:gfxdata="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uiUAW8AAAA&#10;2wAAAA8AAAAAAAAAAQAgAAAAIgAAAGRycy9kb3ducmV2LnhtbFBLAQIUABQAAAAIAIdO4kAzLwWe&#10;OwAAADkAAAAQAAAAAAAAAAEAIAAAAAsBAABkcnMvc2hhcGV4bWwueG1sUEsFBgAAAAAGAAYAWwEA&#10;ALUDAAAAAA==&#10;">
                  <v:fill type="gradient" on="t" color2="#FFFFFF" focus="100%" focussize="0,0"/>
                  <v:stroke weight="0.5pt" color="#000000" joinstyle="miter"/>
                  <v:imagedata o:title=""/>
                  <o:lock v:ext="edit" aspectratio="f"/>
                  <v:textbox style="layout-flow:vertical-ideographic;">
                    <w:txbxContent>
                      <w:p w14:paraId="48223EC8">
                        <w:pPr>
                          <w:jc w:val="center"/>
                          <w:rPr>
                            <w:rFonts w:ascii="仿宋" w:hAnsi="仿宋" w:eastAsia="仿宋" w:cs="仿宋"/>
                            <w:sz w:val="24"/>
                          </w:rPr>
                        </w:pPr>
                        <w:r>
                          <w:rPr>
                            <w:rFonts w:hint="eastAsia" w:ascii="仿宋" w:hAnsi="仿宋" w:eastAsia="仿宋" w:cs="仿宋"/>
                            <w:sz w:val="24"/>
                          </w:rPr>
                          <w:t>必要时报请政府主管部门</w:t>
                        </w:r>
                      </w:p>
                    </w:txbxContent>
                  </v:textbox>
                </v:shape>
                <v:shape id="_x0000_s1026" o:spid="_x0000_s1026" o:spt="202" type="#_x0000_t202" style="position:absolute;left:6153;top:0;height:468;width:2161;" fillcolor="#00FFFF" filled="t" stroked="t" coordsize="21600,21600" o:gfxdata="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SavrvQAA&#10;ANsAAAAPAAAAAAAAAAEAIAAAACIAAABkcnMvZG93bnJldi54bWxQSwECFAAUAAAACACHTuJAMy8F&#10;njsAAAA5AAAAEAAAAAAAAAABACAAAAAMAQAAZHJzL3NoYXBleG1sLnhtbFBLBQYAAAAABgAGAFsB&#10;AAC2AwAAAAA=&#10;">
                  <v:fill type="gradient" on="t" color2="#FFFFFF" focus="100%" focussize="0,0"/>
                  <v:stroke weight="0.5pt" color="#000000" joinstyle="miter"/>
                  <v:imagedata o:title=""/>
                  <o:lock v:ext="edit" aspectratio="f"/>
                  <v:textbox>
                    <w:txbxContent>
                      <w:p w14:paraId="21F066C1">
                        <w:pPr>
                          <w:rPr>
                            <w:rFonts w:ascii="仿宋" w:hAnsi="仿宋" w:eastAsia="仿宋" w:cs="仿宋"/>
                            <w:spacing w:val="-11"/>
                            <w:sz w:val="24"/>
                          </w:rPr>
                        </w:pPr>
                        <w:r>
                          <w:rPr>
                            <w:rFonts w:hint="eastAsia" w:ascii="仿宋" w:hAnsi="仿宋" w:eastAsia="仿宋" w:cs="仿宋"/>
                            <w:spacing w:val="-40"/>
                            <w:sz w:val="24"/>
                          </w:rPr>
                          <w:t>向项目负责人单位负责人汇</w:t>
                        </w:r>
                        <w:r>
                          <w:rPr>
                            <w:rFonts w:hint="eastAsia" w:ascii="仿宋" w:hAnsi="仿宋" w:eastAsia="仿宋" w:cs="仿宋"/>
                            <w:spacing w:val="-11"/>
                            <w:sz w:val="24"/>
                          </w:rPr>
                          <w:t>报</w:t>
                        </w:r>
                      </w:p>
                    </w:txbxContent>
                  </v:textbox>
                </v:shape>
                <v:line id="_x0000_s1026" o:spid="_x0000_s1026" o:spt="20" style="position:absolute;left:5852;top:234;height:0;width:301;" filled="f" stroked="t" coordsize="21600,21600" o:gfxdata="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FaNrvQAA&#10;ANsAAAAPAAAAAAAAAAEAIAAAACIAAABkcnMvZG93bnJldi54bWxQSwECFAAUAAAACACHTuJAMy8F&#10;njsAAAA5AAAAEAAAAAAAAAABACAAAAAMAQAAZHJzL3NoYXBleG1sLnhtbFBLBQYAAAAABgAGAFsB&#10;AAC2AwAAAAA=&#10;">
                  <v:fill on="f" focussize="0,0"/>
                  <v:stroke weight="0.5pt" color="#000000" joinstyle="round" endarrow="block"/>
                  <v:imagedata o:title=""/>
                  <o:lock v:ext="edit" aspectratio="f"/>
                </v:line>
                <v:line id="_x0000_s1026" o:spid="_x0000_s1026" o:spt="20" style="position:absolute;left:2170;top:4661;flip:y;height:2;width:385;" filled="f" stroked="t" coordsize="21600,21600" o:gfxdata="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r54i/&#10;AAAA2wAAAA8AAAAAAAAAAQAgAAAAIgAAAGRycy9kb3ducmV2LnhtbFBLAQIUABQAAAAIAIdO4kAz&#10;LwWeOwAAADkAAAAQAAAAAAAAAAEAIAAAAA4BAABkcnMvc2hhcGV4bWwueG1sUEsFBgAAAAAGAAYA&#10;WwEAALgDAAAAAA==&#10;">
                  <v:fill on="f" focussize="0,0"/>
                  <v:stroke weight="0.5pt" color="#000000" joinstyle="round" endarrow="block"/>
                  <v:imagedata o:title=""/>
                  <o:lock v:ext="edit" aspectratio="f"/>
                </v:line>
                <v:line id="_x0000_s1026" o:spid="_x0000_s1026" o:spt="20" style="position:absolute;left:4781;top:4751;flip:x y;height:2;width:295;" filled="f" stroked="t" coordsize="21600,21600" o:gfxdata="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8cQZvQAA&#10;ANsAAAAPAAAAAAAAAAEAIAAAACIAAABkcnMvZG93bnJldi54bWxQSwECFAAUAAAACACHTuJAMy8F&#10;njsAAAA5AAAAEAAAAAAAAAABACAAAAAMAQAAZHJzL3NoYXBleG1sLnhtbFBLBQYAAAAABgAGAFsB&#10;AAC2AwAAAAA=&#10;">
                  <v:fill on="f" focussize="0,0"/>
                  <v:stroke weight="0.5pt" color="#000000" joinstyle="round" endarrow="block"/>
                  <v:imagedata o:title=""/>
                  <o:lock v:ext="edit" aspectratio="f"/>
                </v:line>
                <v:line id="_x0000_s1026" o:spid="_x0000_s1026" o:spt="20" style="position:absolute;left:6694;top:5911;height:456;width:0;" filled="f" stroked="t" coordsize="21600,21600" o:gfxdata="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YgDzvQAA&#10;ANsAAAAPAAAAAAAAAAEAIAAAACIAAABkcnMvZG93bnJldi54bWxQSwECFAAUAAAACACHTuJAMy8F&#10;njsAAAA5AAAAEAAAAAAAAAABACAAAAAMAQAAZHJzL3NoYXBleG1sLnhtbFBLBQYAAAAABgAGAFsB&#10;AAC2AwAAAAA=&#10;">
                  <v:fill on="f" focussize="0,0"/>
                  <v:stroke weight="0.5pt" color="#000000" joinstyle="round" endarrow="block"/>
                  <v:imagedata o:title=""/>
                  <o:lock v:ext="edit" aspectratio="f"/>
                </v:line>
                <v:line id="_x0000_s1026" o:spid="_x0000_s1026" o:spt="20" style="position:absolute;left:6694;top:6835;height:467;width:0;" filled="f" stroked="t" coordsize="21600,21600" o:gfxdata="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LqVovQAA&#10;ANsAAAAPAAAAAAAAAAEAIAAAACIAAABkcnMvZG93bnJldi54bWxQSwECFAAUAAAACACHTuJAMy8F&#10;njsAAAA5AAAAEAAAAAAAAAABACAAAAAMAQAAZHJzL3NoYXBleG1sLnhtbFBLBQYAAAAABgAGAFsB&#10;AAC2AwAAAAA=&#10;">
                  <v:fill on="f" focussize="0,0"/>
                  <v:stroke weight="0.5pt" color="#000000" joinstyle="round" endarrow="block"/>
                  <v:imagedata o:title=""/>
                  <o:lock v:ext="edit" aspectratio="f"/>
                </v:line>
                <v:line id="_x0000_s1026" o:spid="_x0000_s1026" o:spt="20" style="position:absolute;left:3603;top:2188;flip:x;height:393;width:0;" filled="f" stroked="t" coordsize="21600,21600" o:gfxdata="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ybtjbsAAADb&#10;AAAADwAAAAAAAAABACAAAAAiAAAAZHJzL2Rvd25yZXYueG1sUEsBAhQAFAAAAAgAh07iQDMvBZ47&#10;AAAAOQAAABAAAAAAAAAAAQAgAAAACgEAAGRycy9zaGFwZXhtbC54bWxQSwUGAAAAAAYABgBbAQAA&#10;tAMAAAAA&#10;">
                  <v:fill on="f" focussize="0,0"/>
                  <v:stroke weight="0.5pt" color="#000000" joinstyle="round" endarrow="block"/>
                  <v:imagedata o:title=""/>
                  <o:lock v:ext="edit" aspectratio="f"/>
                </v:line>
                <v:shape id="_x0000_s1026" o:spid="_x0000_s1026" o:spt="202" type="#_x0000_t202" style="position:absolute;left:7;top:3602;height:444;width:2167;" fillcolor="#00FFFF" filled="t" stroked="t" coordsize="21600,21600" o:gfxdata="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7TmavQAA&#10;ANsAAAAPAAAAAAAAAAEAIAAAACIAAABkcnMvZG93bnJldi54bWxQSwECFAAUAAAACACHTuJAMy8F&#10;njsAAAA5AAAAEAAAAAAAAAABACAAAAAMAQAAZHJzL3NoYXBleG1sLnhtbFBLBQYAAAAABgAGAFsB&#10;AAC2AwAAAAA=&#10;">
                  <v:fill type="gradient" on="t" color2="#FFFFFF" focus="100%" focussize="0,0"/>
                  <v:stroke weight="0.5pt" color="#000000" joinstyle="miter"/>
                  <v:imagedata o:title=""/>
                  <o:lock v:ext="edit" aspectratio="f"/>
                  <v:textbox>
                    <w:txbxContent>
                      <w:p w14:paraId="64B253D0">
                        <w:pPr>
                          <w:jc w:val="center"/>
                          <w:rPr>
                            <w:rFonts w:ascii="宋体" w:hAnsi="宋体"/>
                            <w:sz w:val="24"/>
                          </w:rPr>
                        </w:pPr>
                        <w:r>
                          <w:rPr>
                            <w:rFonts w:hint="eastAsia" w:ascii="仿宋" w:hAnsi="仿宋" w:eastAsia="仿宋" w:cs="仿宋"/>
                            <w:sz w:val="24"/>
                          </w:rPr>
                          <w:t>承包商提出处理方</w:t>
                        </w:r>
                        <w:r>
                          <w:rPr>
                            <w:rFonts w:hint="eastAsia" w:ascii="宋体" w:hAnsi="宋体"/>
                            <w:sz w:val="24"/>
                          </w:rPr>
                          <w:t>案</w:t>
                        </w:r>
                      </w:p>
                      <w:p w14:paraId="6C577ECC">
                        <w:pPr>
                          <w:jc w:val="center"/>
                          <w:rPr>
                            <w:rFonts w:ascii="宋体" w:hAnsi="宋体"/>
                            <w:sz w:val="24"/>
                          </w:rPr>
                        </w:pPr>
                      </w:p>
                    </w:txbxContent>
                  </v:textbox>
                </v:shape>
              </v:group>
            </w:pict>
          </mc:Fallback>
        </mc:AlternateContent>
      </w:r>
    </w:p>
    <w:p w14:paraId="43EA5F12">
      <w:pPr>
        <w:adjustRightInd w:val="0"/>
        <w:snapToGrid w:val="0"/>
        <w:spacing w:line="360" w:lineRule="auto"/>
        <w:ind w:left="568"/>
        <w:rPr>
          <w:rFonts w:ascii="仿宋" w:hAnsi="仿宋" w:eastAsia="仿宋_GB2312" w:cs="仿宋"/>
          <w:sz w:val="24"/>
        </w:rPr>
      </w:pPr>
    </w:p>
    <w:p w14:paraId="6591E47B">
      <w:pPr>
        <w:adjustRightInd w:val="0"/>
        <w:snapToGrid w:val="0"/>
        <w:spacing w:line="360" w:lineRule="auto"/>
        <w:ind w:left="988"/>
        <w:rPr>
          <w:rFonts w:ascii="仿宋" w:hAnsi="仿宋" w:eastAsia="仿宋_GB2312" w:cs="仿宋"/>
          <w:sz w:val="24"/>
        </w:rPr>
      </w:pPr>
    </w:p>
    <w:p w14:paraId="02AABF40">
      <w:pPr>
        <w:adjustRightInd w:val="0"/>
        <w:snapToGrid w:val="0"/>
        <w:spacing w:line="360" w:lineRule="auto"/>
        <w:ind w:left="988"/>
        <w:rPr>
          <w:rFonts w:ascii="仿宋" w:hAnsi="仿宋" w:eastAsia="仿宋_GB2312" w:cs="仿宋"/>
          <w:sz w:val="24"/>
        </w:rPr>
      </w:pPr>
    </w:p>
    <w:p w14:paraId="36EFE214">
      <w:pPr>
        <w:adjustRightInd w:val="0"/>
        <w:snapToGrid w:val="0"/>
        <w:spacing w:line="360" w:lineRule="auto"/>
        <w:ind w:left="988"/>
        <w:rPr>
          <w:rFonts w:ascii="仿宋" w:hAnsi="仿宋" w:eastAsia="仿宋_GB2312" w:cs="仿宋"/>
          <w:sz w:val="24"/>
        </w:rPr>
      </w:pPr>
    </w:p>
    <w:p w14:paraId="42BB9FA3">
      <w:pPr>
        <w:adjustRightInd w:val="0"/>
        <w:snapToGrid w:val="0"/>
        <w:spacing w:line="360" w:lineRule="auto"/>
        <w:ind w:left="988"/>
        <w:rPr>
          <w:rFonts w:ascii="仿宋" w:hAnsi="仿宋" w:eastAsia="仿宋_GB2312" w:cs="仿宋"/>
          <w:sz w:val="24"/>
        </w:rPr>
      </w:pPr>
    </w:p>
    <w:p w14:paraId="61ABC47E">
      <w:pPr>
        <w:adjustRightInd w:val="0"/>
        <w:snapToGrid w:val="0"/>
        <w:spacing w:line="360" w:lineRule="auto"/>
        <w:rPr>
          <w:rFonts w:ascii="仿宋" w:hAnsi="仿宋" w:eastAsia="仿宋_GB2312" w:cs="仿宋"/>
          <w:sz w:val="24"/>
        </w:rPr>
      </w:pPr>
      <w:r>
        <w:rPr>
          <w:rFonts w:ascii="仿宋" w:hAnsi="仿宋" w:eastAsia="仿宋_GB2312" w:cs="仿宋"/>
          <w:sz w:val="24"/>
        </w:rPr>
        <mc:AlternateContent>
          <mc:Choice Requires="wps">
            <w:drawing>
              <wp:anchor distT="0" distB="0" distL="114300" distR="114300" simplePos="0" relativeHeight="251664384" behindDoc="0" locked="0" layoutInCell="1" allowOverlap="1">
                <wp:simplePos x="0" y="0"/>
                <wp:positionH relativeFrom="column">
                  <wp:posOffset>678180</wp:posOffset>
                </wp:positionH>
                <wp:positionV relativeFrom="paragraph">
                  <wp:posOffset>100330</wp:posOffset>
                </wp:positionV>
                <wp:extent cx="1270" cy="252730"/>
                <wp:effectExtent l="37465" t="0" r="37465" b="6350"/>
                <wp:wrapNone/>
                <wp:docPr id="31" name="直接连接符 31"/>
                <wp:cNvGraphicFramePr/>
                <a:graphic xmlns:a="http://schemas.openxmlformats.org/drawingml/2006/main">
                  <a:graphicData uri="http://schemas.microsoft.com/office/word/2010/wordprocessingShape">
                    <wps:wsp>
                      <wps:cNvCnPr/>
                      <wps:spPr>
                        <a:xfrm>
                          <a:off x="0" y="0"/>
                          <a:ext cx="1270" cy="252730"/>
                        </a:xfrm>
                        <a:prstGeom prst="line">
                          <a:avLst/>
                        </a:prstGeom>
                        <a:ln w="6350"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margin-left:53.4pt;margin-top:7.9pt;height:19.9pt;width:0.1pt;z-index:251664384;mso-width-relative:page;mso-height-relative:page;" filled="f" stroked="t" coordsize="21600,21600" o:gfxdata="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tcfWytcAAAAJAQAADwAAAAAAAAABACAAAAAiAAAAZHJzL2Rvd25y&#10;ZXYueG1sUEsBAhQAFAAAAAgAh07iQKD3WPX/AQAA7AMAAA4AAAAAAAAAAQAgAAAAJgEAAGRycy9l&#10;Mm9Eb2MueG1sUEsFBgAAAAAGAAYAWQEAAJcFAAAAAA==&#10;">
                <v:fill on="f" focussize="0,0"/>
                <v:stroke weight="0.5pt" color="#000000" joinstyle="round" endarrow="block"/>
                <v:imagedata o:title=""/>
                <o:lock v:ext="edit" aspectratio="f"/>
              </v:line>
            </w:pict>
          </mc:Fallback>
        </mc:AlternateContent>
      </w:r>
      <w:r>
        <w:rPr>
          <w:rFonts w:ascii="仿宋" w:hAnsi="仿宋" w:eastAsia="仿宋_GB2312" w:cs="仿宋"/>
          <w:sz w:val="24"/>
        </w:rPr>
        <mc:AlternateContent>
          <mc:Choice Requires="wps">
            <w:drawing>
              <wp:anchor distT="0" distB="0" distL="114300" distR="114300" simplePos="0" relativeHeight="251659264" behindDoc="0" locked="0" layoutInCell="1" allowOverlap="1">
                <wp:simplePos x="0" y="0"/>
                <wp:positionH relativeFrom="column">
                  <wp:posOffset>4845050</wp:posOffset>
                </wp:positionH>
                <wp:positionV relativeFrom="paragraph">
                  <wp:posOffset>297815</wp:posOffset>
                </wp:positionV>
                <wp:extent cx="0" cy="248920"/>
                <wp:effectExtent l="38100" t="0" r="38100" b="10160"/>
                <wp:wrapNone/>
                <wp:docPr id="33" name="直接连接符 33"/>
                <wp:cNvGraphicFramePr/>
                <a:graphic xmlns:a="http://schemas.openxmlformats.org/drawingml/2006/main">
                  <a:graphicData uri="http://schemas.microsoft.com/office/word/2010/wordprocessingShape">
                    <wps:wsp>
                      <wps:cNvCnPr/>
                      <wps:spPr>
                        <a:xfrm>
                          <a:off x="0" y="0"/>
                          <a:ext cx="0" cy="248920"/>
                        </a:xfrm>
                        <a:prstGeom prst="line">
                          <a:avLst/>
                        </a:prstGeom>
                        <a:ln w="6350"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margin-left:381.5pt;margin-top:23.45pt;height:19.6pt;width:0pt;z-index:251659264;mso-width-relative:page;mso-height-relative:page;" filled="f" stroked="t" coordsize="21600,21600" o:gfxdata="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PC6DPdcAAAAJAQAADwAAAAAAAAABACAAAAAiAAAAZHJzL2Rvd25yZXYu&#10;eG1sUEsBAhQAFAAAAAgAh07iQEQqhpj8AQAA6QMAAA4AAAAAAAAAAQAgAAAAJgEAAGRycy9lMm9E&#10;b2MueG1sUEsFBgAAAAAGAAYAWQEAAJQFAAAAAA==&#10;">
                <v:fill on="f" focussize="0,0"/>
                <v:stroke weight="0.5pt" color="#000000" joinstyle="round" endarrow="block"/>
                <v:imagedata o:title=""/>
                <o:lock v:ext="edit" aspectratio="f"/>
              </v:line>
            </w:pict>
          </mc:Fallback>
        </mc:AlternateContent>
      </w:r>
    </w:p>
    <w:p w14:paraId="0DD4C156">
      <w:pPr>
        <w:adjustRightInd w:val="0"/>
        <w:snapToGrid w:val="0"/>
        <w:spacing w:line="360" w:lineRule="auto"/>
        <w:ind w:left="988"/>
        <w:rPr>
          <w:rFonts w:ascii="仿宋" w:hAnsi="仿宋" w:eastAsia="仿宋_GB2312" w:cs="仿宋"/>
          <w:sz w:val="24"/>
        </w:rPr>
      </w:pPr>
      <w:r>
        <w:rPr>
          <w:rFonts w:ascii="仿宋" w:hAnsi="仿宋" w:eastAsia="仿宋_GB2312" w:cs="仿宋"/>
          <w:sz w:val="24"/>
        </w:rPr>
        <mc:AlternateContent>
          <mc:Choice Requires="wps">
            <w:drawing>
              <wp:anchor distT="0" distB="0" distL="114300" distR="114300" simplePos="0" relativeHeight="251665408" behindDoc="0" locked="0" layoutInCell="1" allowOverlap="1">
                <wp:simplePos x="0" y="0"/>
                <wp:positionH relativeFrom="column">
                  <wp:posOffset>1727200</wp:posOffset>
                </wp:positionH>
                <wp:positionV relativeFrom="paragraph">
                  <wp:posOffset>111760</wp:posOffset>
                </wp:positionV>
                <wp:extent cx="561975" cy="1891030"/>
                <wp:effectExtent l="4445" t="4445" r="12700" b="9525"/>
                <wp:wrapNone/>
                <wp:docPr id="35" name="文本框 35"/>
                <wp:cNvGraphicFramePr/>
                <a:graphic xmlns:a="http://schemas.openxmlformats.org/drawingml/2006/main">
                  <a:graphicData uri="http://schemas.microsoft.com/office/word/2010/wordprocessingShape">
                    <wps:wsp>
                      <wps:cNvSpPr txBox="1"/>
                      <wps:spPr>
                        <a:xfrm>
                          <a:off x="0" y="0"/>
                          <a:ext cx="561975" cy="1891030"/>
                        </a:xfrm>
                        <a:prstGeom prst="rect">
                          <a:avLst/>
                        </a:prstGeom>
                        <a:gradFill rotWithShape="0">
                          <a:gsLst>
                            <a:gs pos="0">
                              <a:srgbClr val="00FFFF"/>
                            </a:gs>
                            <a:gs pos="100000">
                              <a:srgbClr val="FFFFFF"/>
                            </a:gs>
                          </a:gsLst>
                          <a:lin ang="5400000" scaled="1"/>
                          <a:tileRect/>
                        </a:gradFill>
                        <a:ln w="9525" cap="flat" cmpd="sng">
                          <a:solidFill>
                            <a:srgbClr val="000000"/>
                          </a:solidFill>
                          <a:prstDash val="solid"/>
                          <a:miter/>
                          <a:headEnd type="none" w="med" len="med"/>
                          <a:tailEnd type="none" w="med" len="med"/>
                        </a:ln>
                      </wps:spPr>
                      <wps:txbx>
                        <w:txbxContent>
                          <w:p w14:paraId="3837579E">
                            <w:pPr>
                              <w:jc w:val="center"/>
                            </w:pPr>
                            <w:r>
                              <w:rPr>
                                <w:rFonts w:hint="eastAsia" w:ascii="仿宋" w:hAnsi="仿宋" w:eastAsia="仿宋" w:cs="仿宋"/>
                                <w:sz w:val="24"/>
                              </w:rPr>
                              <w:t>建设单位处理方案认可</w:t>
                            </w:r>
                          </w:p>
                        </w:txbxContent>
                      </wps:txbx>
                      <wps:bodyPr vert="eaVert" upright="1"/>
                    </wps:wsp>
                  </a:graphicData>
                </a:graphic>
              </wp:anchor>
            </w:drawing>
          </mc:Choice>
          <mc:Fallback>
            <w:pict>
              <v:shape id="_x0000_s1026" o:spid="_x0000_s1026" o:spt="202" type="#_x0000_t202" style="position:absolute;left:0pt;margin-left:136pt;margin-top:8.8pt;height:148.9pt;width:44.25pt;z-index:251665408;mso-width-relative:page;mso-height-relative:page;" fillcolor="#00FFFF" filled="t" stroked="t" coordsize="21600,21600" o:gfxdata="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i&#10;mYKN2QAAAAoBAAAPAAAAAAAAAAEAIAAAACIAAABkcnMvZG93bnJldi54bWxQSwECFAAUAAAACACH&#10;TuJAtlt79FwCAADeBAAADgAAAAAAAAABACAAAAAoAQAAZHJzL2Uyb0RvYy54bWxQSwUGAAAAAAYA&#10;BgBZAQAA9gUAAAAA&#10;">
                <v:fill type="gradient" on="t" color2="#FFFFFF" focus="100%" focussize="0,0"/>
                <v:stroke color="#000000" joinstyle="miter"/>
                <v:imagedata o:title=""/>
                <o:lock v:ext="edit" aspectratio="f"/>
                <v:textbox style="layout-flow:vertical-ideographic;">
                  <w:txbxContent>
                    <w:p w14:paraId="3837579E">
                      <w:pPr>
                        <w:jc w:val="center"/>
                      </w:pPr>
                      <w:r>
                        <w:rPr>
                          <w:rFonts w:hint="eastAsia" w:ascii="仿宋" w:hAnsi="仿宋" w:eastAsia="仿宋" w:cs="仿宋"/>
                          <w:sz w:val="24"/>
                        </w:rPr>
                        <w:t>建设单位处理方案认可</w:t>
                      </w:r>
                    </w:p>
                  </w:txbxContent>
                </v:textbox>
              </v:shape>
            </w:pict>
          </mc:Fallback>
        </mc:AlternateContent>
      </w:r>
    </w:p>
    <w:p w14:paraId="0A850F77">
      <w:pPr>
        <w:adjustRightInd w:val="0"/>
        <w:snapToGrid w:val="0"/>
        <w:spacing w:line="360" w:lineRule="auto"/>
        <w:ind w:left="988"/>
        <w:rPr>
          <w:rFonts w:ascii="仿宋" w:hAnsi="仿宋" w:eastAsia="仿宋_GB2312" w:cs="仿宋"/>
          <w:sz w:val="24"/>
        </w:rPr>
      </w:pPr>
      <w:r>
        <w:rPr>
          <w:rFonts w:ascii="仿宋" w:hAnsi="仿宋" w:eastAsia="仿宋_GB2312" w:cs="仿宋"/>
          <w:sz w:val="24"/>
        </w:rPr>
        <mc:AlternateContent>
          <mc:Choice Requires="wps">
            <w:drawing>
              <wp:anchor distT="0" distB="0" distL="114300" distR="114300" simplePos="0" relativeHeight="251662336" behindDoc="0" locked="0" layoutInCell="1" allowOverlap="1">
                <wp:simplePos x="0" y="0"/>
                <wp:positionH relativeFrom="column">
                  <wp:posOffset>673735</wp:posOffset>
                </wp:positionH>
                <wp:positionV relativeFrom="paragraph">
                  <wp:posOffset>73025</wp:posOffset>
                </wp:positionV>
                <wp:extent cx="635" cy="235585"/>
                <wp:effectExtent l="38100" t="0" r="37465" b="8255"/>
                <wp:wrapNone/>
                <wp:docPr id="36" name="直接连接符 36"/>
                <wp:cNvGraphicFramePr/>
                <a:graphic xmlns:a="http://schemas.openxmlformats.org/drawingml/2006/main">
                  <a:graphicData uri="http://schemas.microsoft.com/office/word/2010/wordprocessingShape">
                    <wps:wsp>
                      <wps:cNvCnPr/>
                      <wps:spPr>
                        <a:xfrm flipH="1">
                          <a:off x="0" y="0"/>
                          <a:ext cx="635" cy="235585"/>
                        </a:xfrm>
                        <a:prstGeom prst="line">
                          <a:avLst/>
                        </a:prstGeom>
                        <a:ln w="6350"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flip:x;margin-left:53.05pt;margin-top:5.75pt;height:18.55pt;width:0.05pt;z-index:251662336;mso-width-relative:page;mso-height-relative:page;" filled="f" stroked="t" coordsize="21600,21600" o:gfxdata="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lSwfidgAAAAJAQAADwAAAAAAAAABACAAAAAiAAAAZHJz&#10;L2Rvd25yZXYueG1sUEsBAhQAFAAAAAgAh07iQH4Jqq4EAgAA9QMAAA4AAAAAAAAAAQAgAAAAJwEA&#10;AGRycy9lMm9Eb2MueG1sUEsFBgAAAAAGAAYAWQEAAJ0FAAAAAA==&#10;">
                <v:fill on="f" focussize="0,0"/>
                <v:stroke weight="0.5pt" color="#000000" joinstyle="round" endarrow="block"/>
                <v:imagedata o:title=""/>
                <o:lock v:ext="edit" aspectratio="f"/>
              </v:line>
            </w:pict>
          </mc:Fallback>
        </mc:AlternateContent>
      </w:r>
    </w:p>
    <w:p w14:paraId="37F8CCB1">
      <w:pPr>
        <w:adjustRightInd w:val="0"/>
        <w:snapToGrid w:val="0"/>
        <w:spacing w:line="360" w:lineRule="auto"/>
        <w:ind w:left="988"/>
        <w:rPr>
          <w:rFonts w:ascii="仿宋" w:hAnsi="仿宋" w:eastAsia="仿宋_GB2312" w:cs="仿宋"/>
          <w:sz w:val="24"/>
        </w:rPr>
      </w:pPr>
    </w:p>
    <w:p w14:paraId="5306CF4E">
      <w:pPr>
        <w:adjustRightInd w:val="0"/>
        <w:snapToGrid w:val="0"/>
        <w:spacing w:line="360" w:lineRule="auto"/>
        <w:rPr>
          <w:rFonts w:ascii="仿宋" w:hAnsi="仿宋" w:eastAsia="仿宋_GB2312" w:cs="仿宋"/>
          <w:sz w:val="24"/>
        </w:rPr>
      </w:pPr>
      <w:r>
        <w:rPr>
          <w:rFonts w:ascii="仿宋" w:hAnsi="仿宋" w:eastAsia="仿宋_GB2312" w:cs="仿宋"/>
          <w:sz w:val="24"/>
        </w:rPr>
        <mc:AlternateContent>
          <mc:Choice Requires="wps">
            <w:drawing>
              <wp:anchor distT="0" distB="0" distL="114300" distR="114300" simplePos="0" relativeHeight="251663360" behindDoc="0" locked="0" layoutInCell="1" allowOverlap="1">
                <wp:simplePos x="0" y="0"/>
                <wp:positionH relativeFrom="column">
                  <wp:posOffset>674370</wp:posOffset>
                </wp:positionH>
                <wp:positionV relativeFrom="paragraph">
                  <wp:posOffset>0</wp:posOffset>
                </wp:positionV>
                <wp:extent cx="3175" cy="220980"/>
                <wp:effectExtent l="36195" t="0" r="36830" b="7620"/>
                <wp:wrapNone/>
                <wp:docPr id="34" name="直接连接符 34"/>
                <wp:cNvGraphicFramePr/>
                <a:graphic xmlns:a="http://schemas.openxmlformats.org/drawingml/2006/main">
                  <a:graphicData uri="http://schemas.microsoft.com/office/word/2010/wordprocessingShape">
                    <wps:wsp>
                      <wps:cNvCnPr/>
                      <wps:spPr>
                        <a:xfrm>
                          <a:off x="0" y="0"/>
                          <a:ext cx="3175" cy="220980"/>
                        </a:xfrm>
                        <a:prstGeom prst="line">
                          <a:avLst/>
                        </a:prstGeom>
                        <a:ln w="6350"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margin-left:53.1pt;margin-top:0pt;height:17.4pt;width:0.25pt;z-index:251663360;mso-width-relative:page;mso-height-relative:page;" filled="f" stroked="t" coordsize="21600,21600" o:gfxdata="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fTVDfVAAAABwEAAA8AAAAAAAAAAQAgAAAAIgAAAGRycy9kb3du&#10;cmV2LnhtbFBLAQIUABQAAAAIAIdO4kBeSx+/AgIAAOwDAAAOAAAAAAAAAAEAIAAAACQBAABkcnMv&#10;ZTJvRG9jLnhtbFBLBQYAAAAABgAGAFkBAACYBQAAAAA=&#10;">
                <v:fill on="f" focussize="0,0"/>
                <v:stroke weight="0.5pt" color="#000000" joinstyle="round" endarrow="block"/>
                <v:imagedata o:title=""/>
                <o:lock v:ext="edit" aspectratio="f"/>
              </v:line>
            </w:pict>
          </mc:Fallback>
        </mc:AlternateContent>
      </w:r>
    </w:p>
    <w:p w14:paraId="3681740A">
      <w:pPr>
        <w:adjustRightInd w:val="0"/>
        <w:snapToGrid w:val="0"/>
        <w:spacing w:line="360" w:lineRule="auto"/>
        <w:ind w:left="988"/>
        <w:rPr>
          <w:rFonts w:ascii="仿宋" w:hAnsi="仿宋" w:eastAsia="仿宋_GB2312" w:cs="仿宋"/>
          <w:sz w:val="24"/>
        </w:rPr>
      </w:pPr>
      <w:r>
        <w:rPr>
          <w:rFonts w:ascii="仿宋" w:hAnsi="仿宋" w:eastAsia="仿宋_GB2312" w:cs="仿宋"/>
          <w:sz w:val="24"/>
        </w:rPr>
        <mc:AlternateContent>
          <mc:Choice Requires="wps">
            <w:drawing>
              <wp:anchor distT="0" distB="0" distL="114300" distR="114300" simplePos="0" relativeHeight="251661312" behindDoc="0" locked="0" layoutInCell="1" allowOverlap="1">
                <wp:simplePos x="0" y="0"/>
                <wp:positionH relativeFrom="column">
                  <wp:posOffset>677545</wp:posOffset>
                </wp:positionH>
                <wp:positionV relativeFrom="paragraph">
                  <wp:posOffset>231775</wp:posOffset>
                </wp:positionV>
                <wp:extent cx="635" cy="227330"/>
                <wp:effectExtent l="38100" t="0" r="37465" b="1270"/>
                <wp:wrapNone/>
                <wp:docPr id="32" name="直接连接符 32"/>
                <wp:cNvGraphicFramePr/>
                <a:graphic xmlns:a="http://schemas.openxmlformats.org/drawingml/2006/main">
                  <a:graphicData uri="http://schemas.microsoft.com/office/word/2010/wordprocessingShape">
                    <wps:wsp>
                      <wps:cNvCnPr/>
                      <wps:spPr>
                        <a:xfrm flipH="1">
                          <a:off x="0" y="0"/>
                          <a:ext cx="635" cy="227330"/>
                        </a:xfrm>
                        <a:prstGeom prst="line">
                          <a:avLst/>
                        </a:prstGeom>
                        <a:ln w="6350"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flip:x;margin-left:53.35pt;margin-top:18.25pt;height:17.9pt;width:0.05pt;z-index:251661312;mso-width-relative:page;mso-height-relative:page;" filled="f" stroked="t" coordsize="21600,21600" o:gfxdata="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sZqaM2AAAAAkBAAAPAAAAAAAAAAEAIAAAACIAAABk&#10;cnMvZG93bnJldi54bWxQSwECFAAUAAAACACHTuJAkhZWggYCAAD1AwAADgAAAAAAAAABACAAAAAn&#10;AQAAZHJzL2Uyb0RvYy54bWxQSwUGAAAAAAYABgBZAQAAnwUAAAAA&#10;">
                <v:fill on="f" focussize="0,0"/>
                <v:stroke weight="0.5pt" color="#000000" joinstyle="round" endarrow="block"/>
                <v:imagedata o:title=""/>
                <o:lock v:ext="edit" aspectratio="f"/>
              </v:line>
            </w:pict>
          </mc:Fallback>
        </mc:AlternateContent>
      </w:r>
    </w:p>
    <w:p w14:paraId="07FC4088">
      <w:pPr>
        <w:adjustRightInd w:val="0"/>
        <w:snapToGrid w:val="0"/>
        <w:spacing w:line="360" w:lineRule="auto"/>
        <w:ind w:left="988"/>
        <w:jc w:val="left"/>
        <w:rPr>
          <w:rFonts w:ascii="仿宋" w:hAnsi="仿宋" w:eastAsia="仿宋_GB2312" w:cs="仿宋"/>
          <w:sz w:val="24"/>
        </w:rPr>
      </w:pPr>
    </w:p>
    <w:p w14:paraId="007945ED">
      <w:pPr>
        <w:adjustRightInd w:val="0"/>
        <w:snapToGrid w:val="0"/>
        <w:spacing w:line="360" w:lineRule="auto"/>
        <w:jc w:val="left"/>
        <w:rPr>
          <w:rFonts w:ascii="仿宋" w:hAnsi="仿宋" w:eastAsia="仿宋_GB2312" w:cs="仿宋"/>
          <w:sz w:val="24"/>
        </w:rPr>
      </w:pPr>
    </w:p>
    <w:p w14:paraId="46E604EE">
      <w:pPr>
        <w:adjustRightInd w:val="0"/>
        <w:snapToGrid w:val="0"/>
        <w:spacing w:line="360" w:lineRule="auto"/>
        <w:jc w:val="left"/>
        <w:rPr>
          <w:rFonts w:ascii="仿宋" w:hAnsi="仿宋" w:eastAsia="仿宋_GB2312" w:cs="仿宋"/>
          <w:sz w:val="24"/>
        </w:rPr>
      </w:pPr>
    </w:p>
    <w:p w14:paraId="6D63BAB4">
      <w:pPr>
        <w:adjustRightInd w:val="0"/>
        <w:snapToGrid w:val="0"/>
        <w:spacing w:line="360" w:lineRule="auto"/>
        <w:ind w:firstLine="480" w:firstLineChars="200"/>
        <w:jc w:val="left"/>
        <w:rPr>
          <w:rFonts w:ascii="黑体" w:hAnsi="黑体" w:eastAsia="黑体" w:cs="仿宋"/>
          <w:sz w:val="24"/>
        </w:rPr>
      </w:pPr>
    </w:p>
    <w:p w14:paraId="54EC5F6D">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二、文明施工管理</w:t>
      </w:r>
    </w:p>
    <w:p w14:paraId="0B9D1035">
      <w:pPr>
        <w:adjustRightInd w:val="0"/>
        <w:spacing w:line="500" w:lineRule="exact"/>
        <w:ind w:firstLine="480" w:firstLineChars="200"/>
        <w:contextualSpacing/>
        <w:rPr>
          <w:rFonts w:ascii="宋体" w:hAnsi="宋体" w:cs="仿宋"/>
          <w:sz w:val="24"/>
        </w:rPr>
      </w:pPr>
      <w:r>
        <w:rPr>
          <w:rFonts w:hint="eastAsia" w:ascii="宋体" w:hAnsi="宋体" w:cs="仿宋"/>
          <w:sz w:val="24"/>
        </w:rPr>
        <w:t>（一）一般规定</w:t>
      </w:r>
    </w:p>
    <w:p w14:paraId="095B164C">
      <w:pPr>
        <w:adjustRightInd w:val="0"/>
        <w:spacing w:line="500" w:lineRule="exact"/>
        <w:ind w:firstLine="480" w:firstLineChars="200"/>
        <w:contextualSpacing/>
        <w:rPr>
          <w:rFonts w:ascii="宋体" w:hAnsi="宋体" w:cs="仿宋"/>
          <w:sz w:val="24"/>
        </w:rPr>
      </w:pPr>
      <w:r>
        <w:rPr>
          <w:rFonts w:hint="eastAsia" w:ascii="宋体" w:hAnsi="宋体" w:cs="仿宋"/>
          <w:sz w:val="24"/>
        </w:rPr>
        <w:t>1.施工现场应制订文明施工专项施工方案，明确文明施工管理措施，制订施工现场的突发事件应急预案。</w:t>
      </w:r>
    </w:p>
    <w:p w14:paraId="4F7DFB30">
      <w:pPr>
        <w:adjustRightInd w:val="0"/>
        <w:spacing w:line="500" w:lineRule="exact"/>
        <w:ind w:firstLine="480" w:firstLineChars="200"/>
        <w:contextualSpacing/>
        <w:rPr>
          <w:rFonts w:ascii="宋体" w:hAnsi="宋体" w:cs="仿宋"/>
          <w:sz w:val="24"/>
        </w:rPr>
      </w:pPr>
      <w:r>
        <w:rPr>
          <w:rFonts w:hint="eastAsia" w:ascii="宋体" w:hAnsi="宋体" w:cs="仿宋"/>
          <w:sz w:val="24"/>
        </w:rPr>
        <w:t>2.施工现场主要出入口明显处应设置工程概况牌。施工现场的施工区域应划分清晰，并应设置导向、警示、定位、宣传等标示。</w:t>
      </w:r>
    </w:p>
    <w:p w14:paraId="29B1E1C0">
      <w:pPr>
        <w:adjustRightInd w:val="0"/>
        <w:spacing w:line="500" w:lineRule="exact"/>
        <w:ind w:firstLine="480" w:firstLineChars="200"/>
        <w:contextualSpacing/>
        <w:rPr>
          <w:rFonts w:ascii="宋体" w:hAnsi="宋体" w:cs="仿宋"/>
          <w:sz w:val="24"/>
        </w:rPr>
      </w:pPr>
      <w:r>
        <w:rPr>
          <w:rFonts w:hint="eastAsia" w:ascii="宋体" w:hAnsi="宋体" w:cs="仿宋"/>
          <w:sz w:val="24"/>
        </w:rPr>
        <w:t>（二）封闭管理</w:t>
      </w:r>
    </w:p>
    <w:p w14:paraId="02E44734">
      <w:pPr>
        <w:adjustRightInd w:val="0"/>
        <w:spacing w:line="500" w:lineRule="exact"/>
        <w:ind w:firstLine="480" w:firstLineChars="200"/>
        <w:contextualSpacing/>
        <w:rPr>
          <w:rFonts w:ascii="宋体" w:hAnsi="宋体" w:cs="仿宋"/>
          <w:sz w:val="24"/>
        </w:rPr>
      </w:pPr>
      <w:r>
        <w:rPr>
          <w:rFonts w:hint="eastAsia" w:ascii="宋体" w:hAnsi="宋体" w:cs="仿宋"/>
          <w:sz w:val="24"/>
        </w:rPr>
        <w:t>施工现场必须实行封闭管理。进入施工现场所有工作人员必须佩带工作卡。配备一定数量的安全帽，严格执行外来人员进场登记制度。</w:t>
      </w:r>
    </w:p>
    <w:p w14:paraId="11645D48">
      <w:pPr>
        <w:adjustRightInd w:val="0"/>
        <w:spacing w:line="500" w:lineRule="exact"/>
        <w:ind w:firstLine="480" w:firstLineChars="200"/>
        <w:contextualSpacing/>
        <w:rPr>
          <w:rFonts w:ascii="宋体" w:hAnsi="宋体" w:cs="仿宋"/>
          <w:sz w:val="24"/>
        </w:rPr>
      </w:pPr>
      <w:r>
        <w:rPr>
          <w:rFonts w:hint="eastAsia" w:ascii="宋体" w:hAnsi="宋体" w:cs="仿宋"/>
          <w:sz w:val="24"/>
        </w:rPr>
        <w:t>（三）施工场地</w:t>
      </w:r>
    </w:p>
    <w:p w14:paraId="1508D91D">
      <w:pPr>
        <w:adjustRightInd w:val="0"/>
        <w:spacing w:line="500" w:lineRule="exact"/>
        <w:ind w:firstLine="480" w:firstLineChars="200"/>
        <w:contextualSpacing/>
        <w:rPr>
          <w:rFonts w:ascii="宋体" w:hAnsi="宋体" w:cs="仿宋"/>
          <w:sz w:val="24"/>
        </w:rPr>
      </w:pPr>
      <w:r>
        <w:rPr>
          <w:rFonts w:hint="eastAsia" w:ascii="宋体" w:hAnsi="宋体" w:cs="仿宋"/>
          <w:sz w:val="24"/>
        </w:rPr>
        <w:t>1.施工现场的主要道路和加工场地必须进行硬化处理。主通道宽度应在3.5m以上，次要道路视情况采取硬化措施。施工现场道路应做到畅通、平坦、整洁，无散落物。</w:t>
      </w:r>
    </w:p>
    <w:p w14:paraId="04A10081">
      <w:pPr>
        <w:adjustRightInd w:val="0"/>
        <w:spacing w:line="500" w:lineRule="exact"/>
        <w:ind w:firstLine="480" w:firstLineChars="200"/>
        <w:contextualSpacing/>
        <w:rPr>
          <w:rFonts w:ascii="宋体" w:hAnsi="宋体" w:cs="仿宋"/>
          <w:sz w:val="24"/>
        </w:rPr>
      </w:pPr>
      <w:r>
        <w:rPr>
          <w:rFonts w:hint="eastAsia" w:ascii="宋体" w:hAnsi="宋体" w:cs="仿宋"/>
          <w:sz w:val="24"/>
        </w:rPr>
        <w:t>2.施工现场应设置良好的排水系统，保证排水畅通，场地内不积水。施工现场应设置防泥浆、防污水、废水措施。</w:t>
      </w:r>
    </w:p>
    <w:p w14:paraId="4F054FCF">
      <w:pPr>
        <w:adjustRightInd w:val="0"/>
        <w:spacing w:line="500" w:lineRule="exact"/>
        <w:ind w:firstLine="480" w:firstLineChars="200"/>
        <w:contextualSpacing/>
        <w:rPr>
          <w:rFonts w:ascii="宋体" w:hAnsi="宋体" w:cs="仿宋"/>
          <w:sz w:val="24"/>
        </w:rPr>
      </w:pPr>
      <w:r>
        <w:rPr>
          <w:rFonts w:hint="eastAsia" w:ascii="宋体" w:hAnsi="宋体" w:cs="仿宋"/>
          <w:sz w:val="24"/>
        </w:rPr>
        <w:t>3.施工现场出口应设置车辆冲洗设施，场地内应设置排水沟及沉淀池，施工污水经沉淀后方可排入市政污水管网。</w:t>
      </w:r>
    </w:p>
    <w:p w14:paraId="1C2762E1">
      <w:pPr>
        <w:adjustRightInd w:val="0"/>
        <w:spacing w:line="500" w:lineRule="exact"/>
        <w:ind w:firstLine="480" w:firstLineChars="200"/>
        <w:contextualSpacing/>
        <w:rPr>
          <w:rFonts w:ascii="宋体" w:hAnsi="宋体" w:cs="仿宋"/>
          <w:sz w:val="24"/>
        </w:rPr>
      </w:pPr>
      <w:r>
        <w:rPr>
          <w:rFonts w:hint="eastAsia" w:ascii="宋体" w:hAnsi="宋体" w:cs="仿宋"/>
          <w:sz w:val="24"/>
        </w:rPr>
        <w:t>4.建筑垃圾的清运，必须采用封闭式临时专用道或采用容器吊运，严禁凌空抛掷。土方、渣土外运必须采用密闭式运输车或采取覆盖措施，严禁抛洒滴漏。</w:t>
      </w:r>
    </w:p>
    <w:p w14:paraId="28422E64">
      <w:pPr>
        <w:adjustRightInd w:val="0"/>
        <w:spacing w:line="500" w:lineRule="exact"/>
        <w:ind w:firstLine="480" w:firstLineChars="200"/>
        <w:contextualSpacing/>
        <w:rPr>
          <w:rFonts w:ascii="宋体" w:hAnsi="宋体" w:cs="仿宋"/>
          <w:sz w:val="24"/>
        </w:rPr>
      </w:pPr>
      <w:r>
        <w:rPr>
          <w:rFonts w:hint="eastAsia" w:ascii="宋体" w:hAnsi="宋体" w:cs="仿宋"/>
          <w:sz w:val="24"/>
        </w:rPr>
        <w:t>5.施工现场应制订降噪措施，强噪声设备应设置在远离居民区一侧。运输材料车辆进入施工现场严禁鸣笛，装卸材料应轻拿轻放。</w:t>
      </w:r>
    </w:p>
    <w:p w14:paraId="2B64B5D4">
      <w:pPr>
        <w:adjustRightInd w:val="0"/>
        <w:spacing w:line="500" w:lineRule="exact"/>
        <w:ind w:firstLine="480" w:firstLineChars="200"/>
        <w:contextualSpacing/>
        <w:rPr>
          <w:rFonts w:ascii="宋体" w:hAnsi="宋体" w:cs="仿宋"/>
          <w:sz w:val="24"/>
        </w:rPr>
      </w:pPr>
      <w:r>
        <w:rPr>
          <w:rFonts w:hint="eastAsia" w:ascii="宋体" w:hAnsi="宋体" w:cs="仿宋"/>
          <w:sz w:val="24"/>
        </w:rPr>
        <w:t>6.施工现场应设置临时厕所，建筑物内宜每层设置临时便溺设施；施工现场严禁焚烧各类废弃物。</w:t>
      </w:r>
    </w:p>
    <w:p w14:paraId="59992447">
      <w:pPr>
        <w:adjustRightInd w:val="0"/>
        <w:spacing w:line="500" w:lineRule="exact"/>
        <w:ind w:firstLine="480" w:firstLineChars="200"/>
        <w:contextualSpacing/>
        <w:rPr>
          <w:rFonts w:ascii="宋体" w:hAnsi="宋体" w:cs="仿宋"/>
          <w:sz w:val="24"/>
        </w:rPr>
      </w:pPr>
      <w:r>
        <w:rPr>
          <w:rFonts w:hint="eastAsia" w:ascii="宋体" w:hAnsi="宋体" w:cs="仿宋"/>
          <w:sz w:val="24"/>
        </w:rPr>
        <w:t>（三）材料堆放</w:t>
      </w:r>
    </w:p>
    <w:p w14:paraId="5AE4C61D">
      <w:pPr>
        <w:adjustRightInd w:val="0"/>
        <w:spacing w:line="500" w:lineRule="exact"/>
        <w:ind w:firstLine="480" w:firstLineChars="200"/>
        <w:contextualSpacing/>
        <w:rPr>
          <w:rFonts w:ascii="宋体" w:hAnsi="宋体" w:cs="仿宋"/>
          <w:sz w:val="24"/>
        </w:rPr>
      </w:pPr>
      <w:r>
        <w:rPr>
          <w:rFonts w:hint="eastAsia" w:ascii="宋体" w:hAnsi="宋体" w:cs="仿宋"/>
          <w:sz w:val="24"/>
        </w:rPr>
        <w:t>1.建筑材料、构配件及其他料具等必须做到安全、整齐堆放，不得超高。堆料应分门别类，悬挂标牌。标牌应统一制作，标明名称、品种、规格数量以及检验状态等。</w:t>
      </w:r>
    </w:p>
    <w:p w14:paraId="3D802A74">
      <w:pPr>
        <w:adjustRightInd w:val="0"/>
        <w:spacing w:line="500" w:lineRule="exact"/>
        <w:ind w:firstLine="480" w:firstLineChars="200"/>
        <w:contextualSpacing/>
        <w:rPr>
          <w:rFonts w:ascii="宋体" w:hAnsi="宋体" w:cs="仿宋"/>
          <w:sz w:val="24"/>
        </w:rPr>
      </w:pPr>
      <w:r>
        <w:rPr>
          <w:rFonts w:hint="eastAsia" w:ascii="宋体" w:hAnsi="宋体" w:cs="仿宋"/>
          <w:sz w:val="24"/>
        </w:rPr>
        <w:t>2.施工现场应建立清扫制度，落实到人，做到工完料尽、场地清。建筑垃圾应定点存放，及时清运。</w:t>
      </w:r>
    </w:p>
    <w:p w14:paraId="4E17E15C">
      <w:pPr>
        <w:adjustRightInd w:val="0"/>
        <w:spacing w:line="500" w:lineRule="exact"/>
        <w:ind w:firstLine="480" w:firstLineChars="200"/>
        <w:contextualSpacing/>
        <w:rPr>
          <w:rFonts w:ascii="宋体" w:hAnsi="宋体" w:cs="仿宋"/>
          <w:sz w:val="24"/>
        </w:rPr>
      </w:pPr>
      <w:r>
        <w:rPr>
          <w:rFonts w:hint="eastAsia" w:ascii="宋体" w:hAnsi="宋体" w:cs="仿宋"/>
          <w:sz w:val="24"/>
        </w:rPr>
        <w:t>3.施工现场应采取控制扬尘措施，水泥和其他易飞扬的颗粒建筑材料应密闭存放或采取覆盖等措施。</w:t>
      </w:r>
    </w:p>
    <w:p w14:paraId="0AEBFB27">
      <w:pPr>
        <w:adjustRightInd w:val="0"/>
        <w:spacing w:line="500" w:lineRule="exact"/>
        <w:ind w:firstLine="480" w:firstLineChars="200"/>
        <w:contextualSpacing/>
        <w:rPr>
          <w:rFonts w:ascii="宋体" w:hAnsi="宋体" w:cs="仿宋"/>
          <w:sz w:val="24"/>
        </w:rPr>
      </w:pPr>
      <w:r>
        <w:rPr>
          <w:rFonts w:hint="eastAsia" w:ascii="宋体" w:hAnsi="宋体" w:cs="仿宋"/>
          <w:sz w:val="24"/>
        </w:rPr>
        <w:t>（四）配套设施</w:t>
      </w:r>
    </w:p>
    <w:p w14:paraId="257FEFDC">
      <w:pPr>
        <w:adjustRightInd w:val="0"/>
        <w:spacing w:line="500" w:lineRule="exact"/>
        <w:ind w:firstLine="480" w:firstLineChars="200"/>
        <w:contextualSpacing/>
        <w:rPr>
          <w:rFonts w:ascii="宋体" w:hAnsi="宋体" w:cs="仿宋"/>
          <w:sz w:val="24"/>
        </w:rPr>
      </w:pPr>
      <w:r>
        <w:rPr>
          <w:rFonts w:hint="eastAsia" w:ascii="宋体" w:hAnsi="宋体" w:cs="仿宋"/>
          <w:sz w:val="24"/>
        </w:rPr>
        <w:t>1.施工现场应设置茶水棚(亭)，配备保温水桶，保证开水供应。</w:t>
      </w:r>
    </w:p>
    <w:p w14:paraId="22669E3C">
      <w:pPr>
        <w:adjustRightInd w:val="0"/>
        <w:spacing w:line="500" w:lineRule="exact"/>
        <w:ind w:firstLine="480" w:firstLineChars="200"/>
        <w:contextualSpacing/>
        <w:rPr>
          <w:rFonts w:ascii="宋体" w:hAnsi="宋体" w:cs="仿宋"/>
          <w:sz w:val="24"/>
        </w:rPr>
      </w:pPr>
      <w:r>
        <w:rPr>
          <w:rFonts w:hint="eastAsia" w:ascii="宋体" w:hAnsi="宋体" w:cs="仿宋"/>
          <w:sz w:val="24"/>
        </w:rPr>
        <w:t>2.建立现场卫生责任制，设卫生保洁员。生活垃圾必须盛放在容器内并及时清理。</w:t>
      </w:r>
    </w:p>
    <w:p w14:paraId="601420B2">
      <w:pPr>
        <w:adjustRightInd w:val="0"/>
        <w:spacing w:line="500" w:lineRule="exact"/>
        <w:ind w:firstLine="480" w:firstLineChars="200"/>
        <w:contextualSpacing/>
        <w:rPr>
          <w:rFonts w:ascii="宋体" w:hAnsi="宋体" w:cs="仿宋"/>
          <w:sz w:val="24"/>
        </w:rPr>
      </w:pPr>
      <w:r>
        <w:rPr>
          <w:rFonts w:hint="eastAsia" w:ascii="宋体" w:hAnsi="宋体" w:cs="仿宋"/>
          <w:sz w:val="24"/>
        </w:rPr>
        <w:t>（五）施工现场标牌</w:t>
      </w:r>
    </w:p>
    <w:p w14:paraId="1B003872">
      <w:pPr>
        <w:adjustRightInd w:val="0"/>
        <w:spacing w:line="500" w:lineRule="exact"/>
        <w:ind w:firstLine="480" w:firstLineChars="200"/>
        <w:contextualSpacing/>
        <w:rPr>
          <w:rFonts w:ascii="宋体" w:hAnsi="宋体" w:cs="仿宋"/>
          <w:sz w:val="24"/>
        </w:rPr>
      </w:pPr>
      <w:r>
        <w:rPr>
          <w:rFonts w:hint="eastAsia" w:ascii="宋体" w:hAnsi="宋体" w:cs="仿宋"/>
          <w:sz w:val="24"/>
        </w:rPr>
        <w:t>1.施工现场必须设有“五牌一图”，即工程概况牌、管理人员名单及监督电话牌、消防保卫(防火责任)牌、安全生产牌、文明施工牌和施工现场平面图。标牌规格统一、位置合理、字迹端正、线条清晰、表示明确，并固定在现场内主要进出口处，严禁将“五牌一图”悬挂在外脚手架上。</w:t>
      </w:r>
    </w:p>
    <w:p w14:paraId="441A5387">
      <w:pPr>
        <w:adjustRightInd w:val="0"/>
        <w:spacing w:line="500" w:lineRule="exact"/>
        <w:ind w:firstLine="480" w:firstLineChars="200"/>
        <w:contextualSpacing/>
        <w:rPr>
          <w:rFonts w:ascii="宋体" w:hAnsi="宋体" w:cs="仿宋"/>
          <w:sz w:val="24"/>
        </w:rPr>
      </w:pPr>
      <w:r>
        <w:rPr>
          <w:rFonts w:hint="eastAsia" w:ascii="宋体" w:hAnsi="宋体" w:cs="仿宋"/>
          <w:sz w:val="24"/>
        </w:rPr>
        <w:t>2.施工现场主要施工部位、作业点、危险区域及主要通道口应设置安全警示牌。</w:t>
      </w:r>
    </w:p>
    <w:p w14:paraId="7433D9B9">
      <w:pPr>
        <w:adjustRightInd w:val="0"/>
        <w:spacing w:line="500" w:lineRule="exact"/>
        <w:ind w:firstLine="480" w:firstLineChars="200"/>
        <w:contextualSpacing/>
        <w:rPr>
          <w:rFonts w:ascii="宋体" w:hAnsi="宋体" w:cs="仿宋"/>
          <w:sz w:val="24"/>
        </w:rPr>
      </w:pPr>
      <w:r>
        <w:rPr>
          <w:rFonts w:hint="eastAsia" w:ascii="宋体" w:hAnsi="宋体" w:cs="仿宋"/>
          <w:sz w:val="24"/>
        </w:rPr>
        <w:t>3.施工现场应在适当位置设置宣传栏、读报栏、黑板报、违章曝光台等，营造安全气氛，普及安全知识。</w:t>
      </w:r>
    </w:p>
    <w:p w14:paraId="77BFCCAC">
      <w:pPr>
        <w:adjustRightInd w:val="0"/>
        <w:spacing w:line="500" w:lineRule="exact"/>
        <w:ind w:firstLine="480" w:firstLineChars="200"/>
        <w:contextualSpacing/>
        <w:rPr>
          <w:rFonts w:ascii="宋体" w:hAnsi="宋体" w:cs="仿宋"/>
          <w:sz w:val="24"/>
        </w:rPr>
      </w:pPr>
      <w:r>
        <w:rPr>
          <w:rFonts w:hint="eastAsia" w:ascii="宋体" w:hAnsi="宋体" w:cs="仿宋"/>
          <w:sz w:val="24"/>
        </w:rPr>
        <w:t>（六）防火</w:t>
      </w:r>
    </w:p>
    <w:p w14:paraId="591E0323">
      <w:pPr>
        <w:adjustRightInd w:val="0"/>
        <w:spacing w:line="500" w:lineRule="exact"/>
        <w:ind w:firstLine="480" w:firstLineChars="200"/>
        <w:contextualSpacing/>
        <w:rPr>
          <w:rFonts w:ascii="宋体" w:hAnsi="宋体" w:cs="仿宋"/>
          <w:sz w:val="24"/>
        </w:rPr>
      </w:pPr>
      <w:r>
        <w:rPr>
          <w:rFonts w:hint="eastAsia" w:ascii="宋体" w:hAnsi="宋体" w:cs="仿宋"/>
          <w:sz w:val="24"/>
        </w:rPr>
        <w:t>1.施工现场必须制订消防预案，建立健全消防防火责任制和管理制度，配备消防器材及义务消防人员。</w:t>
      </w:r>
    </w:p>
    <w:p w14:paraId="7AF085EC">
      <w:pPr>
        <w:adjustRightInd w:val="0"/>
        <w:spacing w:line="500" w:lineRule="exact"/>
        <w:ind w:firstLine="480" w:firstLineChars="200"/>
        <w:contextualSpacing/>
        <w:rPr>
          <w:rFonts w:ascii="宋体" w:hAnsi="宋体" w:cs="仿宋"/>
          <w:sz w:val="24"/>
        </w:rPr>
      </w:pPr>
      <w:r>
        <w:rPr>
          <w:rFonts w:hint="eastAsia" w:ascii="宋体" w:hAnsi="宋体" w:cs="仿宋"/>
          <w:sz w:val="24"/>
        </w:rPr>
        <w:t>2.建筑物每层应配备消防设施。建筑内应随层做消防水源管道(管径50mm)，并设置加压泵，留消防水源接口，配置水枪、水带。</w:t>
      </w:r>
    </w:p>
    <w:p w14:paraId="598F56DC">
      <w:pPr>
        <w:adjustRightInd w:val="0"/>
        <w:spacing w:line="500" w:lineRule="exact"/>
        <w:ind w:firstLine="480" w:firstLineChars="200"/>
        <w:contextualSpacing/>
        <w:rPr>
          <w:rFonts w:ascii="宋体" w:hAnsi="宋体" w:cs="仿宋"/>
          <w:sz w:val="24"/>
        </w:rPr>
      </w:pPr>
      <w:r>
        <w:rPr>
          <w:rFonts w:hint="eastAsia" w:ascii="宋体" w:hAnsi="宋体" w:cs="仿宋"/>
          <w:sz w:val="24"/>
        </w:rPr>
        <w:t>3.施工现场应单独设置易燃易爆危险品仓库。易燃易爆物品堆放间、木工间、油漆间等消防防火重点部位应采取必要的消防安全措施，配备专用消防器材，并有专人负责。</w:t>
      </w:r>
    </w:p>
    <w:p w14:paraId="7FC322E4">
      <w:pPr>
        <w:adjustRightInd w:val="0"/>
        <w:spacing w:line="500" w:lineRule="exact"/>
        <w:ind w:firstLine="480" w:firstLineChars="200"/>
        <w:contextualSpacing/>
        <w:rPr>
          <w:rFonts w:ascii="宋体" w:hAnsi="宋体" w:cs="仿宋"/>
          <w:sz w:val="24"/>
        </w:rPr>
      </w:pPr>
      <w:r>
        <w:rPr>
          <w:rFonts w:hint="eastAsia" w:ascii="宋体" w:hAnsi="宋体" w:cs="仿宋"/>
          <w:sz w:val="24"/>
        </w:rPr>
        <w:t>（七）综合治理</w:t>
      </w:r>
    </w:p>
    <w:p w14:paraId="5B6AFD17">
      <w:pPr>
        <w:adjustRightInd w:val="0"/>
        <w:spacing w:line="500" w:lineRule="exact"/>
        <w:ind w:firstLine="480" w:firstLineChars="200"/>
        <w:contextualSpacing/>
        <w:rPr>
          <w:rFonts w:ascii="宋体" w:hAnsi="宋体" w:cs="仿宋"/>
          <w:sz w:val="24"/>
        </w:rPr>
      </w:pPr>
      <w:r>
        <w:rPr>
          <w:rFonts w:hint="eastAsia" w:ascii="宋体" w:hAnsi="宋体" w:cs="仿宋"/>
          <w:sz w:val="24"/>
        </w:rPr>
        <w:t>1.施工现场应建立值班制度,治安保卫责任制应落实到人，采取措施严防盗窃、斗殴、赌博等事件发生。</w:t>
      </w:r>
    </w:p>
    <w:p w14:paraId="27F35E81">
      <w:pPr>
        <w:adjustRightInd w:val="0"/>
        <w:spacing w:line="500" w:lineRule="exact"/>
        <w:ind w:firstLine="480" w:firstLineChars="200"/>
        <w:contextualSpacing/>
        <w:rPr>
          <w:rFonts w:ascii="宋体" w:hAnsi="宋体" w:cs="仿宋"/>
          <w:sz w:val="24"/>
        </w:rPr>
      </w:pPr>
      <w:r>
        <w:rPr>
          <w:rFonts w:hint="eastAsia" w:ascii="宋体" w:hAnsi="宋体" w:cs="仿宋"/>
          <w:sz w:val="24"/>
        </w:rPr>
        <w:t>2.施工现场应按有关规定定期开展教育活动，丰富职工业余文化生活。</w:t>
      </w:r>
    </w:p>
    <w:p w14:paraId="2E2779DF">
      <w:pPr>
        <w:adjustRightInd w:val="0"/>
        <w:spacing w:line="500" w:lineRule="exact"/>
        <w:ind w:firstLine="480" w:firstLineChars="200"/>
        <w:contextualSpacing/>
        <w:rPr>
          <w:rFonts w:ascii="宋体" w:hAnsi="宋体" w:cs="仿宋"/>
          <w:sz w:val="24"/>
        </w:rPr>
      </w:pPr>
      <w:r>
        <w:rPr>
          <w:rFonts w:hint="eastAsia" w:ascii="宋体" w:hAnsi="宋体" w:cs="仿宋"/>
          <w:sz w:val="24"/>
        </w:rPr>
        <w:t>3.夜间施工应按规定办理有关手续，未经许可不得施工。</w:t>
      </w:r>
    </w:p>
    <w:p w14:paraId="765626C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三、安全文明施工违规罚款规定</w:t>
      </w:r>
    </w:p>
    <w:p w14:paraId="3C3B301E">
      <w:pPr>
        <w:autoSpaceDE w:val="0"/>
        <w:autoSpaceDN w:val="0"/>
        <w:adjustRightInd w:val="0"/>
        <w:snapToGrid w:val="0"/>
        <w:spacing w:line="360" w:lineRule="auto"/>
        <w:jc w:val="center"/>
        <w:rPr>
          <w:rFonts w:ascii="黑体" w:hAnsi="黑体" w:eastAsia="黑体" w:cs="仿宋"/>
          <w:sz w:val="32"/>
          <w:szCs w:val="32"/>
        </w:rPr>
      </w:pPr>
      <w:r>
        <w:rPr>
          <w:rFonts w:hint="eastAsia" w:ascii="黑体" w:hAnsi="黑体" w:eastAsia="黑体" w:cs="仿宋"/>
          <w:sz w:val="32"/>
          <w:szCs w:val="32"/>
        </w:rPr>
        <w:t>安全文明施工违规罚款条例</w:t>
      </w:r>
    </w:p>
    <w:tbl>
      <w:tblPr>
        <w:tblStyle w:val="33"/>
        <w:tblW w:w="9381" w:type="dxa"/>
        <w:jc w:val="center"/>
        <w:tblLayout w:type="fixed"/>
        <w:tblCellMar>
          <w:top w:w="0" w:type="dxa"/>
          <w:left w:w="10" w:type="dxa"/>
          <w:bottom w:w="0" w:type="dxa"/>
          <w:right w:w="10" w:type="dxa"/>
        </w:tblCellMar>
      </w:tblPr>
      <w:tblGrid>
        <w:gridCol w:w="1008"/>
        <w:gridCol w:w="5088"/>
        <w:gridCol w:w="1830"/>
        <w:gridCol w:w="1455"/>
      </w:tblGrid>
      <w:tr w14:paraId="756AC4BA">
        <w:tblPrEx>
          <w:tblCellMar>
            <w:top w:w="0" w:type="dxa"/>
            <w:left w:w="10" w:type="dxa"/>
            <w:bottom w:w="0" w:type="dxa"/>
            <w:right w:w="10" w:type="dxa"/>
          </w:tblCellMar>
        </w:tblPrEx>
        <w:trPr>
          <w:trHeight w:val="626" w:hRule="atLeast"/>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0635CD7C">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序号</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13DFC0F5">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内    容</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1BEB3ED">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个人违章罚款（元）</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1C8028D">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单位罚款（元）</w:t>
            </w:r>
          </w:p>
        </w:tc>
      </w:tr>
      <w:tr w14:paraId="6A4AF74A">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53F7807E">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1</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71296798">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重点防范</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679972D3">
            <w:pPr>
              <w:autoSpaceDE w:val="0"/>
              <w:autoSpaceDN w:val="0"/>
              <w:adjustRightInd w:val="0"/>
              <w:snapToGrid w:val="0"/>
              <w:jc w:val="center"/>
              <w:rPr>
                <w:rFonts w:ascii="宋体" w:hAnsi="宋体" w:cs="仿宋"/>
                <w:b/>
                <w:bCs/>
                <w:sz w:val="24"/>
                <w:lang w:val="zh-CN"/>
              </w:rPr>
            </w:pPr>
          </w:p>
        </w:tc>
        <w:tc>
          <w:tcPr>
            <w:tcW w:w="1455" w:type="dxa"/>
            <w:tcBorders>
              <w:top w:val="single" w:color="auto" w:sz="6" w:space="0"/>
              <w:left w:val="single" w:color="auto" w:sz="6" w:space="0"/>
              <w:bottom w:val="single" w:color="auto" w:sz="6" w:space="0"/>
              <w:right w:val="single" w:color="auto" w:sz="6" w:space="0"/>
            </w:tcBorders>
            <w:noWrap w:val="0"/>
            <w:vAlign w:val="center"/>
          </w:tcPr>
          <w:p w14:paraId="5351F30B">
            <w:pPr>
              <w:autoSpaceDE w:val="0"/>
              <w:autoSpaceDN w:val="0"/>
              <w:adjustRightInd w:val="0"/>
              <w:snapToGrid w:val="0"/>
              <w:jc w:val="center"/>
              <w:rPr>
                <w:rFonts w:ascii="宋体" w:hAnsi="宋体" w:cs="仿宋"/>
                <w:b/>
                <w:bCs/>
                <w:sz w:val="24"/>
                <w:lang w:val="zh-CN"/>
              </w:rPr>
            </w:pPr>
          </w:p>
        </w:tc>
      </w:tr>
      <w:tr w14:paraId="0032CC64">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564FE74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1.1</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1B1791D1">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未戴安全帽</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97F550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41A07E1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20000</w:t>
            </w:r>
          </w:p>
        </w:tc>
      </w:tr>
      <w:tr w14:paraId="5B58B268">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1CD1AB1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1.2</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3B0DA8B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安全帽佩戴不规范</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1F00EEE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A06A21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770E7ACD">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12C91C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1.3</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4814AE1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高空或临边作业未系安全带</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58E2068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618DD52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20000</w:t>
            </w:r>
          </w:p>
        </w:tc>
      </w:tr>
      <w:tr w14:paraId="2D05A363">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D6EC06F">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1.4</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191206E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在禁烟区吸烟</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166AA1D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936E1A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20000</w:t>
            </w:r>
          </w:p>
        </w:tc>
      </w:tr>
      <w:tr w14:paraId="4C5270DD">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86555B7">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1.5</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41DAC97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高空抛掷物料</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03DF606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1BE513E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20000</w:t>
            </w:r>
          </w:p>
        </w:tc>
      </w:tr>
      <w:tr w14:paraId="7C3691FE">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5970BDE3">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1.6</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383AEA63">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打架斗殴</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57631FE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687F15F3">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20000</w:t>
            </w:r>
          </w:p>
        </w:tc>
      </w:tr>
      <w:tr w14:paraId="45C0E7FF">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48FA11CC">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1.7</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30EED60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酒后上工地</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0B6B63B3">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3DEA133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155E0F20">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622D009A">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1.8</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72E2BAB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移动工作平台无斜撑等保护措施</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5D60DB31">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0043BD1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077C3862">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670464FB">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1.9</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145B9221">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特殊作业未持劳动部门颁发的上岗证</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5EE5E9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5F4ED5E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FD10003">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0EB3D9A1">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1.10</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3C23AE8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“四口”、“临边”未按规定保护</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597B2D0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331F527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080737DD">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1D5B0CD">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1.11</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64932AF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未经批准拆除安全防护设施</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8D2AA6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0267BA2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410CF170">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3818E7DC">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1.12</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44DA36C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易燃、易爆、易腐蚀及有毒化学物品未隔离存放</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7E66E36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E8FD5E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5F5DF674">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06901D42">
            <w:pPr>
              <w:autoSpaceDE w:val="0"/>
              <w:autoSpaceDN w:val="0"/>
              <w:adjustRightInd w:val="0"/>
              <w:snapToGrid w:val="0"/>
              <w:jc w:val="center"/>
              <w:rPr>
                <w:rFonts w:ascii="宋体" w:hAnsi="宋体" w:cs="仿宋"/>
                <w:bCs/>
                <w:sz w:val="24"/>
                <w:lang w:val="zh-CN"/>
              </w:rPr>
            </w:pPr>
            <w:r>
              <w:rPr>
                <w:rFonts w:hint="eastAsia" w:ascii="宋体" w:hAnsi="宋体" w:cs="仿宋"/>
                <w:bCs/>
                <w:sz w:val="24"/>
                <w:lang w:val="zh-CN"/>
              </w:rPr>
              <w:t>1.13</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0AA5B36F">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危险作业区域未有效防护</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698F4BA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6AAE0CBF">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7268460B">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3A0FC4F9">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2</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59CA596E">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个人防护</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25E98A5D">
            <w:pPr>
              <w:autoSpaceDE w:val="0"/>
              <w:autoSpaceDN w:val="0"/>
              <w:adjustRightInd w:val="0"/>
              <w:snapToGrid w:val="0"/>
              <w:jc w:val="center"/>
              <w:rPr>
                <w:rFonts w:ascii="宋体" w:hAnsi="宋体" w:cs="仿宋"/>
                <w:b/>
                <w:bCs/>
                <w:sz w:val="24"/>
                <w:lang w:val="zh-CN"/>
              </w:rPr>
            </w:pPr>
          </w:p>
        </w:tc>
        <w:tc>
          <w:tcPr>
            <w:tcW w:w="1455" w:type="dxa"/>
            <w:tcBorders>
              <w:top w:val="single" w:color="auto" w:sz="6" w:space="0"/>
              <w:left w:val="single" w:color="auto" w:sz="6" w:space="0"/>
              <w:bottom w:val="single" w:color="auto" w:sz="6" w:space="0"/>
              <w:right w:val="single" w:color="auto" w:sz="6" w:space="0"/>
            </w:tcBorders>
            <w:noWrap w:val="0"/>
            <w:vAlign w:val="center"/>
          </w:tcPr>
          <w:p w14:paraId="0BE2E91E">
            <w:pPr>
              <w:autoSpaceDE w:val="0"/>
              <w:autoSpaceDN w:val="0"/>
              <w:adjustRightInd w:val="0"/>
              <w:snapToGrid w:val="0"/>
              <w:jc w:val="center"/>
              <w:rPr>
                <w:rFonts w:ascii="宋体" w:hAnsi="宋体" w:cs="仿宋"/>
                <w:b/>
                <w:bCs/>
                <w:sz w:val="24"/>
                <w:lang w:val="zh-CN"/>
              </w:rPr>
            </w:pPr>
          </w:p>
        </w:tc>
      </w:tr>
      <w:tr w14:paraId="073FE4AE">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1DC0634F">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2.1</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51CA117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电焊作业未戴防护手套或面罩</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3D8FC5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09CA780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236F75D0">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585ECAB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2.2</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622F334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操作切割机未戴防护眼罩</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340CEBA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39A647D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03858DC7">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5377AED2">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3</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57F23332">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设备</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599C6C35">
            <w:pPr>
              <w:autoSpaceDE w:val="0"/>
              <w:autoSpaceDN w:val="0"/>
              <w:adjustRightInd w:val="0"/>
              <w:snapToGrid w:val="0"/>
              <w:jc w:val="center"/>
              <w:rPr>
                <w:rFonts w:ascii="宋体" w:hAnsi="宋体" w:cs="仿宋"/>
                <w:sz w:val="24"/>
                <w:lang w:val="zh-CN"/>
              </w:rPr>
            </w:pPr>
          </w:p>
        </w:tc>
        <w:tc>
          <w:tcPr>
            <w:tcW w:w="1455" w:type="dxa"/>
            <w:tcBorders>
              <w:top w:val="single" w:color="auto" w:sz="6" w:space="0"/>
              <w:left w:val="single" w:color="auto" w:sz="6" w:space="0"/>
              <w:bottom w:val="single" w:color="auto" w:sz="6" w:space="0"/>
              <w:right w:val="single" w:color="auto" w:sz="6" w:space="0"/>
            </w:tcBorders>
            <w:noWrap w:val="0"/>
            <w:vAlign w:val="center"/>
          </w:tcPr>
          <w:p w14:paraId="1BF7E0F4">
            <w:pPr>
              <w:autoSpaceDE w:val="0"/>
              <w:autoSpaceDN w:val="0"/>
              <w:adjustRightInd w:val="0"/>
              <w:snapToGrid w:val="0"/>
              <w:jc w:val="center"/>
              <w:rPr>
                <w:rFonts w:ascii="宋体" w:hAnsi="宋体" w:cs="仿宋"/>
                <w:sz w:val="24"/>
                <w:lang w:val="zh-CN"/>
              </w:rPr>
            </w:pPr>
          </w:p>
        </w:tc>
      </w:tr>
      <w:tr w14:paraId="23B92D4A">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450FFEE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3.1</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3506139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设备保护系统不全或已损坏</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BE4C5D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4B40919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0102A871">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6116F31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3.2</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5FD8351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未做到一机一闸</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2FFA66B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2C3A1F3">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296E337F">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671DDF4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3.3</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553E68D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使用未通过验收的电机设备</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501BA0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5BAC712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4F6F5102">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75F58F37">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4</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5EE343BA">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施工用电</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57099EAD">
            <w:pPr>
              <w:autoSpaceDE w:val="0"/>
              <w:autoSpaceDN w:val="0"/>
              <w:adjustRightInd w:val="0"/>
              <w:snapToGrid w:val="0"/>
              <w:jc w:val="center"/>
              <w:rPr>
                <w:rFonts w:ascii="宋体" w:hAnsi="宋体" w:cs="仿宋"/>
                <w:sz w:val="24"/>
                <w:lang w:val="zh-CN"/>
              </w:rPr>
            </w:pPr>
          </w:p>
        </w:tc>
        <w:tc>
          <w:tcPr>
            <w:tcW w:w="1455" w:type="dxa"/>
            <w:tcBorders>
              <w:top w:val="single" w:color="auto" w:sz="6" w:space="0"/>
              <w:left w:val="single" w:color="auto" w:sz="6" w:space="0"/>
              <w:bottom w:val="single" w:color="auto" w:sz="6" w:space="0"/>
              <w:right w:val="single" w:color="auto" w:sz="6" w:space="0"/>
            </w:tcBorders>
            <w:noWrap w:val="0"/>
            <w:vAlign w:val="center"/>
          </w:tcPr>
          <w:p w14:paraId="4830B726">
            <w:pPr>
              <w:autoSpaceDE w:val="0"/>
              <w:autoSpaceDN w:val="0"/>
              <w:adjustRightInd w:val="0"/>
              <w:snapToGrid w:val="0"/>
              <w:jc w:val="center"/>
              <w:rPr>
                <w:rFonts w:ascii="宋体" w:hAnsi="宋体" w:cs="仿宋"/>
                <w:sz w:val="24"/>
                <w:lang w:val="zh-CN"/>
              </w:rPr>
            </w:pPr>
          </w:p>
        </w:tc>
      </w:tr>
      <w:tr w14:paraId="3DBB2AF1">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493DE5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4.1</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2D70E8F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未按“三相五线制”规定配电</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1A3DCFA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5B70124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92C1AB3">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05C6A8E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4.2</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2165EE01">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不符合“三级配电、三级保护”规定</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781D772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CE7D35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56C841F3">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379D0FB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4.3</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284BFAB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电气设备不符合规范要求</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6B39C4C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B294DA3">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46DA10B3">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4B5516B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4.4</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74B1C4F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电线未按规定作架空或埋地处理</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49536C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1F567E7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0D0EFFA">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135BE96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4.5</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7A5D7FE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电箱中保护系统配置不全</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188D459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1B8265E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D912075">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460BDB97">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5</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72EB4A32">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防火、照明</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E59BEF4">
            <w:pPr>
              <w:autoSpaceDE w:val="0"/>
              <w:autoSpaceDN w:val="0"/>
              <w:adjustRightInd w:val="0"/>
              <w:snapToGrid w:val="0"/>
              <w:jc w:val="center"/>
              <w:rPr>
                <w:rFonts w:ascii="宋体" w:hAnsi="宋体" w:cs="仿宋"/>
                <w:sz w:val="24"/>
                <w:lang w:val="zh-CN"/>
              </w:rPr>
            </w:pPr>
          </w:p>
        </w:tc>
        <w:tc>
          <w:tcPr>
            <w:tcW w:w="1455" w:type="dxa"/>
            <w:tcBorders>
              <w:top w:val="single" w:color="auto" w:sz="6" w:space="0"/>
              <w:left w:val="single" w:color="auto" w:sz="6" w:space="0"/>
              <w:bottom w:val="single" w:color="auto" w:sz="6" w:space="0"/>
              <w:right w:val="single" w:color="auto" w:sz="6" w:space="0"/>
            </w:tcBorders>
            <w:noWrap w:val="0"/>
            <w:vAlign w:val="center"/>
          </w:tcPr>
          <w:p w14:paraId="02FD07CB">
            <w:pPr>
              <w:autoSpaceDE w:val="0"/>
              <w:autoSpaceDN w:val="0"/>
              <w:adjustRightInd w:val="0"/>
              <w:snapToGrid w:val="0"/>
              <w:jc w:val="center"/>
              <w:rPr>
                <w:rFonts w:ascii="宋体" w:hAnsi="宋体" w:cs="仿宋"/>
                <w:sz w:val="24"/>
                <w:lang w:val="zh-CN"/>
              </w:rPr>
            </w:pPr>
          </w:p>
        </w:tc>
      </w:tr>
      <w:tr w14:paraId="34B72E72">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4A3C2EB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5.1</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17E8506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仓库、生活区及施工区未配灭火器材</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2B51DE8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650AFC9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75D6DB9D">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05237CF3">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5.2</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092A41B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失效的灭火器材未及时更新</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1F711B98">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7146D28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DBFEC13">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3D03B01">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5.3</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1BD45DB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动火作业未办理动用明火手续</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3A3F7CD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22EEAA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39330C2D">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683163B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5.4</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21E2001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动火作业防火措施（灭火器材、接火斗等）未跟上</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571F4913">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33D70BE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1D7B63BA">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1622CDA3">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5.5</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25BB48C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擅自挪用、损坏消防器材</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36BCE36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50149C0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32D3A2DD">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9C7B0A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5.6</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21486D0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主要通道及施工区照明不足</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2DDEBCAF">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4C3B756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2198551E">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648A8C5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5.7</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073502E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在易燃物品区用强热灯照明（如碘钨灯）</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0AE28D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FCC3368">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5F3BB77">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49D8F6C8">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6</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79FCA8EC">
            <w:pPr>
              <w:autoSpaceDE w:val="0"/>
              <w:autoSpaceDN w:val="0"/>
              <w:adjustRightInd w:val="0"/>
              <w:snapToGrid w:val="0"/>
              <w:jc w:val="center"/>
              <w:rPr>
                <w:rFonts w:ascii="宋体" w:hAnsi="宋体" w:cs="仿宋"/>
                <w:b/>
                <w:bCs/>
                <w:sz w:val="24"/>
                <w:lang w:val="zh-CN"/>
              </w:rPr>
            </w:pPr>
            <w:r>
              <w:rPr>
                <w:rFonts w:hint="eastAsia" w:ascii="宋体" w:hAnsi="宋体" w:cs="仿宋"/>
                <w:b/>
                <w:bCs/>
                <w:sz w:val="24"/>
                <w:lang w:val="zh-CN"/>
              </w:rPr>
              <w:t>安全管理及其它</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68D14C6F">
            <w:pPr>
              <w:autoSpaceDE w:val="0"/>
              <w:autoSpaceDN w:val="0"/>
              <w:adjustRightInd w:val="0"/>
              <w:snapToGrid w:val="0"/>
              <w:jc w:val="center"/>
              <w:rPr>
                <w:rFonts w:ascii="宋体" w:hAnsi="宋体" w:cs="仿宋"/>
                <w:sz w:val="24"/>
                <w:lang w:val="zh-CN"/>
              </w:rPr>
            </w:pPr>
          </w:p>
        </w:tc>
        <w:tc>
          <w:tcPr>
            <w:tcW w:w="1455" w:type="dxa"/>
            <w:tcBorders>
              <w:top w:val="single" w:color="auto" w:sz="6" w:space="0"/>
              <w:left w:val="single" w:color="auto" w:sz="6" w:space="0"/>
              <w:bottom w:val="single" w:color="auto" w:sz="6" w:space="0"/>
              <w:right w:val="single" w:color="auto" w:sz="6" w:space="0"/>
            </w:tcBorders>
            <w:noWrap w:val="0"/>
            <w:vAlign w:val="center"/>
          </w:tcPr>
          <w:p w14:paraId="0CC01727">
            <w:pPr>
              <w:autoSpaceDE w:val="0"/>
              <w:autoSpaceDN w:val="0"/>
              <w:adjustRightInd w:val="0"/>
              <w:snapToGrid w:val="0"/>
              <w:jc w:val="center"/>
              <w:rPr>
                <w:rFonts w:ascii="宋体" w:hAnsi="宋体" w:cs="仿宋"/>
                <w:sz w:val="24"/>
                <w:lang w:val="zh-CN"/>
              </w:rPr>
            </w:pPr>
          </w:p>
        </w:tc>
      </w:tr>
      <w:tr w14:paraId="4164B7A8">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292A02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6.1</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07C9C5D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集中安全活动（例会、检查）缺席（除非事先批准）</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060E122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3A824F1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836901A">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78187B2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6.2</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2BBD1511">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未按规定要求和指定时间整改隐患</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B0E9BA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01AC57C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36015F86">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10F0138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6.3</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63C4545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宿舍区卫生、防火不符合要求</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C3046F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2ACD40A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399EC520">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39131D7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6.4</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4996C8BF">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不服从指挥、态度粗鲁，缺乏礼貌</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5F807978">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1DE5E70F">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1BCBBED5">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7AE1242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6.5</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40B8E50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在工地及生活区赌博等不健康活动</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0B04DC1">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500/位</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59167BF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7A569317">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721DB87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6.6</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3ECD46A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偷窃</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4F539B0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667A83B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5000以上</w:t>
            </w:r>
          </w:p>
        </w:tc>
      </w:tr>
      <w:tr w14:paraId="48286876">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6309C25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6.7</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47611AA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重大安全、文明活动配合不力</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3609FA8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65C1329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25F1B9DD">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632F706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6.8</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56743F8C">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危险物品存放区无警告标志</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7AD2879E">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7E8AC16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DAD335A">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7712B67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6.9</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28A51F3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工地内发现外来闲杂人员</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78758E9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493A2601">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4E52AF97">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4C5147E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6.10</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377914C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乘坐吊蓝上下（经批准检修除外）包括开机人员</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09D5237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49503BB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C089245">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947610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6.11</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4921ACCF">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损坏成品未主动承担责任</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173BE7BF">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7FDDD7F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1355CD33">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5867937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6.12</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6DCFE0D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在工地现场及生活区随地大小便</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7B3FECE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1B2A06F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3C565CC4">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2378DB3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6.13</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02DD7CF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进场材料随意堆放，堵塞通道</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04930D4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5D83BE14">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4C033249">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5328522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6.14</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1BBFD7D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当日落手清未清除的</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002FC32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5959681D">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676A3F29">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657599F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6.15</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317860B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建筑、生活垃圾未倒在指定区域</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5B1C311A">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39ABD3DF">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w:t>
            </w:r>
          </w:p>
        </w:tc>
      </w:tr>
      <w:tr w14:paraId="24BCFAD9">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7501127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6.16</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707D3999">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无故损坏公物、攀折花草树木</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3195EBC7">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723CD1AB">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5000以上</w:t>
            </w:r>
          </w:p>
        </w:tc>
      </w:tr>
      <w:tr w14:paraId="636C26E5">
        <w:tblPrEx>
          <w:tblCellMar>
            <w:top w:w="0" w:type="dxa"/>
            <w:left w:w="10" w:type="dxa"/>
            <w:bottom w:w="0" w:type="dxa"/>
            <w:right w:w="10" w:type="dxa"/>
          </w:tblCellMar>
        </w:tblPrEx>
        <w:trPr>
          <w:jc w:val="center"/>
        </w:trPr>
        <w:tc>
          <w:tcPr>
            <w:tcW w:w="1008" w:type="dxa"/>
            <w:tcBorders>
              <w:top w:val="single" w:color="auto" w:sz="6" w:space="0"/>
              <w:left w:val="single" w:color="auto" w:sz="6" w:space="0"/>
              <w:bottom w:val="single" w:color="auto" w:sz="6" w:space="0"/>
              <w:right w:val="single" w:color="auto" w:sz="6" w:space="0"/>
            </w:tcBorders>
            <w:noWrap w:val="0"/>
            <w:vAlign w:val="center"/>
          </w:tcPr>
          <w:p w14:paraId="71EAE490">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6.17</w:t>
            </w:r>
          </w:p>
        </w:tc>
        <w:tc>
          <w:tcPr>
            <w:tcW w:w="5088" w:type="dxa"/>
            <w:tcBorders>
              <w:top w:val="single" w:color="auto" w:sz="6" w:space="0"/>
              <w:left w:val="single" w:color="auto" w:sz="6" w:space="0"/>
              <w:bottom w:val="single" w:color="auto" w:sz="6" w:space="0"/>
              <w:right w:val="single" w:color="auto" w:sz="6" w:space="0"/>
            </w:tcBorders>
            <w:noWrap w:val="0"/>
            <w:vAlign w:val="center"/>
          </w:tcPr>
          <w:p w14:paraId="08B4E1F5">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其他安全违章及不文明行为</w:t>
            </w:r>
          </w:p>
        </w:tc>
        <w:tc>
          <w:tcPr>
            <w:tcW w:w="1830" w:type="dxa"/>
            <w:tcBorders>
              <w:top w:val="single" w:color="auto" w:sz="6" w:space="0"/>
              <w:left w:val="single" w:color="auto" w:sz="6" w:space="0"/>
              <w:bottom w:val="single" w:color="auto" w:sz="6" w:space="0"/>
              <w:right w:val="single" w:color="auto" w:sz="6" w:space="0"/>
            </w:tcBorders>
            <w:noWrap w:val="0"/>
            <w:vAlign w:val="center"/>
          </w:tcPr>
          <w:p w14:paraId="1B66A432">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500/位</w:t>
            </w:r>
          </w:p>
        </w:tc>
        <w:tc>
          <w:tcPr>
            <w:tcW w:w="1455" w:type="dxa"/>
            <w:tcBorders>
              <w:top w:val="single" w:color="auto" w:sz="6" w:space="0"/>
              <w:left w:val="single" w:color="auto" w:sz="6" w:space="0"/>
              <w:bottom w:val="single" w:color="auto" w:sz="6" w:space="0"/>
              <w:right w:val="single" w:color="auto" w:sz="6" w:space="0"/>
            </w:tcBorders>
            <w:noWrap w:val="0"/>
            <w:vAlign w:val="center"/>
          </w:tcPr>
          <w:p w14:paraId="3BF0DFC6">
            <w:pPr>
              <w:autoSpaceDE w:val="0"/>
              <w:autoSpaceDN w:val="0"/>
              <w:adjustRightInd w:val="0"/>
              <w:snapToGrid w:val="0"/>
              <w:jc w:val="center"/>
              <w:rPr>
                <w:rFonts w:ascii="宋体" w:hAnsi="宋体" w:cs="仿宋"/>
                <w:sz w:val="24"/>
                <w:lang w:val="zh-CN"/>
              </w:rPr>
            </w:pPr>
            <w:r>
              <w:rPr>
                <w:rFonts w:hint="eastAsia" w:ascii="宋体" w:hAnsi="宋体" w:cs="仿宋"/>
                <w:sz w:val="24"/>
                <w:lang w:val="zh-CN"/>
              </w:rPr>
              <w:t>5000以上</w:t>
            </w:r>
          </w:p>
        </w:tc>
      </w:tr>
    </w:tbl>
    <w:p w14:paraId="2957190B">
      <w:pPr>
        <w:adjustRightInd w:val="0"/>
        <w:spacing w:line="500" w:lineRule="exact"/>
        <w:ind w:right="-1" w:firstLine="480" w:firstLineChars="200"/>
        <w:contextualSpacing/>
        <w:rPr>
          <w:rFonts w:ascii="宋体" w:hAnsi="宋体" w:cs="仿宋"/>
          <w:sz w:val="24"/>
        </w:rPr>
      </w:pPr>
      <w:r>
        <w:rPr>
          <w:rFonts w:hint="eastAsia" w:ascii="宋体" w:hAnsi="宋体" w:cs="仿宋"/>
          <w:sz w:val="24"/>
        </w:rPr>
        <w:t>如发生上表中的任何一项违法安全文明施工事项，则由监理单位通知施工单位，个人扣款由施工单位自行进行扣罚（三级教育时应对各班组进行交底），所有罚款在当月工程款中予以扣除。同一项罚款内容有效整改后且一个月内不再重复发生的可退还罚没款。</w:t>
      </w:r>
    </w:p>
    <w:p w14:paraId="3A6677C1">
      <w:pPr>
        <w:keepNext/>
        <w:keepLines/>
        <w:adjustRightInd w:val="0"/>
        <w:spacing w:before="260" w:after="260" w:line="416" w:lineRule="auto"/>
        <w:jc w:val="left"/>
        <w:textAlignment w:val="baseline"/>
        <w:outlineLvl w:val="1"/>
        <w:rPr>
          <w:rFonts w:ascii="黑体" w:hAnsi="黑体" w:eastAsia="黑体" w:cs="仿宋"/>
          <w:bCs/>
          <w:sz w:val="32"/>
          <w:szCs w:val="28"/>
        </w:rPr>
      </w:pPr>
      <w:bookmarkStart w:id="82" w:name="_Toc176786403"/>
      <w:bookmarkStart w:id="83" w:name="_Toc178155253"/>
      <w:bookmarkStart w:id="84" w:name="_Toc59006224"/>
      <w:bookmarkStart w:id="85" w:name="_Toc217983410"/>
      <w:r>
        <w:rPr>
          <w:rFonts w:hint="eastAsia" w:ascii="黑体" w:hAnsi="黑体" w:eastAsia="黑体" w:cs="仿宋"/>
          <w:bCs/>
          <w:sz w:val="32"/>
          <w:szCs w:val="28"/>
        </w:rPr>
        <w:t>附件12：</w:t>
      </w:r>
      <w:bookmarkEnd w:id="82"/>
      <w:bookmarkEnd w:id="83"/>
      <w:bookmarkEnd w:id="84"/>
      <w:bookmarkEnd w:id="85"/>
    </w:p>
    <w:p w14:paraId="0ED29875">
      <w:pPr>
        <w:keepNext/>
        <w:keepLines/>
        <w:adjustRightInd w:val="0"/>
        <w:spacing w:before="260" w:after="260" w:line="416" w:lineRule="auto"/>
        <w:jc w:val="center"/>
        <w:textAlignment w:val="baseline"/>
        <w:outlineLvl w:val="9"/>
        <w:rPr>
          <w:rFonts w:ascii="黑体" w:hAnsi="黑体" w:eastAsia="黑体" w:cs="仿宋"/>
          <w:bCs/>
          <w:sz w:val="32"/>
          <w:szCs w:val="28"/>
        </w:rPr>
      </w:pPr>
      <w:bookmarkStart w:id="86" w:name="_Toc178155254"/>
      <w:bookmarkStart w:id="87" w:name="_Toc59006225"/>
      <w:bookmarkStart w:id="88" w:name="_Toc11590502"/>
      <w:bookmarkStart w:id="89" w:name="_Toc217983411"/>
      <w:bookmarkStart w:id="90" w:name="_Toc176786404"/>
      <w:r>
        <w:rPr>
          <w:rFonts w:hint="eastAsia" w:ascii="黑体" w:hAnsi="黑体" w:eastAsia="黑体" w:cs="仿宋"/>
          <w:bCs/>
          <w:sz w:val="32"/>
          <w:szCs w:val="28"/>
        </w:rPr>
        <w:t>工程质量管理办法</w:t>
      </w:r>
      <w:bookmarkEnd w:id="86"/>
      <w:bookmarkEnd w:id="87"/>
      <w:bookmarkEnd w:id="88"/>
      <w:bookmarkEnd w:id="89"/>
      <w:bookmarkEnd w:id="90"/>
    </w:p>
    <w:p w14:paraId="4EFDD8C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质量标准</w:t>
      </w:r>
    </w:p>
    <w:p w14:paraId="6D2FD2E4">
      <w:pPr>
        <w:adjustRightInd w:val="0"/>
        <w:spacing w:line="500" w:lineRule="exact"/>
        <w:ind w:firstLine="477" w:firstLineChars="199"/>
        <w:contextualSpacing/>
        <w:jc w:val="left"/>
        <w:rPr>
          <w:rFonts w:ascii="宋体" w:hAnsi="宋体" w:cs="仿宋"/>
          <w:sz w:val="24"/>
        </w:rPr>
      </w:pPr>
      <w:r>
        <w:rPr>
          <w:rFonts w:hint="eastAsia" w:ascii="宋体" w:hAnsi="宋体" w:cs="仿宋"/>
          <w:sz w:val="24"/>
        </w:rPr>
        <w:t>项目单体及综合验评工程质量须达到国家验收合格标准，确保一次性通过验收。</w:t>
      </w:r>
    </w:p>
    <w:p w14:paraId="42C56EC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组织结构</w:t>
      </w:r>
    </w:p>
    <w:p w14:paraId="0677A82F">
      <w:pPr>
        <w:adjustRightInd w:val="0"/>
        <w:spacing w:line="500" w:lineRule="exact"/>
        <w:ind w:firstLine="477" w:firstLineChars="199"/>
        <w:contextualSpacing/>
        <w:rPr>
          <w:rFonts w:ascii="宋体" w:hAnsi="宋体" w:cs="仿宋"/>
          <w:sz w:val="24"/>
        </w:rPr>
      </w:pPr>
      <w:r>
        <w:rPr>
          <w:rFonts w:hint="eastAsia" w:ascii="宋体" w:hAnsi="宋体" w:cs="仿宋"/>
          <w:sz w:val="24"/>
        </w:rPr>
        <w:t>本项目成立质量管理领导小组</w:t>
      </w:r>
    </w:p>
    <w:p w14:paraId="12FA7D92">
      <w:pPr>
        <w:adjustRightInd w:val="0"/>
        <w:spacing w:line="500" w:lineRule="exact"/>
        <w:ind w:firstLine="477" w:firstLineChars="199"/>
        <w:contextualSpacing/>
        <w:rPr>
          <w:rFonts w:ascii="宋体" w:hAnsi="宋体" w:cs="仿宋"/>
          <w:sz w:val="24"/>
        </w:rPr>
      </w:pPr>
      <w:r>
        <w:rPr>
          <w:rFonts w:hint="eastAsia" w:ascii="宋体" w:hAnsi="宋体" w:cs="仿宋"/>
          <w:sz w:val="24"/>
        </w:rPr>
        <w:t>组长：建设单位代表</w:t>
      </w:r>
    </w:p>
    <w:p w14:paraId="61CD1633">
      <w:pPr>
        <w:adjustRightInd w:val="0"/>
        <w:spacing w:line="500" w:lineRule="exact"/>
        <w:ind w:firstLine="477" w:firstLineChars="199"/>
        <w:contextualSpacing/>
        <w:rPr>
          <w:rFonts w:ascii="宋体" w:hAnsi="宋体" w:cs="仿宋"/>
          <w:sz w:val="24"/>
        </w:rPr>
      </w:pPr>
      <w:r>
        <w:rPr>
          <w:rFonts w:hint="eastAsia" w:ascii="宋体" w:hAnsi="宋体" w:cs="仿宋"/>
          <w:sz w:val="24"/>
        </w:rPr>
        <w:t>副组长：装修施工单位项目经理</w:t>
      </w:r>
    </w:p>
    <w:p w14:paraId="0104230D">
      <w:pPr>
        <w:adjustRightInd w:val="0"/>
        <w:spacing w:line="500" w:lineRule="exact"/>
        <w:ind w:firstLine="477" w:firstLineChars="199"/>
        <w:contextualSpacing/>
        <w:rPr>
          <w:rFonts w:ascii="宋体" w:hAnsi="宋体" w:cs="仿宋"/>
          <w:sz w:val="24"/>
        </w:rPr>
      </w:pPr>
      <w:r>
        <w:rPr>
          <w:rFonts w:hint="eastAsia" w:ascii="宋体" w:hAnsi="宋体" w:cs="仿宋"/>
          <w:sz w:val="24"/>
        </w:rPr>
        <w:t>项目总监理工程师</w:t>
      </w:r>
    </w:p>
    <w:p w14:paraId="72C9F02E">
      <w:pPr>
        <w:adjustRightInd w:val="0"/>
        <w:spacing w:line="500" w:lineRule="exact"/>
        <w:ind w:firstLine="477" w:firstLineChars="199"/>
        <w:contextualSpacing/>
        <w:rPr>
          <w:rFonts w:ascii="宋体" w:hAnsi="宋体" w:cs="仿宋"/>
          <w:sz w:val="24"/>
        </w:rPr>
      </w:pPr>
      <w:r>
        <w:rPr>
          <w:rFonts w:hint="eastAsia" w:ascii="宋体" w:hAnsi="宋体" w:cs="仿宋"/>
          <w:sz w:val="24"/>
        </w:rPr>
        <w:t>成员：装修施工单位生产副经理或技术负责人</w:t>
      </w:r>
    </w:p>
    <w:p w14:paraId="3C1A0B5E">
      <w:pPr>
        <w:adjustRightInd w:val="0"/>
        <w:spacing w:line="500" w:lineRule="exact"/>
        <w:ind w:firstLine="477" w:firstLineChars="199"/>
        <w:contextualSpacing/>
        <w:rPr>
          <w:rFonts w:ascii="宋体" w:hAnsi="宋体" w:cs="仿宋"/>
          <w:sz w:val="24"/>
        </w:rPr>
      </w:pPr>
      <w:r>
        <w:rPr>
          <w:rFonts w:hint="eastAsia" w:ascii="宋体" w:hAnsi="宋体" w:cs="仿宋"/>
          <w:sz w:val="24"/>
        </w:rPr>
        <w:t>各施工分包项目经理</w:t>
      </w:r>
    </w:p>
    <w:p w14:paraId="13A6A9C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质量管理原则</w:t>
      </w:r>
    </w:p>
    <w:p w14:paraId="5C84CE4C">
      <w:pPr>
        <w:adjustRightInd w:val="0"/>
        <w:spacing w:line="500" w:lineRule="exact"/>
        <w:ind w:firstLine="480" w:firstLineChars="200"/>
        <w:contextualSpacing/>
        <w:rPr>
          <w:rFonts w:ascii="宋体" w:hAnsi="宋体" w:cs="仿宋"/>
          <w:sz w:val="24"/>
        </w:rPr>
      </w:pPr>
      <w:r>
        <w:rPr>
          <w:rFonts w:hint="eastAsia" w:ascii="宋体" w:hAnsi="宋体" w:cs="仿宋"/>
          <w:sz w:val="24"/>
        </w:rPr>
        <w:t>坚持“质量第一，用户至上”的原则。</w:t>
      </w:r>
    </w:p>
    <w:p w14:paraId="0478C09B">
      <w:pPr>
        <w:adjustRightInd w:val="0"/>
        <w:spacing w:line="500" w:lineRule="exact"/>
        <w:ind w:firstLine="480" w:firstLineChars="200"/>
        <w:contextualSpacing/>
        <w:rPr>
          <w:rFonts w:ascii="宋体" w:hAnsi="宋体" w:cs="仿宋"/>
          <w:sz w:val="24"/>
        </w:rPr>
      </w:pPr>
      <w:r>
        <w:rPr>
          <w:rFonts w:hint="eastAsia" w:ascii="宋体" w:hAnsi="宋体" w:cs="仿宋"/>
          <w:sz w:val="24"/>
        </w:rPr>
        <w:t>坚持“以人为本”的原则。</w:t>
      </w:r>
    </w:p>
    <w:p w14:paraId="4143C343">
      <w:pPr>
        <w:adjustRightInd w:val="0"/>
        <w:spacing w:line="500" w:lineRule="exact"/>
        <w:ind w:firstLine="480" w:firstLineChars="200"/>
        <w:contextualSpacing/>
        <w:rPr>
          <w:rFonts w:ascii="宋体" w:hAnsi="宋体" w:cs="仿宋"/>
          <w:sz w:val="24"/>
        </w:rPr>
      </w:pPr>
      <w:r>
        <w:rPr>
          <w:rFonts w:hint="eastAsia" w:ascii="宋体" w:hAnsi="宋体" w:cs="仿宋"/>
          <w:sz w:val="24"/>
        </w:rPr>
        <w:t>坚持“以预防为主，事前控制”的原则。</w:t>
      </w:r>
    </w:p>
    <w:p w14:paraId="5A03DE22">
      <w:pPr>
        <w:adjustRightInd w:val="0"/>
        <w:spacing w:line="500" w:lineRule="exact"/>
        <w:ind w:firstLine="480" w:firstLineChars="200"/>
        <w:contextualSpacing/>
        <w:rPr>
          <w:rFonts w:ascii="宋体" w:hAnsi="宋体" w:cs="仿宋"/>
          <w:sz w:val="24"/>
        </w:rPr>
      </w:pPr>
      <w:r>
        <w:rPr>
          <w:rFonts w:hint="eastAsia" w:ascii="宋体" w:hAnsi="宋体" w:cs="仿宋"/>
          <w:sz w:val="24"/>
        </w:rPr>
        <w:t>坚持质量标准、严格检查的原则。</w:t>
      </w:r>
    </w:p>
    <w:p w14:paraId="637D06BA">
      <w:pPr>
        <w:adjustRightInd w:val="0"/>
        <w:spacing w:line="500" w:lineRule="exact"/>
        <w:ind w:firstLine="480" w:firstLineChars="200"/>
        <w:contextualSpacing/>
        <w:rPr>
          <w:rFonts w:ascii="宋体" w:hAnsi="宋体" w:cs="仿宋"/>
          <w:sz w:val="24"/>
        </w:rPr>
      </w:pPr>
      <w:r>
        <w:rPr>
          <w:rFonts w:hint="eastAsia" w:ascii="宋体" w:hAnsi="宋体" w:cs="仿宋"/>
          <w:sz w:val="24"/>
        </w:rPr>
        <w:t>坚持贯彻科学、公正、守法、诚信的职业规范原则。</w:t>
      </w:r>
    </w:p>
    <w:p w14:paraId="2E1172A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监理（含代建）单位的职责</w:t>
      </w:r>
    </w:p>
    <w:p w14:paraId="21702ECC">
      <w:pPr>
        <w:adjustRightInd w:val="0"/>
        <w:spacing w:line="500" w:lineRule="exact"/>
        <w:ind w:firstLine="480" w:firstLineChars="200"/>
        <w:contextualSpacing/>
        <w:rPr>
          <w:rFonts w:ascii="宋体" w:hAnsi="宋体" w:cs="仿宋"/>
          <w:sz w:val="24"/>
        </w:rPr>
      </w:pPr>
      <w:r>
        <w:rPr>
          <w:rFonts w:hint="eastAsia" w:ascii="宋体" w:hAnsi="宋体" w:cs="仿宋"/>
          <w:sz w:val="24"/>
        </w:rPr>
        <w:t>对工程设计中的技术问题，按照安全、优化的原则，在参与图纸会审等过程中提出建议。</w:t>
      </w:r>
    </w:p>
    <w:p w14:paraId="2CE595CE">
      <w:pPr>
        <w:adjustRightInd w:val="0"/>
        <w:spacing w:line="500" w:lineRule="exact"/>
        <w:ind w:firstLine="480" w:firstLineChars="200"/>
        <w:contextualSpacing/>
        <w:rPr>
          <w:rFonts w:ascii="宋体" w:hAnsi="宋体" w:cs="仿宋"/>
          <w:sz w:val="24"/>
        </w:rPr>
      </w:pPr>
      <w:r>
        <w:rPr>
          <w:rFonts w:hint="eastAsia" w:ascii="宋体" w:hAnsi="宋体" w:cs="仿宋"/>
          <w:sz w:val="24"/>
        </w:rPr>
        <w:t>组织审核施工单位提交的施工组织设计（含专项施工方案、质量控制措施、技术安全措施）及各项施工准备工作，在征得代建单位同意后，审批工程开工报告。</w:t>
      </w:r>
    </w:p>
    <w:p w14:paraId="5DFA0059">
      <w:pPr>
        <w:adjustRightInd w:val="0"/>
        <w:spacing w:line="500" w:lineRule="exact"/>
        <w:ind w:firstLine="480" w:firstLineChars="200"/>
        <w:contextualSpacing/>
        <w:rPr>
          <w:rFonts w:ascii="宋体" w:hAnsi="宋体" w:cs="仿宋"/>
          <w:sz w:val="24"/>
        </w:rPr>
      </w:pPr>
      <w:r>
        <w:rPr>
          <w:rFonts w:hint="eastAsia" w:ascii="宋体" w:hAnsi="宋体" w:cs="仿宋"/>
          <w:sz w:val="24"/>
        </w:rPr>
        <w:t>结合项目的具体情况，督促施工单位编制重点分部分项工程的施工方法文件并进行审核。</w:t>
      </w:r>
    </w:p>
    <w:p w14:paraId="5C6BAABF">
      <w:pPr>
        <w:adjustRightInd w:val="0"/>
        <w:spacing w:line="500" w:lineRule="exact"/>
        <w:ind w:firstLine="480" w:firstLineChars="200"/>
        <w:contextualSpacing/>
        <w:rPr>
          <w:rFonts w:ascii="宋体" w:hAnsi="宋体" w:cs="仿宋"/>
          <w:sz w:val="24"/>
        </w:rPr>
      </w:pPr>
      <w:r>
        <w:rPr>
          <w:rFonts w:hint="eastAsia" w:ascii="宋体" w:hAnsi="宋体" w:cs="仿宋"/>
          <w:sz w:val="24"/>
        </w:rPr>
        <w:t>负责审核施工单位针对项目工程质量通病的技术措施及工程质量预控措施，并监督执行情况。</w:t>
      </w:r>
    </w:p>
    <w:p w14:paraId="35AE42D5">
      <w:pPr>
        <w:adjustRightInd w:val="0"/>
        <w:spacing w:line="500" w:lineRule="exact"/>
        <w:ind w:firstLine="480" w:firstLineChars="200"/>
        <w:contextualSpacing/>
        <w:rPr>
          <w:rFonts w:ascii="宋体" w:hAnsi="宋体" w:cs="仿宋"/>
          <w:sz w:val="24"/>
        </w:rPr>
      </w:pPr>
      <w:r>
        <w:rPr>
          <w:rFonts w:hint="eastAsia" w:ascii="宋体" w:hAnsi="宋体" w:cs="仿宋"/>
          <w:sz w:val="24"/>
        </w:rPr>
        <w:t>负责审核施工单位提交的冬雨季施工方案并监督执行情况。</w:t>
      </w:r>
    </w:p>
    <w:p w14:paraId="621F750F">
      <w:pPr>
        <w:adjustRightInd w:val="0"/>
        <w:spacing w:line="500" w:lineRule="exact"/>
        <w:ind w:firstLine="480" w:firstLineChars="200"/>
        <w:contextualSpacing/>
        <w:rPr>
          <w:rFonts w:ascii="宋体" w:hAnsi="宋体" w:cs="仿宋"/>
          <w:sz w:val="24"/>
        </w:rPr>
      </w:pPr>
      <w:r>
        <w:rPr>
          <w:rFonts w:hint="eastAsia" w:ascii="宋体" w:hAnsi="宋体" w:cs="仿宋"/>
          <w:sz w:val="24"/>
        </w:rPr>
        <w:t>负责审核施工单位编制的成品保护措施并监督执行情况，将审核结论与执行情况以书面形式提交代建单位审批备案。</w:t>
      </w:r>
    </w:p>
    <w:p w14:paraId="599237AE">
      <w:pPr>
        <w:adjustRightInd w:val="0"/>
        <w:spacing w:line="500" w:lineRule="exact"/>
        <w:ind w:firstLine="480" w:firstLineChars="200"/>
        <w:contextualSpacing/>
        <w:rPr>
          <w:rFonts w:ascii="宋体" w:hAnsi="宋体" w:cs="仿宋"/>
          <w:sz w:val="24"/>
        </w:rPr>
      </w:pPr>
      <w:r>
        <w:rPr>
          <w:rFonts w:hint="eastAsia" w:ascii="宋体" w:hAnsi="宋体" w:cs="仿宋"/>
          <w:sz w:val="24"/>
        </w:rPr>
        <w:t>审核施工单位拟选用材料及构配件检测试验室的资质。</w:t>
      </w:r>
    </w:p>
    <w:p w14:paraId="7204748A">
      <w:pPr>
        <w:adjustRightInd w:val="0"/>
        <w:spacing w:line="500" w:lineRule="exact"/>
        <w:ind w:firstLine="480" w:firstLineChars="200"/>
        <w:contextualSpacing/>
        <w:rPr>
          <w:rFonts w:ascii="宋体" w:hAnsi="宋体" w:cs="仿宋"/>
          <w:sz w:val="24"/>
        </w:rPr>
      </w:pPr>
      <w:r>
        <w:rPr>
          <w:rFonts w:hint="eastAsia" w:ascii="宋体" w:hAnsi="宋体" w:cs="仿宋"/>
          <w:sz w:val="24"/>
        </w:rPr>
        <w:t>审核及检查施工单位拟采用的施工机械及检测、计量器具的技术性能。</w:t>
      </w:r>
    </w:p>
    <w:p w14:paraId="5BAE3B76">
      <w:pPr>
        <w:adjustRightInd w:val="0"/>
        <w:spacing w:line="500" w:lineRule="exact"/>
        <w:ind w:firstLine="480" w:firstLineChars="200"/>
        <w:contextualSpacing/>
        <w:rPr>
          <w:rFonts w:ascii="宋体" w:hAnsi="宋体" w:cs="仿宋"/>
          <w:sz w:val="24"/>
        </w:rPr>
      </w:pPr>
      <w:r>
        <w:rPr>
          <w:rFonts w:hint="eastAsia" w:ascii="宋体" w:hAnsi="宋体" w:cs="仿宋"/>
          <w:sz w:val="24"/>
        </w:rPr>
        <w:t>督促施工单位建立健全质量、安全、文明施工保证体系。</w:t>
      </w:r>
    </w:p>
    <w:p w14:paraId="621CE068">
      <w:pPr>
        <w:adjustRightInd w:val="0"/>
        <w:spacing w:line="500" w:lineRule="exact"/>
        <w:ind w:firstLine="480" w:firstLineChars="200"/>
        <w:contextualSpacing/>
        <w:rPr>
          <w:rFonts w:ascii="宋体" w:hAnsi="宋体" w:cs="仿宋"/>
          <w:sz w:val="24"/>
        </w:rPr>
      </w:pPr>
      <w:r>
        <w:rPr>
          <w:rFonts w:hint="eastAsia" w:ascii="宋体" w:hAnsi="宋体" w:cs="仿宋"/>
          <w:sz w:val="24"/>
        </w:rPr>
        <w:t>负责落实现场检查、旁站、实测、试验等手段，并进行施工工艺质量过程控制。</w:t>
      </w:r>
    </w:p>
    <w:p w14:paraId="1BC51C8E">
      <w:pPr>
        <w:adjustRightInd w:val="0"/>
        <w:spacing w:line="500" w:lineRule="exact"/>
        <w:ind w:firstLine="480" w:firstLineChars="200"/>
        <w:contextualSpacing/>
        <w:rPr>
          <w:rFonts w:ascii="宋体" w:hAnsi="宋体" w:cs="仿宋"/>
          <w:sz w:val="24"/>
        </w:rPr>
      </w:pPr>
      <w:r>
        <w:rPr>
          <w:rFonts w:hint="eastAsia" w:ascii="宋体" w:hAnsi="宋体" w:cs="仿宋"/>
          <w:sz w:val="24"/>
        </w:rPr>
        <w:t>负责管理施工单位对进场材料、构配件、设备在使用前及时进行检测、试验及验收，并严格执行旁站见证取样制度。</w:t>
      </w:r>
    </w:p>
    <w:p w14:paraId="626677A7">
      <w:pPr>
        <w:adjustRightInd w:val="0"/>
        <w:spacing w:line="500" w:lineRule="exact"/>
        <w:ind w:firstLine="480" w:firstLineChars="200"/>
        <w:contextualSpacing/>
        <w:rPr>
          <w:rFonts w:ascii="宋体" w:hAnsi="宋体" w:cs="仿宋"/>
          <w:sz w:val="24"/>
        </w:rPr>
      </w:pPr>
      <w:r>
        <w:rPr>
          <w:rFonts w:hint="eastAsia" w:ascii="宋体" w:hAnsi="宋体" w:cs="仿宋"/>
          <w:sz w:val="24"/>
        </w:rPr>
        <w:t>负责施工单位申报工序交接及隐蔽工程验收，对工序交接及隐蔽工程验收进行旁站监督并如实记录存档。</w:t>
      </w:r>
    </w:p>
    <w:p w14:paraId="36D1C280">
      <w:pPr>
        <w:adjustRightInd w:val="0"/>
        <w:spacing w:line="500" w:lineRule="exact"/>
        <w:ind w:firstLine="480" w:firstLineChars="200"/>
        <w:contextualSpacing/>
        <w:rPr>
          <w:rFonts w:ascii="宋体" w:hAnsi="宋体" w:cs="仿宋"/>
          <w:sz w:val="24"/>
        </w:rPr>
      </w:pPr>
      <w:r>
        <w:rPr>
          <w:rFonts w:hint="eastAsia" w:ascii="宋体" w:hAnsi="宋体" w:cs="仿宋"/>
          <w:sz w:val="24"/>
        </w:rPr>
        <w:t>负责对用于工程的主要材料、构配件的出厂合格证、材质化验单等进行核定，防止不合格材料及构配件用于工程中。</w:t>
      </w:r>
    </w:p>
    <w:p w14:paraId="05EE65E6">
      <w:pPr>
        <w:adjustRightInd w:val="0"/>
        <w:spacing w:line="500" w:lineRule="exact"/>
        <w:ind w:firstLine="480" w:firstLineChars="200"/>
        <w:contextualSpacing/>
        <w:rPr>
          <w:rFonts w:ascii="宋体" w:hAnsi="宋体" w:cs="仿宋"/>
          <w:sz w:val="24"/>
        </w:rPr>
      </w:pPr>
      <w:r>
        <w:rPr>
          <w:rFonts w:hint="eastAsia" w:ascii="宋体" w:hAnsi="宋体" w:cs="仿宋"/>
          <w:sz w:val="24"/>
        </w:rPr>
        <w:t>审核施工单位提出的设计变更申请，对确需变更的，及时申报代建单位处理。</w:t>
      </w:r>
    </w:p>
    <w:p w14:paraId="63C149FA">
      <w:pPr>
        <w:adjustRightInd w:val="0"/>
        <w:spacing w:line="500" w:lineRule="exact"/>
        <w:ind w:firstLine="480" w:firstLineChars="200"/>
        <w:contextualSpacing/>
        <w:rPr>
          <w:rFonts w:ascii="宋体" w:hAnsi="宋体" w:cs="仿宋"/>
          <w:sz w:val="24"/>
        </w:rPr>
      </w:pPr>
      <w:r>
        <w:rPr>
          <w:rFonts w:hint="eastAsia" w:ascii="宋体" w:hAnsi="宋体" w:cs="仿宋"/>
          <w:sz w:val="24"/>
        </w:rPr>
        <w:t>组织对施工单位已完成的分部分项工程进行技术及质量评审验收。</w:t>
      </w:r>
    </w:p>
    <w:p w14:paraId="73ED621C">
      <w:pPr>
        <w:adjustRightInd w:val="0"/>
        <w:spacing w:line="500" w:lineRule="exact"/>
        <w:ind w:firstLine="480" w:firstLineChars="200"/>
        <w:contextualSpacing/>
        <w:rPr>
          <w:rFonts w:ascii="宋体" w:hAnsi="宋体" w:cs="仿宋"/>
          <w:sz w:val="24"/>
        </w:rPr>
      </w:pPr>
      <w:r>
        <w:rPr>
          <w:rFonts w:hint="eastAsia" w:ascii="宋体" w:hAnsi="宋体" w:cs="仿宋"/>
          <w:sz w:val="24"/>
        </w:rPr>
        <w:t>组织工程质量事故处理，分析质量事故的原因、责任；审核处理工程质量事故的技术措施或方案；检查处理的效果。</w:t>
      </w:r>
    </w:p>
    <w:p w14:paraId="5F0EFFA6">
      <w:pPr>
        <w:adjustRightInd w:val="0"/>
        <w:spacing w:line="500" w:lineRule="exact"/>
        <w:ind w:firstLine="480" w:firstLineChars="200"/>
        <w:contextualSpacing/>
        <w:rPr>
          <w:rFonts w:ascii="宋体" w:hAnsi="宋体" w:cs="仿宋"/>
          <w:sz w:val="24"/>
        </w:rPr>
      </w:pPr>
      <w:r>
        <w:rPr>
          <w:rFonts w:hint="eastAsia" w:ascii="宋体" w:hAnsi="宋体" w:cs="仿宋"/>
          <w:sz w:val="24"/>
        </w:rPr>
        <w:t>同步实时检查施工单位的工程技术档案整理及编制情况，督促施工单位及时、准确、真实、完整地完成工程技术档案的归档工作。</w:t>
      </w:r>
    </w:p>
    <w:p w14:paraId="469DD25C">
      <w:pPr>
        <w:adjustRightInd w:val="0"/>
        <w:spacing w:line="500" w:lineRule="exact"/>
        <w:ind w:firstLine="480" w:firstLineChars="200"/>
        <w:contextualSpacing/>
        <w:rPr>
          <w:rFonts w:ascii="宋体" w:hAnsi="宋体" w:cs="仿宋"/>
          <w:sz w:val="24"/>
        </w:rPr>
      </w:pPr>
      <w:r>
        <w:rPr>
          <w:rFonts w:hint="eastAsia" w:ascii="宋体" w:hAnsi="宋体" w:cs="仿宋"/>
          <w:sz w:val="24"/>
        </w:rPr>
        <w:t>根据工程质量动态情况，定期组织现场质量协调会，并定期向代建单位报告项目工程质量动态情况。</w:t>
      </w:r>
    </w:p>
    <w:p w14:paraId="7FF01D40">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施工单位的管理职责</w:t>
      </w:r>
    </w:p>
    <w:p w14:paraId="16B78EF5">
      <w:pPr>
        <w:adjustRightInd w:val="0"/>
        <w:spacing w:line="500" w:lineRule="exact"/>
        <w:ind w:firstLine="480" w:firstLineChars="200"/>
        <w:contextualSpacing/>
        <w:rPr>
          <w:rFonts w:ascii="宋体" w:hAnsi="宋体" w:cs="仿宋"/>
          <w:sz w:val="24"/>
        </w:rPr>
      </w:pPr>
      <w:r>
        <w:rPr>
          <w:rFonts w:hint="eastAsia" w:ascii="宋体" w:hAnsi="宋体" w:cs="仿宋"/>
          <w:sz w:val="24"/>
        </w:rPr>
        <w:t>施工单位为生产质量直接责任单位，对其合同范围内工程施工质量负全责，项目经理为生产质量的第一责任人。装修施工单位应按照本工程的总体质量目标及合同要求参与全部工程质量管理，承担总承包管理职能，对自行施工的工程质量承担全部责任，对分包单位完成的工程质量承担连带责任，各分包施工单位应积极配合、服从装修单位统一管理，无条件接受装修施工单位质检员的各项口头或书面的整改要求，对其分包的工程承担主要责任。对不服从管理的分包单位，装修施工单位应报建设单位、代建单位、监理单位，经批准后可按合同采取措施。</w:t>
      </w:r>
    </w:p>
    <w:p w14:paraId="3F0F01B0">
      <w:pPr>
        <w:adjustRightInd w:val="0"/>
        <w:spacing w:line="500" w:lineRule="exact"/>
        <w:ind w:firstLine="480" w:firstLineChars="200"/>
        <w:contextualSpacing/>
        <w:rPr>
          <w:rFonts w:ascii="宋体" w:hAnsi="宋体" w:cs="仿宋"/>
          <w:sz w:val="24"/>
        </w:rPr>
      </w:pPr>
      <w:r>
        <w:rPr>
          <w:rFonts w:hint="eastAsia" w:ascii="宋体" w:hAnsi="宋体" w:cs="仿宋"/>
          <w:sz w:val="24"/>
        </w:rPr>
        <w:t>施工单位应对关键部位、新技术、新工艺、新材料及时组织相关各方召开专题会议，必要时应邀请专家组织论证。</w:t>
      </w:r>
    </w:p>
    <w:p w14:paraId="763CCDCC">
      <w:pPr>
        <w:adjustRightInd w:val="0"/>
        <w:spacing w:line="500" w:lineRule="exact"/>
        <w:ind w:firstLine="480" w:firstLineChars="200"/>
        <w:contextualSpacing/>
        <w:rPr>
          <w:rFonts w:ascii="宋体" w:hAnsi="宋体" w:cs="仿宋"/>
          <w:sz w:val="24"/>
        </w:rPr>
      </w:pPr>
      <w:r>
        <w:rPr>
          <w:rFonts w:hint="eastAsia" w:ascii="宋体" w:hAnsi="宋体" w:cs="仿宋"/>
          <w:sz w:val="24"/>
        </w:rPr>
        <w:t>各施工单位应严把原材料质量关，用于本工程的所有材料、半成品、成品、建筑构配件、器具和设备均应进行现场验收。凡涉及安全、功能的有关产品，应按各专业工程质量验收规范规定进行复验，未经监理工程师检查认可签字的所有材料一律不得用于工程。</w:t>
      </w:r>
    </w:p>
    <w:p w14:paraId="375C08EF">
      <w:pPr>
        <w:adjustRightInd w:val="0"/>
        <w:spacing w:line="500" w:lineRule="exact"/>
        <w:ind w:firstLine="480" w:firstLineChars="200"/>
        <w:contextualSpacing/>
        <w:rPr>
          <w:rFonts w:ascii="宋体" w:hAnsi="宋体" w:cs="仿宋"/>
          <w:sz w:val="24"/>
        </w:rPr>
      </w:pPr>
      <w:r>
        <w:rPr>
          <w:rFonts w:hint="eastAsia" w:ascii="宋体" w:hAnsi="宋体" w:cs="仿宋"/>
          <w:sz w:val="24"/>
        </w:rPr>
        <w:t>各施工单位应严格按验收规范、技术标准要求加强工序质量的控制，落实三级自检工作，在自检合格的基础上方可报监理验收，确保一次验收通过率。严格遵循上道工序未经监理验收不得进入下道工序，对未落实三级自检工作即报监理验收的施工单位，监理单位有权拒绝验收或签署不合格，同时对未履行相应验收职能的责任人及施工单位按“工作态度不端正、质量意识淡漠”落实处罚。</w:t>
      </w:r>
    </w:p>
    <w:p w14:paraId="1A14679F">
      <w:pPr>
        <w:adjustRightInd w:val="0"/>
        <w:spacing w:line="500" w:lineRule="exact"/>
        <w:ind w:firstLine="480" w:firstLineChars="200"/>
        <w:contextualSpacing/>
        <w:rPr>
          <w:rFonts w:ascii="宋体" w:hAnsi="宋体" w:cs="仿宋"/>
          <w:sz w:val="24"/>
        </w:rPr>
      </w:pPr>
      <w:r>
        <w:rPr>
          <w:rFonts w:hint="eastAsia" w:ascii="宋体" w:hAnsi="宋体" w:cs="仿宋"/>
          <w:sz w:val="24"/>
        </w:rPr>
        <w:t>各施工单位管理人员应严格按规范要求参加或组织各项自检验收工作，参与监理组织的各项验收工作，承担相应管理责任。</w:t>
      </w:r>
    </w:p>
    <w:p w14:paraId="052B128B">
      <w:pPr>
        <w:adjustRightInd w:val="0"/>
        <w:spacing w:line="500" w:lineRule="exact"/>
        <w:ind w:firstLine="480" w:firstLineChars="200"/>
        <w:contextualSpacing/>
        <w:rPr>
          <w:rFonts w:ascii="宋体" w:hAnsi="宋体" w:cs="仿宋"/>
          <w:sz w:val="24"/>
        </w:rPr>
      </w:pPr>
      <w:r>
        <w:rPr>
          <w:rFonts w:hint="eastAsia" w:ascii="宋体" w:hAnsi="宋体" w:cs="仿宋"/>
          <w:sz w:val="24"/>
        </w:rPr>
        <w:t>班组长负责组织工人在施工过程中或工作完成后的自我检查和互相检查。</w:t>
      </w:r>
    </w:p>
    <w:p w14:paraId="3D110EFD">
      <w:pPr>
        <w:adjustRightInd w:val="0"/>
        <w:spacing w:line="500" w:lineRule="exact"/>
        <w:ind w:firstLine="480" w:firstLineChars="200"/>
        <w:contextualSpacing/>
        <w:rPr>
          <w:rFonts w:ascii="宋体" w:hAnsi="宋体" w:cs="仿宋"/>
          <w:sz w:val="24"/>
        </w:rPr>
      </w:pPr>
      <w:r>
        <w:rPr>
          <w:rFonts w:hint="eastAsia" w:ascii="宋体" w:hAnsi="宋体" w:cs="仿宋"/>
          <w:sz w:val="24"/>
        </w:rPr>
        <w:t>项目专业质量检查员负责组织有关班组长参加各班组之间、各工种之间、在工序/检验批完工后，下一道工序/检验批工程开始之前，共同对前一道工序/检验批工程的检查即交接检。</w:t>
      </w:r>
    </w:p>
    <w:p w14:paraId="21623801">
      <w:pPr>
        <w:adjustRightInd w:val="0"/>
        <w:spacing w:line="500" w:lineRule="exact"/>
        <w:ind w:firstLine="480" w:firstLineChars="200"/>
        <w:contextualSpacing/>
        <w:rPr>
          <w:rFonts w:ascii="宋体" w:hAnsi="宋体" w:cs="仿宋"/>
          <w:sz w:val="24"/>
        </w:rPr>
      </w:pPr>
      <w:r>
        <w:rPr>
          <w:rFonts w:hint="eastAsia" w:ascii="宋体" w:hAnsi="宋体" w:cs="仿宋"/>
          <w:sz w:val="24"/>
        </w:rPr>
        <w:t>项目专业质量检查员和技术负责人组织检验批、分项工程质量的检查评定。</w:t>
      </w:r>
    </w:p>
    <w:p w14:paraId="5691C56E">
      <w:pPr>
        <w:adjustRightInd w:val="0"/>
        <w:spacing w:line="500" w:lineRule="exact"/>
        <w:ind w:firstLine="480" w:firstLineChars="200"/>
        <w:contextualSpacing/>
        <w:rPr>
          <w:rFonts w:ascii="宋体" w:hAnsi="宋体" w:cs="仿宋"/>
          <w:sz w:val="24"/>
        </w:rPr>
      </w:pPr>
      <w:r>
        <w:rPr>
          <w:rFonts w:hint="eastAsia" w:ascii="宋体" w:hAnsi="宋体" w:cs="仿宋"/>
          <w:sz w:val="24"/>
        </w:rPr>
        <w:t>项目经理组织分部（子分部）/专业分包工程的质量检查评定。</w:t>
      </w:r>
    </w:p>
    <w:p w14:paraId="7BD21316">
      <w:pPr>
        <w:adjustRightInd w:val="0"/>
        <w:spacing w:line="500" w:lineRule="exact"/>
        <w:ind w:firstLine="480" w:firstLineChars="200"/>
        <w:contextualSpacing/>
        <w:rPr>
          <w:rFonts w:ascii="宋体" w:hAnsi="宋体" w:cs="仿宋"/>
          <w:sz w:val="24"/>
        </w:rPr>
      </w:pPr>
      <w:r>
        <w:rPr>
          <w:rFonts w:hint="eastAsia" w:ascii="宋体" w:hAnsi="宋体" w:cs="仿宋"/>
          <w:sz w:val="24"/>
        </w:rPr>
        <w:t>企业技术负责人组织单位（子单位）工程质量的检查评定。</w:t>
      </w:r>
    </w:p>
    <w:p w14:paraId="75F0A749">
      <w:pPr>
        <w:adjustRightInd w:val="0"/>
        <w:spacing w:line="500" w:lineRule="exact"/>
        <w:ind w:firstLine="480" w:firstLineChars="200"/>
        <w:contextualSpacing/>
        <w:rPr>
          <w:rFonts w:ascii="宋体" w:hAnsi="宋体" w:cs="仿宋"/>
          <w:sz w:val="24"/>
        </w:rPr>
      </w:pPr>
      <w:r>
        <w:rPr>
          <w:rFonts w:hint="eastAsia" w:ascii="宋体" w:hAnsi="宋体" w:cs="仿宋"/>
          <w:sz w:val="24"/>
        </w:rPr>
        <w:t>对未按上述要求落实自检的，监理单位有权拒绝验收或签署不合格，同时对未履行相应验收职能的责任人及施工单位落实相关处罚。</w:t>
      </w:r>
    </w:p>
    <w:p w14:paraId="1E6DF5EB">
      <w:pPr>
        <w:adjustRightInd w:val="0"/>
        <w:spacing w:line="500" w:lineRule="exact"/>
        <w:ind w:firstLine="480" w:firstLineChars="200"/>
        <w:contextualSpacing/>
        <w:rPr>
          <w:rFonts w:ascii="宋体" w:hAnsi="宋体" w:cs="仿宋"/>
          <w:sz w:val="24"/>
        </w:rPr>
      </w:pPr>
      <w:r>
        <w:rPr>
          <w:rFonts w:hint="eastAsia" w:ascii="宋体" w:hAnsi="宋体" w:cs="仿宋"/>
          <w:sz w:val="24"/>
        </w:rPr>
        <w:t>施工单位应负责提供关键部位、环节施工及验收过程中的声像及影音资料，保证及时、完整、高质。</w:t>
      </w:r>
    </w:p>
    <w:p w14:paraId="2D6B8073">
      <w:pPr>
        <w:adjustRightInd w:val="0"/>
        <w:spacing w:line="500" w:lineRule="exact"/>
        <w:ind w:firstLine="480" w:firstLineChars="200"/>
        <w:contextualSpacing/>
        <w:rPr>
          <w:rFonts w:ascii="宋体" w:hAnsi="宋体" w:cs="仿宋"/>
          <w:sz w:val="24"/>
        </w:rPr>
      </w:pPr>
      <w:r>
        <w:rPr>
          <w:rFonts w:hint="eastAsia" w:ascii="宋体" w:hAnsi="宋体" w:cs="仿宋"/>
          <w:sz w:val="24"/>
        </w:rPr>
        <w:t>总承包在工程竣工验收合格后30天内，向代建单位提交符合城建档案馆及相关主管部门要求的竣工资料。</w:t>
      </w:r>
    </w:p>
    <w:p w14:paraId="6B19D7BB">
      <w:pPr>
        <w:adjustRightInd w:val="0"/>
        <w:spacing w:line="500" w:lineRule="exact"/>
        <w:ind w:firstLine="480" w:firstLineChars="200"/>
        <w:contextualSpacing/>
        <w:jc w:val="left"/>
        <w:outlineLvl w:val="9"/>
        <w:rPr>
          <w:rFonts w:hint="eastAsia" w:ascii="宋体" w:hAnsi="宋体" w:cs="仿宋"/>
          <w:sz w:val="24"/>
        </w:rPr>
      </w:pPr>
      <w:r>
        <w:rPr>
          <w:rFonts w:hint="eastAsia" w:ascii="宋体" w:hAnsi="宋体" w:cs="仿宋"/>
          <w:sz w:val="24"/>
        </w:rPr>
        <w:t>严格防控质量隐患和事故，执行质量事故的申报和处理制度。</w:t>
      </w:r>
    </w:p>
    <w:p w14:paraId="375D3B0C">
      <w:pPr>
        <w:rPr>
          <w:rFonts w:hint="eastAsia" w:ascii="宋体" w:hAnsi="宋体" w:cs="仿宋"/>
          <w:sz w:val="24"/>
        </w:rPr>
      </w:pPr>
      <w:r>
        <w:rPr>
          <w:rFonts w:hint="eastAsia" w:ascii="宋体" w:hAnsi="宋体" w:cs="仿宋"/>
          <w:sz w:val="24"/>
        </w:rPr>
        <w:br w:type="page"/>
      </w:r>
    </w:p>
    <w:p w14:paraId="7A793C5C">
      <w:pPr>
        <w:adjustRightInd w:val="0"/>
        <w:spacing w:line="500" w:lineRule="exact"/>
        <w:contextualSpacing/>
        <w:jc w:val="left"/>
        <w:outlineLvl w:val="1"/>
        <w:rPr>
          <w:rFonts w:ascii="黑体" w:hAnsi="黑体" w:eastAsia="黑体" w:cs="仿宋"/>
          <w:bCs/>
          <w:sz w:val="32"/>
          <w:szCs w:val="32"/>
        </w:rPr>
      </w:pPr>
      <w:r>
        <w:rPr>
          <w:rFonts w:hint="eastAsia" w:ascii="黑体" w:hAnsi="黑体" w:eastAsia="黑体" w:cs="仿宋"/>
          <w:bCs/>
          <w:sz w:val="32"/>
          <w:szCs w:val="32"/>
        </w:rPr>
        <w:t>附件13：</w:t>
      </w:r>
    </w:p>
    <w:p w14:paraId="2ECE00B9">
      <w:pPr>
        <w:keepNext/>
        <w:keepLines/>
        <w:adjustRightInd w:val="0"/>
        <w:spacing w:before="260" w:after="260" w:line="416" w:lineRule="auto"/>
        <w:jc w:val="center"/>
        <w:textAlignment w:val="baseline"/>
        <w:outlineLvl w:val="9"/>
        <w:rPr>
          <w:rFonts w:ascii="黑体" w:hAnsi="黑体" w:eastAsia="黑体" w:cs="仿宋"/>
          <w:bCs/>
          <w:sz w:val="32"/>
          <w:szCs w:val="32"/>
        </w:rPr>
      </w:pPr>
      <w:bookmarkStart w:id="91" w:name="_Toc59006226"/>
      <w:bookmarkStart w:id="92" w:name="_Toc176786405"/>
      <w:bookmarkStart w:id="93" w:name="_Toc11590503"/>
      <w:bookmarkStart w:id="94" w:name="_Toc178155255"/>
      <w:bookmarkStart w:id="95" w:name="_Toc217983412"/>
      <w:r>
        <w:rPr>
          <w:rFonts w:hint="eastAsia" w:ascii="黑体" w:hAnsi="黑体" w:eastAsia="黑体" w:cs="仿宋"/>
          <w:bCs/>
          <w:sz w:val="32"/>
          <w:szCs w:val="32"/>
        </w:rPr>
        <w:t>廉政责任书格式</w:t>
      </w:r>
      <w:bookmarkEnd w:id="91"/>
      <w:bookmarkEnd w:id="92"/>
      <w:bookmarkEnd w:id="93"/>
      <w:bookmarkEnd w:id="94"/>
      <w:bookmarkEnd w:id="95"/>
    </w:p>
    <w:p w14:paraId="34D65960">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根据有关工程建设、廉政建设的规定，为做好工程建设中的党风廉政建设，保证工程建设高效优质，保证建设资金的安全和有效使用以及投资效益，</w:t>
      </w:r>
      <w:r>
        <w:rPr>
          <w:rFonts w:hint="eastAsia" w:ascii="宋体" w:hAnsi="宋体" w:cs="仿宋"/>
          <w:sz w:val="24"/>
          <w:u w:val="single"/>
        </w:rPr>
        <w:t>(以下称甲方)</w:t>
      </w:r>
      <w:r>
        <w:rPr>
          <w:rFonts w:hint="eastAsia" w:ascii="宋体" w:hAnsi="宋体" w:cs="仿宋"/>
          <w:sz w:val="24"/>
        </w:rPr>
        <w:t>与承包人</w:t>
      </w:r>
      <w:r>
        <w:rPr>
          <w:rFonts w:hint="eastAsia" w:ascii="宋体" w:hAnsi="宋体" w:cs="仿宋"/>
          <w:sz w:val="24"/>
          <w:u w:val="single"/>
        </w:rPr>
        <w:t xml:space="preserve">                 (以下称乙方)</w:t>
      </w:r>
      <w:r>
        <w:rPr>
          <w:rFonts w:hint="eastAsia" w:ascii="宋体" w:hAnsi="宋体" w:cs="仿宋"/>
          <w:sz w:val="24"/>
        </w:rPr>
        <w:t>，特订立如下合同。</w:t>
      </w:r>
    </w:p>
    <w:p w14:paraId="2655678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第一条  甲乙双方的权利和义务</w:t>
      </w:r>
    </w:p>
    <w:p w14:paraId="566CBD0F">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(一)严格遵守党和国家有关法律法规及建设部的有关规定。</w:t>
      </w:r>
    </w:p>
    <w:p w14:paraId="6F17A6E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(二)严格执行工程施工合同文件，自觉按合同办事。</w:t>
      </w:r>
    </w:p>
    <w:p w14:paraId="721236B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(三)双方的业务活动坚持公开、公正、诚信、透明的原则(除法律认定的商业秘密和合同文件另有规定之外)，不得损害国家和集体利益，违反工程建设管理规章制度。</w:t>
      </w:r>
    </w:p>
    <w:p w14:paraId="7378DC0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(四)建立健全廉政制度，开展廉政教育，设立廉政告示牌，公布举报电话，监督并认真查处违法违纪行为。</w:t>
      </w:r>
    </w:p>
    <w:p w14:paraId="47B9B9B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(五)发现对方在业务活动中有违反廉政规定的行为，有及时提醒对方纠正的权利和义务。</w:t>
      </w:r>
    </w:p>
    <w:p w14:paraId="15B2E974">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第二条  甲方的义务</w:t>
      </w:r>
    </w:p>
    <w:p w14:paraId="5E12841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(一)甲方及其工作人员不得索要或接受乙方的礼金、有价证券和贵重物品，不得在乙方报销任何应由甲方或个人支付的费用等。</w:t>
      </w:r>
    </w:p>
    <w:p w14:paraId="6B09FDF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(二)甲方工作人员不得参加乙方安排的超标准宴请和娱乐活动，不得接受乙方提供的通讯工具、交通工具和高档办公用品等。</w:t>
      </w:r>
    </w:p>
    <w:p w14:paraId="22C7B10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(三)甲方及其工作人员不得要求或者接受乙方为其住房装修、婚丧嫁娶活动、配偶子女的工作安排以及出国出境、旅游等提供方便等。</w:t>
      </w:r>
    </w:p>
    <w:p w14:paraId="1BE6A5B5">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(四)甲方工作人员的配偶、子女不得从事与甲方工程有关的材料设备供应、工程分包、劳务等经济活动等。</w:t>
      </w:r>
    </w:p>
    <w:p w14:paraId="25F3FFD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(五)甲方及其工作人员不得以任何理由向乙方推荐分包单位，不得要求乙方购买合同外的材料和设备。</w:t>
      </w:r>
    </w:p>
    <w:p w14:paraId="140FD878">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第三条  乙方义务</w:t>
      </w:r>
    </w:p>
    <w:p w14:paraId="5566DDC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(一) 乙方不得以任何理由向甲方及其工作人员行贿或馈赠礼金，有价证券、贵重礼品。</w:t>
      </w:r>
    </w:p>
    <w:p w14:paraId="31E01922">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(二) 乙方不得以任何名义为甲方及其工作人员报销应由甲方单位或个人支付的任何费用。</w:t>
      </w:r>
    </w:p>
    <w:p w14:paraId="4D03307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(三) 乙方不得以任何理由安排甲方工作人员参加超标准宴请及娱乐活动。</w:t>
      </w:r>
    </w:p>
    <w:p w14:paraId="3DDFB751">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(四) 乙方不得为甲方单位和个人购置或提供通讯工具、交通工具和高档办公用品等。</w:t>
      </w:r>
    </w:p>
    <w:p w14:paraId="1B8B2FFE">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第四条  违约责任</w:t>
      </w:r>
    </w:p>
    <w:p w14:paraId="3F99D65B">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(一)甲方及其工作人员违反本合同第—、二条，按管理权限，依据有关规定给予党纪、政纪或组织处理；涉嫌犯罪的移交司法机关追究刑事责任；给乙方单位造成经济损失的，应予以赔偿。</w:t>
      </w:r>
    </w:p>
    <w:p w14:paraId="5BA8A7CC">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(二) 乙方及其工作人员违反本合同第一、三条，按管理权限，依据有关规定，给予党纪、政纪或组织处理：给甲方单位造成经济损失的，应予以赔偿；情节严重的，甲方建议工程建设主管部门给予乙方一至三年内不得进入其主管的工程建筑市场的处罚。</w:t>
      </w:r>
    </w:p>
    <w:p w14:paraId="66CED9EA">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第五条  双方约定</w:t>
      </w:r>
    </w:p>
    <w:p w14:paraId="4F8BFE03">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本合同由双方或双方上级单位的纪检监察机关负责监督。由甲方或甲方上级单位的纪检监察机关约请乙方或乙方上级单位纪检监察机关对本合同履行情况进行检查提出在本合同规定范围内的裁定意见。</w:t>
      </w:r>
    </w:p>
    <w:p w14:paraId="7136A8D6">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第六条 本合同有效期为甲乙双方签署之日起至该工程项目竣工验收后止。</w:t>
      </w:r>
    </w:p>
    <w:p w14:paraId="1764364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第七条 本合同作为</w:t>
      </w:r>
      <w:r>
        <w:rPr>
          <w:rFonts w:hint="eastAsia" w:ascii="宋体" w:hAnsi="宋体" w:cs="仿宋"/>
          <w:sz w:val="24"/>
          <w:u w:val="single"/>
        </w:rPr>
        <w:t>浙商银行分行新大楼弱电工程</w:t>
      </w:r>
      <w:r>
        <w:rPr>
          <w:rFonts w:hint="eastAsia" w:ascii="宋体" w:hAnsi="宋体" w:cs="仿宋"/>
          <w:sz w:val="24"/>
        </w:rPr>
        <w:t>工程施工合同的附件，与工程施工合同具有同等的法律效力，经合同双方签署立即生效。</w:t>
      </w:r>
    </w:p>
    <w:p w14:paraId="28014599">
      <w:pPr>
        <w:adjustRightInd w:val="0"/>
        <w:spacing w:line="500" w:lineRule="exact"/>
        <w:ind w:firstLine="480" w:firstLineChars="200"/>
        <w:contextualSpacing/>
        <w:jc w:val="left"/>
        <w:rPr>
          <w:rFonts w:ascii="宋体" w:hAnsi="宋体" w:cs="仿宋"/>
          <w:sz w:val="24"/>
        </w:rPr>
      </w:pPr>
      <w:r>
        <w:rPr>
          <w:rFonts w:hint="eastAsia" w:ascii="宋体" w:hAnsi="宋体" w:cs="仿宋"/>
          <w:sz w:val="24"/>
        </w:rPr>
        <w:t>第八条 本合同甲、乙双方各执一份。</w:t>
      </w:r>
    </w:p>
    <w:p w14:paraId="55B8F9C5">
      <w:pPr>
        <w:adjustRightInd w:val="0"/>
        <w:spacing w:line="500" w:lineRule="exact"/>
        <w:ind w:firstLine="480" w:firstLineChars="200"/>
        <w:contextualSpacing/>
        <w:jc w:val="left"/>
        <w:rPr>
          <w:rFonts w:ascii="宋体" w:hAnsi="宋体" w:cs="仿宋"/>
          <w:sz w:val="24"/>
        </w:rPr>
      </w:pPr>
    </w:p>
    <w:p w14:paraId="2341EDF2">
      <w:pPr>
        <w:adjustRightInd w:val="0"/>
        <w:spacing w:line="500" w:lineRule="exact"/>
        <w:ind w:firstLine="480" w:firstLineChars="200"/>
        <w:contextualSpacing/>
        <w:rPr>
          <w:rFonts w:ascii="宋体" w:hAnsi="宋体" w:cs="仿宋"/>
          <w:sz w:val="24"/>
        </w:rPr>
      </w:pPr>
      <w:r>
        <w:rPr>
          <w:rFonts w:hint="eastAsia" w:ascii="宋体" w:hAnsi="宋体" w:cs="仿宋"/>
          <w:sz w:val="24"/>
        </w:rPr>
        <w:t>甲方（盖章）：乙方（盖章）：</w:t>
      </w:r>
    </w:p>
    <w:p w14:paraId="3B351A79">
      <w:pPr>
        <w:adjustRightInd w:val="0"/>
        <w:spacing w:line="500" w:lineRule="exact"/>
        <w:ind w:firstLine="480" w:firstLineChars="200"/>
        <w:contextualSpacing/>
        <w:rPr>
          <w:rFonts w:ascii="宋体" w:hAnsi="宋体" w:cs="仿宋"/>
          <w:sz w:val="24"/>
        </w:rPr>
      </w:pPr>
      <w:r>
        <w:rPr>
          <w:rFonts w:hint="eastAsia" w:ascii="宋体" w:hAnsi="宋体" w:cs="仿宋"/>
          <w:sz w:val="24"/>
        </w:rPr>
        <w:t xml:space="preserve">法定代表人/负责人/授权代理人： </w:t>
      </w:r>
      <w:r>
        <w:rPr>
          <w:rFonts w:ascii="宋体" w:hAnsi="宋体" w:cs="仿宋"/>
          <w:sz w:val="24"/>
        </w:rPr>
        <w:t xml:space="preserve">        </w:t>
      </w:r>
      <w:r>
        <w:rPr>
          <w:rFonts w:hint="eastAsia" w:ascii="宋体" w:hAnsi="宋体" w:cs="仿宋"/>
          <w:sz w:val="24"/>
        </w:rPr>
        <w:t>法定代表人/负责人/授权代理人：</w:t>
      </w:r>
    </w:p>
    <w:p w14:paraId="3D499290">
      <w:pPr>
        <w:tabs>
          <w:tab w:val="left" w:pos="5150"/>
        </w:tabs>
        <w:adjustRightInd w:val="0"/>
        <w:spacing w:line="500" w:lineRule="exact"/>
        <w:ind w:right="7" w:firstLine="480" w:firstLineChars="200"/>
        <w:contextualSpacing/>
        <w:rPr>
          <w:rFonts w:ascii="宋体" w:hAnsi="宋体" w:cs="仿宋"/>
          <w:sz w:val="24"/>
        </w:rPr>
      </w:pPr>
      <w:r>
        <w:rPr>
          <w:rFonts w:hint="eastAsia" w:ascii="宋体" w:hAnsi="宋体" w:cs="仿宋"/>
          <w:sz w:val="24"/>
        </w:rPr>
        <w:t xml:space="preserve">日期：年月日 </w:t>
      </w:r>
      <w:r>
        <w:rPr>
          <w:rFonts w:ascii="宋体" w:hAnsi="宋体" w:cs="仿宋"/>
          <w:sz w:val="24"/>
        </w:rPr>
        <w:t xml:space="preserve">                           </w:t>
      </w:r>
      <w:r>
        <w:rPr>
          <w:rFonts w:hint="eastAsia" w:ascii="宋体" w:hAnsi="宋体" w:cs="仿宋"/>
          <w:sz w:val="24"/>
        </w:rPr>
        <w:t>日期：年月日</w:t>
      </w:r>
    </w:p>
    <w:p w14:paraId="3AC54F6C">
      <w:pPr>
        <w:keepNext/>
        <w:keepLines/>
        <w:adjustRightInd w:val="0"/>
        <w:snapToGrid w:val="0"/>
        <w:spacing w:before="260" w:after="260"/>
        <w:jc w:val="left"/>
        <w:textAlignment w:val="baseline"/>
        <w:outlineLvl w:val="1"/>
        <w:rPr>
          <w:rFonts w:ascii="黑体" w:hAnsi="黑体" w:eastAsia="黑体" w:cs="仿宋"/>
          <w:bCs/>
          <w:sz w:val="32"/>
          <w:szCs w:val="32"/>
        </w:rPr>
      </w:pPr>
      <w:r>
        <w:rPr>
          <w:rFonts w:hint="eastAsia" w:ascii="仿宋" w:hAnsi="仿宋" w:eastAsia="仿宋_GB2312" w:cs="仿宋"/>
          <w:b/>
          <w:bCs/>
          <w:sz w:val="24"/>
        </w:rPr>
        <w:br w:type="column"/>
      </w:r>
      <w:bookmarkStart w:id="96" w:name="_Toc176786406"/>
      <w:bookmarkStart w:id="97" w:name="_Toc59006227"/>
      <w:bookmarkStart w:id="98" w:name="_Toc178155256"/>
      <w:bookmarkStart w:id="99" w:name="_Toc217983413"/>
      <w:r>
        <w:rPr>
          <w:rFonts w:hint="eastAsia" w:ascii="黑体" w:hAnsi="黑体" w:eastAsia="黑体" w:cs="仿宋"/>
          <w:bCs/>
          <w:sz w:val="32"/>
          <w:szCs w:val="32"/>
        </w:rPr>
        <w:t>附件14：</w:t>
      </w:r>
      <w:bookmarkEnd w:id="96"/>
      <w:bookmarkEnd w:id="97"/>
      <w:bookmarkEnd w:id="98"/>
      <w:bookmarkEnd w:id="99"/>
    </w:p>
    <w:p w14:paraId="4FC0E080">
      <w:pPr>
        <w:keepNext/>
        <w:keepLines/>
        <w:adjustRightInd w:val="0"/>
        <w:snapToGrid w:val="0"/>
        <w:spacing w:before="260" w:after="260"/>
        <w:jc w:val="center"/>
        <w:textAlignment w:val="baseline"/>
        <w:outlineLvl w:val="9"/>
        <w:rPr>
          <w:rFonts w:ascii="黑体" w:hAnsi="黑体" w:eastAsia="黑体" w:cs="仿宋"/>
          <w:bCs/>
          <w:sz w:val="32"/>
          <w:szCs w:val="32"/>
        </w:rPr>
      </w:pPr>
      <w:bookmarkStart w:id="100" w:name="_Toc217983414"/>
      <w:bookmarkStart w:id="101" w:name="_Toc11590504"/>
      <w:bookmarkStart w:id="102" w:name="_Toc176786407"/>
      <w:bookmarkStart w:id="103" w:name="_Toc59006228"/>
      <w:bookmarkStart w:id="104" w:name="_Toc178155257"/>
      <w:r>
        <w:rPr>
          <w:rFonts w:hint="eastAsia" w:ascii="黑体" w:hAnsi="黑体" w:eastAsia="黑体" w:cs="仿宋"/>
          <w:bCs/>
          <w:sz w:val="32"/>
          <w:szCs w:val="32"/>
        </w:rPr>
        <w:t>施工安全协议</w:t>
      </w:r>
      <w:bookmarkEnd w:id="100"/>
      <w:bookmarkEnd w:id="101"/>
      <w:bookmarkEnd w:id="102"/>
      <w:bookmarkEnd w:id="103"/>
      <w:bookmarkEnd w:id="104"/>
    </w:p>
    <w:p w14:paraId="6B4B2AEE">
      <w:pPr>
        <w:adjustRightInd w:val="0"/>
        <w:spacing w:line="500" w:lineRule="exact"/>
        <w:ind w:firstLine="480" w:firstLineChars="200"/>
        <w:contextualSpacing/>
        <w:rPr>
          <w:rFonts w:ascii="宋体" w:hAnsi="宋体" w:cs="仿宋"/>
          <w:sz w:val="24"/>
        </w:rPr>
      </w:pPr>
      <w:r>
        <w:rPr>
          <w:rFonts w:hint="eastAsia" w:ascii="宋体" w:hAnsi="宋体" w:cs="仿宋"/>
          <w:sz w:val="24"/>
        </w:rPr>
        <w:t>建设单位（以下简称甲方）：</w:t>
      </w:r>
    </w:p>
    <w:p w14:paraId="47384FCF">
      <w:pPr>
        <w:adjustRightInd w:val="0"/>
        <w:spacing w:line="500" w:lineRule="exact"/>
        <w:ind w:firstLine="480" w:firstLineChars="200"/>
        <w:contextualSpacing/>
        <w:rPr>
          <w:rFonts w:ascii="宋体" w:hAnsi="宋体" w:cs="仿宋"/>
          <w:sz w:val="24"/>
        </w:rPr>
      </w:pPr>
      <w:r>
        <w:rPr>
          <w:rFonts w:hint="eastAsia" w:ascii="宋体" w:hAnsi="宋体" w:cs="仿宋"/>
          <w:sz w:val="24"/>
        </w:rPr>
        <w:t>承包单位（以下简称乙方）：</w:t>
      </w:r>
    </w:p>
    <w:p w14:paraId="7D95C667">
      <w:pPr>
        <w:adjustRightInd w:val="0"/>
        <w:spacing w:line="500" w:lineRule="exact"/>
        <w:ind w:firstLine="480" w:firstLineChars="200"/>
        <w:contextualSpacing/>
        <w:rPr>
          <w:rFonts w:ascii="宋体" w:hAnsi="宋体" w:cs="仿宋"/>
          <w:sz w:val="24"/>
        </w:rPr>
      </w:pPr>
      <w:r>
        <w:rPr>
          <w:rFonts w:hint="eastAsia" w:ascii="宋体" w:hAnsi="宋体" w:cs="仿宋"/>
          <w:sz w:val="24"/>
        </w:rPr>
        <w:t>工程名称：</w:t>
      </w:r>
    </w:p>
    <w:p w14:paraId="6F041EEE">
      <w:pPr>
        <w:adjustRightInd w:val="0"/>
        <w:spacing w:line="500" w:lineRule="exact"/>
        <w:ind w:firstLine="480" w:firstLineChars="200"/>
        <w:contextualSpacing/>
        <w:rPr>
          <w:rFonts w:ascii="宋体" w:hAnsi="宋体" w:cs="仿宋"/>
          <w:sz w:val="24"/>
          <w:u w:val="single"/>
        </w:rPr>
      </w:pPr>
      <w:r>
        <w:rPr>
          <w:rFonts w:hint="eastAsia" w:ascii="宋体" w:hAnsi="宋体" w:cs="仿宋"/>
          <w:sz w:val="24"/>
        </w:rPr>
        <w:t>工程地点：</w:t>
      </w:r>
    </w:p>
    <w:p w14:paraId="2EC8E588">
      <w:pPr>
        <w:adjustRightInd w:val="0"/>
        <w:spacing w:line="500" w:lineRule="exact"/>
        <w:ind w:firstLine="480" w:firstLineChars="200"/>
        <w:contextualSpacing/>
        <w:rPr>
          <w:rFonts w:ascii="宋体" w:hAnsi="宋体" w:cs="仿宋"/>
          <w:sz w:val="24"/>
        </w:rPr>
      </w:pPr>
      <w:r>
        <w:rPr>
          <w:rFonts w:hint="eastAsia" w:ascii="宋体" w:hAnsi="宋体" w:cs="仿宋"/>
          <w:sz w:val="24"/>
        </w:rPr>
        <w:t>为了切实加强施工现场安全生产管理，依照《中华人民共和国安全生产法》、《中华人民共和国建筑法》、《中华人民共和国民法典》以及《建设工程安全生产管理条例》、建设部《施工现场临时用电安全技术规范》（JGJ46-88）、《建筑施工安全检查标准》（JGJ59-99），双方本着平等、自愿的原则，签订本协议书。</w:t>
      </w:r>
    </w:p>
    <w:p w14:paraId="33D30D86">
      <w:pPr>
        <w:adjustRightInd w:val="0"/>
        <w:spacing w:line="500" w:lineRule="exact"/>
        <w:ind w:firstLine="480" w:firstLineChars="200"/>
        <w:contextualSpacing/>
        <w:rPr>
          <w:rFonts w:ascii="宋体" w:hAnsi="宋体" w:cs="仿宋"/>
          <w:sz w:val="24"/>
        </w:rPr>
      </w:pPr>
      <w:r>
        <w:rPr>
          <w:rFonts w:hint="eastAsia" w:ascii="宋体" w:hAnsi="宋体" w:cs="仿宋"/>
          <w:sz w:val="24"/>
        </w:rPr>
        <w:t>甲方和乙方均严格遵守本协议书规定的权力、责任和义务，确保施工现场的安全生产和施工现场临时用电的安全。</w:t>
      </w:r>
    </w:p>
    <w:p w14:paraId="74E1D1BF">
      <w:pPr>
        <w:adjustRightInd w:val="0"/>
        <w:spacing w:line="500" w:lineRule="exact"/>
        <w:ind w:firstLine="480" w:firstLineChars="200"/>
        <w:contextualSpacing/>
        <w:rPr>
          <w:rFonts w:ascii="宋体" w:hAnsi="宋体" w:cs="仿宋"/>
          <w:sz w:val="24"/>
        </w:rPr>
      </w:pPr>
      <w:r>
        <w:rPr>
          <w:rFonts w:hint="eastAsia" w:ascii="宋体" w:hAnsi="宋体" w:cs="仿宋"/>
          <w:sz w:val="24"/>
        </w:rPr>
        <w:t>一、甲方的权利、责任和义务</w:t>
      </w:r>
    </w:p>
    <w:p w14:paraId="211B42C9">
      <w:pPr>
        <w:adjustRightInd w:val="0"/>
        <w:spacing w:line="500" w:lineRule="exact"/>
        <w:ind w:firstLine="480" w:firstLineChars="200"/>
        <w:contextualSpacing/>
        <w:rPr>
          <w:rFonts w:ascii="宋体" w:hAnsi="宋体" w:cs="仿宋"/>
          <w:sz w:val="24"/>
        </w:rPr>
      </w:pPr>
      <w:r>
        <w:rPr>
          <w:rFonts w:hint="eastAsia" w:ascii="宋体" w:hAnsi="宋体" w:cs="仿宋"/>
          <w:sz w:val="24"/>
        </w:rPr>
        <w:t>1．贯彻落实国家有关施工现场安全生产、文明施工的法规和管理规定，对乙方施工现场和区域进行全面的安全生产管理和监督检查并对施工现场临时用电进行安全检查与指导。</w:t>
      </w:r>
    </w:p>
    <w:p w14:paraId="3F7CE176">
      <w:pPr>
        <w:adjustRightInd w:val="0"/>
        <w:spacing w:line="500" w:lineRule="exact"/>
        <w:ind w:firstLine="480" w:firstLineChars="200"/>
        <w:contextualSpacing/>
        <w:rPr>
          <w:rFonts w:ascii="宋体" w:hAnsi="宋体" w:cs="仿宋"/>
          <w:sz w:val="24"/>
        </w:rPr>
      </w:pPr>
      <w:r>
        <w:rPr>
          <w:rFonts w:hint="eastAsia" w:ascii="宋体" w:hAnsi="宋体" w:cs="仿宋"/>
          <w:sz w:val="24"/>
        </w:rPr>
        <w:t>2．及时纠正乙方施工人员违章指挥和违章作业行为，并按照有关规定予以查处。对乙方施工区域内的重大安全事故隐患，应开具隐患通知单。</w:t>
      </w:r>
    </w:p>
    <w:p w14:paraId="048B5B91">
      <w:pPr>
        <w:adjustRightInd w:val="0"/>
        <w:spacing w:line="500" w:lineRule="exact"/>
        <w:ind w:firstLine="480" w:firstLineChars="200"/>
        <w:contextualSpacing/>
        <w:rPr>
          <w:rFonts w:ascii="宋体" w:hAnsi="宋体" w:cs="仿宋"/>
          <w:sz w:val="24"/>
        </w:rPr>
      </w:pPr>
      <w:r>
        <w:rPr>
          <w:rFonts w:hint="eastAsia" w:ascii="宋体" w:hAnsi="宋体" w:cs="仿宋"/>
          <w:sz w:val="24"/>
        </w:rPr>
        <w:t>3．要求乙方提供施工现场《生产安全事故应急救援预案》。</w:t>
      </w:r>
    </w:p>
    <w:p w14:paraId="28C86F7D">
      <w:pPr>
        <w:adjustRightInd w:val="0"/>
        <w:spacing w:line="500" w:lineRule="exact"/>
        <w:ind w:firstLine="480" w:firstLineChars="200"/>
        <w:contextualSpacing/>
        <w:rPr>
          <w:rFonts w:ascii="宋体" w:hAnsi="宋体" w:cs="仿宋"/>
          <w:sz w:val="24"/>
        </w:rPr>
      </w:pPr>
      <w:r>
        <w:rPr>
          <w:rFonts w:hint="eastAsia" w:ascii="宋体" w:hAnsi="宋体" w:cs="仿宋"/>
          <w:sz w:val="24"/>
        </w:rPr>
        <w:t>4．建立健全施工现场各项安全生产管理制度。</w:t>
      </w:r>
    </w:p>
    <w:p w14:paraId="451C53F9">
      <w:pPr>
        <w:adjustRightInd w:val="0"/>
        <w:spacing w:line="500" w:lineRule="exact"/>
        <w:ind w:firstLine="480" w:firstLineChars="200"/>
        <w:contextualSpacing/>
        <w:rPr>
          <w:rFonts w:ascii="宋体" w:hAnsi="宋体" w:cs="仿宋"/>
          <w:sz w:val="24"/>
        </w:rPr>
      </w:pPr>
      <w:r>
        <w:rPr>
          <w:rFonts w:hint="eastAsia" w:ascii="宋体" w:hAnsi="宋体" w:cs="仿宋"/>
          <w:sz w:val="24"/>
        </w:rPr>
        <w:t>5．对乙方的安全生产培训、劳动保护用品的使用和危险预知工作提出指导意见，并监督落实情况。</w:t>
      </w:r>
    </w:p>
    <w:p w14:paraId="18EDA014">
      <w:pPr>
        <w:adjustRightInd w:val="0"/>
        <w:spacing w:line="500" w:lineRule="exact"/>
        <w:ind w:firstLine="480" w:firstLineChars="200"/>
        <w:contextualSpacing/>
        <w:rPr>
          <w:rFonts w:ascii="宋体" w:hAnsi="宋体" w:cs="仿宋"/>
          <w:sz w:val="24"/>
        </w:rPr>
      </w:pPr>
      <w:r>
        <w:rPr>
          <w:rFonts w:hint="eastAsia" w:ascii="宋体" w:hAnsi="宋体" w:cs="仿宋"/>
          <w:sz w:val="24"/>
        </w:rPr>
        <w:t>6．对乙方提出的安全生产要求积极提供帮助。</w:t>
      </w:r>
    </w:p>
    <w:p w14:paraId="77BEDC10">
      <w:pPr>
        <w:adjustRightInd w:val="0"/>
        <w:spacing w:line="500" w:lineRule="exact"/>
        <w:ind w:firstLine="480" w:firstLineChars="200"/>
        <w:contextualSpacing/>
        <w:rPr>
          <w:rFonts w:ascii="宋体" w:hAnsi="宋体" w:cs="仿宋"/>
          <w:sz w:val="24"/>
        </w:rPr>
      </w:pPr>
      <w:r>
        <w:rPr>
          <w:rFonts w:hint="eastAsia" w:ascii="宋体" w:hAnsi="宋体" w:cs="仿宋"/>
          <w:sz w:val="24"/>
        </w:rPr>
        <w:t>7．向乙方提供电源时，应与乙方办理交接验收手续。</w:t>
      </w:r>
    </w:p>
    <w:p w14:paraId="30E96D8E">
      <w:pPr>
        <w:adjustRightInd w:val="0"/>
        <w:spacing w:line="500" w:lineRule="exact"/>
        <w:ind w:firstLine="480" w:firstLineChars="200"/>
        <w:contextualSpacing/>
        <w:rPr>
          <w:rFonts w:ascii="宋体" w:hAnsi="宋体" w:cs="仿宋"/>
          <w:sz w:val="24"/>
        </w:rPr>
      </w:pPr>
      <w:r>
        <w:rPr>
          <w:rFonts w:hint="eastAsia" w:ascii="宋体" w:hAnsi="宋体" w:cs="仿宋"/>
          <w:sz w:val="24"/>
        </w:rPr>
        <w:t>8．按照有关临时用电标准对乙方的临时用电设备设施进行监督和检查。发现乙方在临时用电中存在隐患必须责成乙方以整改。并监督整改落实情况。</w:t>
      </w:r>
    </w:p>
    <w:p w14:paraId="5B59E9C2">
      <w:pPr>
        <w:adjustRightInd w:val="0"/>
        <w:spacing w:line="500" w:lineRule="exact"/>
        <w:ind w:firstLine="480" w:firstLineChars="200"/>
        <w:contextualSpacing/>
        <w:rPr>
          <w:rFonts w:ascii="宋体" w:hAnsi="宋体" w:cs="仿宋"/>
          <w:sz w:val="24"/>
        </w:rPr>
      </w:pPr>
      <w:r>
        <w:rPr>
          <w:rFonts w:hint="eastAsia" w:ascii="宋体" w:hAnsi="宋体" w:cs="仿宋"/>
          <w:sz w:val="24"/>
        </w:rPr>
        <w:t>9．对乙方特种作业人员的名单、操作证复印件及培训记录进行存档备案。</w:t>
      </w:r>
    </w:p>
    <w:p w14:paraId="34C900F4">
      <w:pPr>
        <w:adjustRightInd w:val="0"/>
        <w:spacing w:line="500" w:lineRule="exact"/>
        <w:ind w:firstLine="480" w:firstLineChars="200"/>
        <w:contextualSpacing/>
        <w:rPr>
          <w:rFonts w:ascii="宋体" w:hAnsi="宋体" w:cs="仿宋"/>
          <w:sz w:val="24"/>
        </w:rPr>
      </w:pPr>
      <w:r>
        <w:rPr>
          <w:rFonts w:hint="eastAsia" w:ascii="宋体" w:hAnsi="宋体" w:cs="仿宋"/>
          <w:sz w:val="24"/>
        </w:rPr>
        <w:t>二、乙方的权利、责任和义务：</w:t>
      </w:r>
    </w:p>
    <w:p w14:paraId="1DF6948E">
      <w:pPr>
        <w:adjustRightInd w:val="0"/>
        <w:spacing w:line="500" w:lineRule="exact"/>
        <w:ind w:firstLine="480" w:firstLineChars="200"/>
        <w:contextualSpacing/>
        <w:rPr>
          <w:rFonts w:ascii="宋体" w:hAnsi="宋体" w:cs="仿宋"/>
          <w:sz w:val="24"/>
        </w:rPr>
      </w:pPr>
      <w:r>
        <w:rPr>
          <w:rFonts w:hint="eastAsia" w:ascii="宋体" w:hAnsi="宋体" w:cs="仿宋"/>
          <w:sz w:val="24"/>
        </w:rPr>
        <w:t>1．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p>
    <w:p w14:paraId="34DAF9C6">
      <w:pPr>
        <w:adjustRightInd w:val="0"/>
        <w:spacing w:line="500" w:lineRule="exact"/>
        <w:ind w:firstLine="480" w:firstLineChars="200"/>
        <w:contextualSpacing/>
        <w:rPr>
          <w:rFonts w:ascii="宋体" w:hAnsi="宋体" w:cs="仿宋"/>
          <w:sz w:val="24"/>
        </w:rPr>
      </w:pPr>
      <w:r>
        <w:rPr>
          <w:rFonts w:hint="eastAsia" w:ascii="宋体" w:hAnsi="宋体" w:cs="仿宋"/>
          <w:sz w:val="24"/>
        </w:rPr>
        <w:t>2．服从甲方安全生产管理。</w:t>
      </w:r>
    </w:p>
    <w:p w14:paraId="17E75AFC">
      <w:pPr>
        <w:adjustRightInd w:val="0"/>
        <w:spacing w:line="500" w:lineRule="exact"/>
        <w:ind w:firstLine="480" w:firstLineChars="200"/>
        <w:contextualSpacing/>
        <w:rPr>
          <w:rFonts w:ascii="宋体" w:hAnsi="宋体" w:cs="仿宋"/>
          <w:sz w:val="24"/>
        </w:rPr>
      </w:pPr>
      <w:r>
        <w:rPr>
          <w:rFonts w:hint="eastAsia" w:ascii="宋体" w:hAnsi="宋体" w:cs="仿宋"/>
          <w:sz w:val="24"/>
        </w:rPr>
        <w:t>3．乙方必须为施工作业人员参加人身意外保险。</w:t>
      </w:r>
    </w:p>
    <w:p w14:paraId="590B795C">
      <w:pPr>
        <w:adjustRightInd w:val="0"/>
        <w:spacing w:line="500" w:lineRule="exact"/>
        <w:ind w:firstLine="480" w:firstLineChars="200"/>
        <w:contextualSpacing/>
        <w:rPr>
          <w:rFonts w:ascii="宋体" w:hAnsi="宋体" w:cs="仿宋"/>
          <w:sz w:val="24"/>
        </w:rPr>
      </w:pPr>
      <w:r>
        <w:rPr>
          <w:rFonts w:hint="eastAsia" w:ascii="宋体" w:hAnsi="宋体" w:cs="仿宋"/>
          <w:sz w:val="24"/>
        </w:rPr>
        <w:t>4．乙方造成生产安全事故，导致人员伤亡时，由乙方承担事故责任和经济责任。</w:t>
      </w:r>
    </w:p>
    <w:p w14:paraId="4CE86577">
      <w:pPr>
        <w:adjustRightInd w:val="0"/>
        <w:spacing w:line="500" w:lineRule="exact"/>
        <w:ind w:firstLine="480" w:firstLineChars="200"/>
        <w:contextualSpacing/>
        <w:rPr>
          <w:rFonts w:ascii="宋体" w:hAnsi="宋体" w:cs="仿宋"/>
          <w:sz w:val="24"/>
        </w:rPr>
      </w:pPr>
      <w:r>
        <w:rPr>
          <w:rFonts w:hint="eastAsia" w:ascii="宋体" w:hAnsi="宋体" w:cs="仿宋"/>
          <w:sz w:val="24"/>
        </w:rPr>
        <w:t>5．未经安全生产教育培训和无证人员，不得上岗作业。</w:t>
      </w:r>
    </w:p>
    <w:p w14:paraId="641503CD">
      <w:pPr>
        <w:adjustRightInd w:val="0"/>
        <w:spacing w:line="500" w:lineRule="exact"/>
        <w:ind w:firstLine="480" w:firstLineChars="200"/>
        <w:contextualSpacing/>
        <w:rPr>
          <w:rFonts w:ascii="宋体" w:hAnsi="宋体" w:cs="仿宋"/>
          <w:sz w:val="24"/>
        </w:rPr>
      </w:pPr>
      <w:r>
        <w:rPr>
          <w:rFonts w:hint="eastAsia" w:ascii="宋体" w:hAnsi="宋体" w:cs="仿宋"/>
          <w:sz w:val="24"/>
        </w:rPr>
        <w:t>三、协议内容：</w:t>
      </w:r>
    </w:p>
    <w:p w14:paraId="13703CD7">
      <w:pPr>
        <w:adjustRightInd w:val="0"/>
        <w:spacing w:line="500" w:lineRule="exact"/>
        <w:ind w:firstLine="480" w:firstLineChars="200"/>
        <w:contextualSpacing/>
        <w:rPr>
          <w:rFonts w:ascii="宋体" w:hAnsi="宋体" w:cs="仿宋"/>
          <w:sz w:val="24"/>
        </w:rPr>
      </w:pPr>
      <w:r>
        <w:rPr>
          <w:rFonts w:hint="eastAsia" w:ascii="宋体" w:hAnsi="宋体" w:cs="仿宋"/>
          <w:sz w:val="24"/>
        </w:rPr>
        <w:t>(一)登高上架要求</w:t>
      </w:r>
    </w:p>
    <w:p w14:paraId="643F73D3">
      <w:pPr>
        <w:adjustRightInd w:val="0"/>
        <w:spacing w:line="500" w:lineRule="exact"/>
        <w:ind w:firstLine="480" w:firstLineChars="200"/>
        <w:contextualSpacing/>
        <w:rPr>
          <w:rFonts w:ascii="宋体" w:hAnsi="宋体" w:cs="仿宋"/>
          <w:sz w:val="24"/>
        </w:rPr>
      </w:pPr>
      <w:r>
        <w:rPr>
          <w:rFonts w:hint="eastAsia" w:ascii="宋体" w:hAnsi="宋体" w:cs="仿宋"/>
          <w:sz w:val="24"/>
        </w:rPr>
        <w:t>1．施工采用的脚手架、安全网必须由专业人员搭设，由项目经理(工地负责人)组织技术、安全有关人员自检验收并经公司级质安部门验收合格后，方可投入使用，应按类别逐项查验，并应有验收记录。</w:t>
      </w:r>
    </w:p>
    <w:p w14:paraId="56C3A558">
      <w:pPr>
        <w:adjustRightInd w:val="0"/>
        <w:spacing w:line="500" w:lineRule="exact"/>
        <w:ind w:firstLine="480" w:firstLineChars="200"/>
        <w:contextualSpacing/>
        <w:rPr>
          <w:rFonts w:ascii="宋体" w:hAnsi="宋体" w:cs="仿宋"/>
          <w:sz w:val="24"/>
        </w:rPr>
      </w:pPr>
      <w:r>
        <w:rPr>
          <w:rFonts w:hint="eastAsia" w:ascii="宋体" w:hAnsi="宋体" w:cs="仿宋"/>
          <w:sz w:val="24"/>
        </w:rPr>
        <w:t>2．高空作业时，严禁立体交叉作业。水平作业时，各工位间必须有一定的距离，作业人员必须配备相应劳动保护用品如安全帽、安全带、防护眼镜、防护手套、防护工作服等，并应正确使用，施工作业现场周边设置相关安全标志牌，并设专人巡查。</w:t>
      </w:r>
    </w:p>
    <w:p w14:paraId="5E479F4B">
      <w:pPr>
        <w:adjustRightInd w:val="0"/>
        <w:spacing w:line="500" w:lineRule="exact"/>
        <w:ind w:firstLine="480" w:firstLineChars="200"/>
        <w:contextualSpacing/>
        <w:rPr>
          <w:rFonts w:ascii="宋体" w:hAnsi="宋体" w:cs="仿宋"/>
          <w:sz w:val="24"/>
        </w:rPr>
      </w:pPr>
      <w:r>
        <w:rPr>
          <w:rFonts w:hint="eastAsia" w:ascii="宋体" w:hAnsi="宋体" w:cs="仿宋"/>
          <w:sz w:val="24"/>
        </w:rPr>
        <w:t>3．进入施工现场的人员必须佩带安全帽。凡在2m以上高处作业人员，必须正确使用安全带，安全带应高挂低用。</w:t>
      </w:r>
      <w:r>
        <w:rPr>
          <w:rFonts w:hint="eastAsia" w:ascii="宋体" w:hAnsi="宋体" w:cs="宋体"/>
          <w:sz w:val="24"/>
        </w:rPr>
        <w:t> </w:t>
      </w:r>
    </w:p>
    <w:p w14:paraId="51A11050">
      <w:pPr>
        <w:adjustRightInd w:val="0"/>
        <w:spacing w:line="500" w:lineRule="exact"/>
        <w:ind w:firstLine="480" w:firstLineChars="200"/>
        <w:contextualSpacing/>
        <w:rPr>
          <w:rFonts w:ascii="宋体" w:hAnsi="宋体" w:cs="仿宋"/>
          <w:sz w:val="24"/>
        </w:rPr>
      </w:pPr>
      <w:r>
        <w:rPr>
          <w:rFonts w:hint="eastAsia" w:ascii="宋体" w:hAnsi="宋体" w:cs="仿宋"/>
          <w:sz w:val="24"/>
        </w:rPr>
        <w:t>4．工程施工前，除工程技术人员对施工作业人员进行书面安全技术交底，并履行签字手续外，必须各施工班组长向施工人员进行班组交底及履行签字手续。</w:t>
      </w:r>
      <w:r>
        <w:rPr>
          <w:rFonts w:hint="eastAsia" w:ascii="宋体" w:hAnsi="宋体" w:cs="宋体"/>
          <w:sz w:val="24"/>
        </w:rPr>
        <w:t> </w:t>
      </w:r>
    </w:p>
    <w:p w14:paraId="41CB9601">
      <w:pPr>
        <w:adjustRightInd w:val="0"/>
        <w:spacing w:line="500" w:lineRule="exact"/>
        <w:ind w:firstLine="480" w:firstLineChars="200"/>
        <w:contextualSpacing/>
        <w:rPr>
          <w:rFonts w:ascii="宋体" w:hAnsi="宋体" w:cs="仿宋"/>
          <w:sz w:val="24"/>
        </w:rPr>
      </w:pPr>
      <w:r>
        <w:rPr>
          <w:rFonts w:hint="eastAsia" w:ascii="宋体" w:hAnsi="宋体" w:cs="仿宋"/>
          <w:sz w:val="24"/>
        </w:rPr>
        <w:t>5．特殊工程施工项目如：电气、易燃、易爆容器、管道等，必须持有效证件及上岗证的专业人员操作。</w:t>
      </w:r>
      <w:r>
        <w:rPr>
          <w:rFonts w:hint="eastAsia" w:ascii="宋体" w:hAnsi="宋体" w:cs="宋体"/>
          <w:sz w:val="24"/>
        </w:rPr>
        <w:t> </w:t>
      </w:r>
    </w:p>
    <w:p w14:paraId="6A92F6CA">
      <w:pPr>
        <w:adjustRightInd w:val="0"/>
        <w:spacing w:line="500" w:lineRule="exact"/>
        <w:ind w:firstLine="480" w:firstLineChars="200"/>
        <w:contextualSpacing/>
        <w:rPr>
          <w:rFonts w:ascii="宋体" w:hAnsi="宋体" w:cs="仿宋"/>
          <w:sz w:val="24"/>
        </w:rPr>
      </w:pPr>
      <w:r>
        <w:rPr>
          <w:rFonts w:hint="eastAsia" w:ascii="宋体" w:hAnsi="宋体" w:cs="仿宋"/>
          <w:sz w:val="24"/>
        </w:rPr>
        <w:t>6．拆除施工现场，必须设有临时急救人员及药品或设立临时救助站。</w:t>
      </w:r>
      <w:r>
        <w:rPr>
          <w:rFonts w:hint="eastAsia" w:ascii="宋体" w:hAnsi="宋体" w:cs="宋体"/>
          <w:sz w:val="24"/>
        </w:rPr>
        <w:t> </w:t>
      </w:r>
    </w:p>
    <w:p w14:paraId="483F73A6">
      <w:pPr>
        <w:adjustRightInd w:val="0"/>
        <w:spacing w:line="500" w:lineRule="exact"/>
        <w:ind w:firstLine="480" w:firstLineChars="200"/>
        <w:contextualSpacing/>
        <w:rPr>
          <w:rFonts w:ascii="宋体" w:hAnsi="宋体" w:cs="仿宋"/>
          <w:sz w:val="24"/>
        </w:rPr>
      </w:pPr>
      <w:r>
        <w:rPr>
          <w:rFonts w:hint="eastAsia" w:ascii="宋体" w:hAnsi="宋体" w:cs="仿宋"/>
          <w:sz w:val="24"/>
        </w:rPr>
        <w:t>7．严禁在工作前和工作中饮酒，不许穿高跟鞋、硬底鞋、拖鞋，应穿防滑鞋。</w:t>
      </w:r>
    </w:p>
    <w:p w14:paraId="1B777B06">
      <w:pPr>
        <w:adjustRightInd w:val="0"/>
        <w:spacing w:line="500" w:lineRule="exact"/>
        <w:ind w:firstLine="480" w:firstLineChars="200"/>
        <w:contextualSpacing/>
        <w:rPr>
          <w:rFonts w:ascii="宋体" w:hAnsi="宋体" w:cs="仿宋"/>
          <w:sz w:val="24"/>
        </w:rPr>
      </w:pPr>
      <w:r>
        <w:rPr>
          <w:rFonts w:hint="eastAsia" w:ascii="宋体" w:hAnsi="宋体" w:cs="仿宋"/>
          <w:sz w:val="24"/>
        </w:rPr>
        <w:t>8．进入施工现场须服从领导和安检人员的指挥，遵守劳动纪律、严守岗位、不串岗，作业时思想要集中。</w:t>
      </w:r>
      <w:r>
        <w:rPr>
          <w:rFonts w:hint="eastAsia" w:ascii="宋体" w:hAnsi="宋体" w:cs="宋体"/>
          <w:sz w:val="24"/>
        </w:rPr>
        <w:t> </w:t>
      </w:r>
    </w:p>
    <w:p w14:paraId="67B6D11A">
      <w:pPr>
        <w:adjustRightInd w:val="0"/>
        <w:spacing w:line="500" w:lineRule="exact"/>
        <w:ind w:firstLine="480" w:firstLineChars="200"/>
        <w:contextualSpacing/>
        <w:rPr>
          <w:rFonts w:ascii="宋体" w:hAnsi="宋体" w:cs="仿宋"/>
          <w:sz w:val="24"/>
        </w:rPr>
      </w:pPr>
      <w:r>
        <w:rPr>
          <w:rFonts w:hint="eastAsia" w:ascii="宋体" w:hAnsi="宋体" w:cs="仿宋"/>
          <w:sz w:val="24"/>
        </w:rPr>
        <w:t>9．严禁随意拆除或损坏防护栏杆、拉杆、安全网、跳板、脚手板、支撑等防护设施。</w:t>
      </w:r>
    </w:p>
    <w:p w14:paraId="4E906E91">
      <w:pPr>
        <w:adjustRightInd w:val="0"/>
        <w:spacing w:line="500" w:lineRule="exact"/>
        <w:ind w:firstLine="480" w:firstLineChars="200"/>
        <w:contextualSpacing/>
        <w:rPr>
          <w:rFonts w:ascii="宋体" w:hAnsi="宋体" w:cs="仿宋"/>
          <w:sz w:val="24"/>
        </w:rPr>
      </w:pPr>
      <w:r>
        <w:rPr>
          <w:rFonts w:hint="eastAsia" w:ascii="宋体" w:hAnsi="宋体" w:cs="仿宋"/>
          <w:sz w:val="24"/>
        </w:rPr>
        <w:t>10．面砖搬运、安装时应注意安全，防止因面砖翻倒而受伤。</w:t>
      </w:r>
      <w:r>
        <w:rPr>
          <w:rFonts w:hint="eastAsia" w:ascii="宋体" w:hAnsi="宋体" w:cs="宋体"/>
          <w:sz w:val="24"/>
        </w:rPr>
        <w:t> </w:t>
      </w:r>
    </w:p>
    <w:p w14:paraId="7327A8F2">
      <w:pPr>
        <w:adjustRightInd w:val="0"/>
        <w:spacing w:line="500" w:lineRule="exact"/>
        <w:ind w:firstLine="480" w:firstLineChars="200"/>
        <w:contextualSpacing/>
        <w:rPr>
          <w:rFonts w:ascii="宋体" w:hAnsi="宋体" w:cs="仿宋"/>
          <w:sz w:val="24"/>
        </w:rPr>
      </w:pPr>
      <w:r>
        <w:rPr>
          <w:rFonts w:hint="eastAsia" w:ascii="宋体" w:hAnsi="宋体" w:cs="仿宋"/>
          <w:sz w:val="24"/>
        </w:rPr>
        <w:t>11．各种材料加工时注意操作安全及施工用电，不得随便乱接乱拉电线。</w:t>
      </w:r>
      <w:r>
        <w:rPr>
          <w:rFonts w:hint="eastAsia" w:ascii="宋体" w:hAnsi="宋体" w:cs="宋体"/>
          <w:sz w:val="24"/>
        </w:rPr>
        <w:t> </w:t>
      </w:r>
    </w:p>
    <w:p w14:paraId="2BFE809C">
      <w:pPr>
        <w:adjustRightInd w:val="0"/>
        <w:spacing w:line="500" w:lineRule="exact"/>
        <w:ind w:firstLine="480" w:firstLineChars="200"/>
        <w:contextualSpacing/>
        <w:rPr>
          <w:rFonts w:ascii="宋体" w:hAnsi="宋体" w:cs="仿宋"/>
          <w:sz w:val="24"/>
        </w:rPr>
      </w:pPr>
      <w:r>
        <w:rPr>
          <w:rFonts w:hint="eastAsia" w:ascii="宋体" w:hAnsi="宋体" w:cs="仿宋"/>
          <w:sz w:val="24"/>
        </w:rPr>
        <w:t>12．施工现场各周边洞口，必须有符合安全规范要求的安全防护，若因施工作业场地要求而拆除的，操作完成后，立即恢复。</w:t>
      </w:r>
      <w:r>
        <w:rPr>
          <w:rFonts w:hint="eastAsia" w:ascii="宋体" w:hAnsi="宋体" w:cs="宋体"/>
          <w:sz w:val="24"/>
        </w:rPr>
        <w:t> </w:t>
      </w:r>
    </w:p>
    <w:p w14:paraId="5637F3F8">
      <w:pPr>
        <w:adjustRightInd w:val="0"/>
        <w:spacing w:line="500" w:lineRule="exact"/>
        <w:ind w:firstLine="480" w:firstLineChars="200"/>
        <w:contextualSpacing/>
        <w:rPr>
          <w:rFonts w:ascii="宋体" w:hAnsi="宋体" w:cs="仿宋"/>
          <w:sz w:val="24"/>
        </w:rPr>
      </w:pPr>
      <w:r>
        <w:rPr>
          <w:rFonts w:hint="eastAsia" w:ascii="宋体" w:hAnsi="宋体" w:cs="仿宋"/>
          <w:sz w:val="24"/>
        </w:rPr>
        <w:t>13．脚手架上禁止有探头板、飞跳板，脚手架上应满铺脚手板，脚手架上禁止堆放砂浆、砖块、面砖等物料。</w:t>
      </w:r>
      <w:r>
        <w:rPr>
          <w:rFonts w:hint="eastAsia" w:ascii="宋体" w:hAnsi="宋体" w:cs="宋体"/>
          <w:sz w:val="24"/>
        </w:rPr>
        <w:t>  </w:t>
      </w:r>
    </w:p>
    <w:p w14:paraId="195E9C3A">
      <w:pPr>
        <w:adjustRightInd w:val="0"/>
        <w:spacing w:line="500" w:lineRule="exact"/>
        <w:ind w:firstLine="480" w:firstLineChars="200"/>
        <w:contextualSpacing/>
        <w:rPr>
          <w:rFonts w:ascii="宋体" w:hAnsi="宋体" w:cs="仿宋"/>
          <w:sz w:val="24"/>
        </w:rPr>
      </w:pPr>
      <w:r>
        <w:rPr>
          <w:rFonts w:hint="eastAsia" w:ascii="宋体" w:hAnsi="宋体" w:cs="仿宋"/>
          <w:sz w:val="24"/>
        </w:rPr>
        <w:t>14．不准从正在起吊、运吊中的物件下通过，以防突然事件，不准从高处往下跑、跳；不准在没有防护的外墙和外悬挑板等建筑物上行走；不准站在小推车等不稳定的物件上操作；不得攀登起重臂、绳索、脚手架、井字架和随同运料的吊盘和吊篮及吊装物上下；井架吊篮禁止乘人。</w:t>
      </w:r>
      <w:r>
        <w:rPr>
          <w:rFonts w:hint="eastAsia" w:ascii="宋体" w:hAnsi="宋体" w:cs="宋体"/>
          <w:sz w:val="24"/>
        </w:rPr>
        <w:t> </w:t>
      </w:r>
    </w:p>
    <w:p w14:paraId="3D462086">
      <w:pPr>
        <w:adjustRightInd w:val="0"/>
        <w:spacing w:line="500" w:lineRule="exact"/>
        <w:ind w:firstLine="480" w:firstLineChars="200"/>
        <w:contextualSpacing/>
        <w:rPr>
          <w:rFonts w:ascii="宋体" w:hAnsi="宋体" w:cs="仿宋"/>
          <w:sz w:val="24"/>
        </w:rPr>
      </w:pPr>
      <w:r>
        <w:rPr>
          <w:rFonts w:hint="eastAsia" w:ascii="宋体" w:hAnsi="宋体" w:cs="仿宋"/>
          <w:sz w:val="24"/>
        </w:rPr>
        <w:t>15．作业中不得往下投掷物件、碎砖、灰渣等，清理物料时应设溜槽或使用垃圾桶；手持工具和零星物料应随时放在工具袋中。</w:t>
      </w:r>
      <w:r>
        <w:rPr>
          <w:rFonts w:hint="eastAsia" w:ascii="宋体" w:hAnsi="宋体" w:cs="宋体"/>
          <w:sz w:val="24"/>
        </w:rPr>
        <w:t> </w:t>
      </w:r>
    </w:p>
    <w:p w14:paraId="66E430D3">
      <w:pPr>
        <w:adjustRightInd w:val="0"/>
        <w:spacing w:line="500" w:lineRule="exact"/>
        <w:ind w:firstLine="480" w:firstLineChars="200"/>
        <w:contextualSpacing/>
        <w:rPr>
          <w:rFonts w:ascii="宋体" w:hAnsi="宋体" w:cs="仿宋"/>
          <w:sz w:val="24"/>
        </w:rPr>
      </w:pPr>
      <w:r>
        <w:rPr>
          <w:rFonts w:hint="eastAsia" w:ascii="宋体" w:hAnsi="宋体" w:cs="仿宋"/>
          <w:sz w:val="24"/>
        </w:rPr>
        <w:t>16．年龄未满18周岁者，患有心脏病、贫血、高血压、低血压、癫痫病及其他不适于高空作业的病症者严禁从事外墙施工作业。</w:t>
      </w:r>
      <w:r>
        <w:rPr>
          <w:rFonts w:hint="eastAsia" w:ascii="宋体" w:hAnsi="宋体" w:cs="宋体"/>
          <w:sz w:val="24"/>
        </w:rPr>
        <w:t> </w:t>
      </w:r>
    </w:p>
    <w:p w14:paraId="499FB1D9">
      <w:pPr>
        <w:adjustRightInd w:val="0"/>
        <w:spacing w:line="500" w:lineRule="exact"/>
        <w:ind w:firstLine="480" w:firstLineChars="200"/>
        <w:contextualSpacing/>
        <w:rPr>
          <w:rFonts w:ascii="宋体" w:hAnsi="宋体" w:cs="仿宋"/>
          <w:sz w:val="24"/>
        </w:rPr>
      </w:pPr>
      <w:r>
        <w:rPr>
          <w:rFonts w:hint="eastAsia" w:ascii="宋体" w:hAnsi="宋体" w:cs="仿宋"/>
          <w:sz w:val="24"/>
        </w:rPr>
        <w:t>17．遇到雷雨、大风等天气外墙施工应暂停作业。</w:t>
      </w:r>
      <w:r>
        <w:rPr>
          <w:rFonts w:hint="eastAsia" w:ascii="宋体" w:hAnsi="宋体" w:cs="宋体"/>
          <w:sz w:val="24"/>
        </w:rPr>
        <w:t>  </w:t>
      </w:r>
    </w:p>
    <w:p w14:paraId="6DD3D6E9">
      <w:pPr>
        <w:adjustRightInd w:val="0"/>
        <w:spacing w:line="500" w:lineRule="exact"/>
        <w:ind w:firstLine="480" w:firstLineChars="200"/>
        <w:contextualSpacing/>
        <w:rPr>
          <w:rFonts w:ascii="宋体" w:hAnsi="宋体" w:cs="仿宋"/>
          <w:sz w:val="24"/>
        </w:rPr>
      </w:pPr>
      <w:r>
        <w:rPr>
          <w:rFonts w:hint="eastAsia" w:ascii="宋体" w:hAnsi="宋体" w:cs="仿宋"/>
          <w:sz w:val="24"/>
        </w:rPr>
        <w:t>18．手持电动工具使用前应进行检查，空载试验运转正常合格后方可使用，转移工作点应切断电源，潮湿场所严禁使用手持式电动工具。</w:t>
      </w:r>
      <w:r>
        <w:rPr>
          <w:rFonts w:hint="eastAsia" w:ascii="宋体" w:hAnsi="宋体" w:cs="宋体"/>
          <w:sz w:val="24"/>
        </w:rPr>
        <w:t>  </w:t>
      </w:r>
    </w:p>
    <w:p w14:paraId="5BBFE6D6">
      <w:pPr>
        <w:adjustRightInd w:val="0"/>
        <w:spacing w:line="500" w:lineRule="exact"/>
        <w:ind w:firstLine="480" w:firstLineChars="200"/>
        <w:contextualSpacing/>
        <w:rPr>
          <w:rFonts w:ascii="宋体" w:hAnsi="宋体" w:cs="仿宋"/>
          <w:sz w:val="24"/>
        </w:rPr>
      </w:pPr>
      <w:r>
        <w:rPr>
          <w:rFonts w:hint="eastAsia" w:ascii="宋体" w:hAnsi="宋体" w:cs="仿宋"/>
          <w:sz w:val="24"/>
        </w:rPr>
        <w:t>19．作业前必须认真检查机械设备的安全装置，调整机器或更换刀具时应先切断电源并由机械员进行。</w:t>
      </w:r>
    </w:p>
    <w:p w14:paraId="76C78518">
      <w:pPr>
        <w:adjustRightInd w:val="0"/>
        <w:spacing w:line="500" w:lineRule="exact"/>
        <w:ind w:firstLine="480" w:firstLineChars="200"/>
        <w:contextualSpacing/>
        <w:rPr>
          <w:rFonts w:ascii="宋体" w:hAnsi="宋体" w:cs="仿宋"/>
          <w:sz w:val="24"/>
        </w:rPr>
      </w:pPr>
      <w:r>
        <w:rPr>
          <w:rFonts w:hint="eastAsia" w:ascii="宋体" w:hAnsi="宋体" w:cs="仿宋"/>
          <w:sz w:val="24"/>
        </w:rPr>
        <w:t>（二）用电要求</w:t>
      </w:r>
      <w:r>
        <w:rPr>
          <w:rFonts w:hint="eastAsia" w:ascii="宋体" w:hAnsi="宋体" w:cs="宋体"/>
          <w:sz w:val="24"/>
        </w:rPr>
        <w:t> </w:t>
      </w:r>
    </w:p>
    <w:p w14:paraId="2A5BB80A">
      <w:pPr>
        <w:adjustRightInd w:val="0"/>
        <w:spacing w:line="500" w:lineRule="exact"/>
        <w:ind w:firstLine="480" w:firstLineChars="200"/>
        <w:contextualSpacing/>
        <w:rPr>
          <w:rFonts w:ascii="宋体" w:hAnsi="宋体" w:cs="仿宋"/>
          <w:sz w:val="24"/>
        </w:rPr>
      </w:pPr>
      <w:r>
        <w:rPr>
          <w:rFonts w:hint="eastAsia" w:ascii="宋体" w:hAnsi="宋体" w:cs="仿宋"/>
          <w:sz w:val="24"/>
        </w:rPr>
        <w:t>1．配电箱的箱柜门处应有名称、用途、分路、标记及内部系统接线图，以防失误操作。</w:t>
      </w:r>
    </w:p>
    <w:p w14:paraId="617B34E2">
      <w:pPr>
        <w:adjustRightInd w:val="0"/>
        <w:spacing w:line="500" w:lineRule="exact"/>
        <w:ind w:firstLine="480" w:firstLineChars="200"/>
        <w:contextualSpacing/>
        <w:rPr>
          <w:rFonts w:ascii="宋体" w:hAnsi="宋体" w:cs="仿宋"/>
          <w:sz w:val="24"/>
        </w:rPr>
      </w:pPr>
      <w:r>
        <w:rPr>
          <w:rFonts w:hint="eastAsia" w:ascii="宋体" w:hAnsi="宋体" w:cs="仿宋"/>
          <w:sz w:val="24"/>
        </w:rPr>
        <w:t>2．配电装置均应配锁，并有专人负责开启和关闭上锁。</w:t>
      </w:r>
    </w:p>
    <w:p w14:paraId="59B4321E">
      <w:pPr>
        <w:adjustRightInd w:val="0"/>
        <w:spacing w:line="500" w:lineRule="exact"/>
        <w:ind w:firstLine="480" w:firstLineChars="200"/>
        <w:contextualSpacing/>
        <w:rPr>
          <w:rFonts w:ascii="宋体" w:hAnsi="宋体" w:cs="仿宋"/>
          <w:sz w:val="24"/>
        </w:rPr>
      </w:pPr>
      <w:r>
        <w:rPr>
          <w:rFonts w:hint="eastAsia" w:ascii="宋体" w:hAnsi="宋体" w:cs="仿宋"/>
          <w:sz w:val="24"/>
        </w:rPr>
        <w:t>3．电工和用电人员用电时，必须按规定穿戴绝缘防护用品，使用绝缘工具。</w:t>
      </w:r>
      <w:r>
        <w:rPr>
          <w:rFonts w:hint="eastAsia" w:ascii="宋体" w:hAnsi="宋体" w:cs="宋体"/>
          <w:sz w:val="24"/>
        </w:rPr>
        <w:t> </w:t>
      </w:r>
    </w:p>
    <w:p w14:paraId="243C6D71">
      <w:pPr>
        <w:adjustRightInd w:val="0"/>
        <w:spacing w:line="500" w:lineRule="exact"/>
        <w:ind w:firstLine="480" w:firstLineChars="200"/>
        <w:contextualSpacing/>
        <w:rPr>
          <w:rFonts w:ascii="宋体" w:hAnsi="宋体" w:cs="仿宋"/>
          <w:sz w:val="24"/>
        </w:rPr>
      </w:pPr>
      <w:r>
        <w:rPr>
          <w:rFonts w:hint="eastAsia" w:ascii="宋体" w:hAnsi="宋体" w:cs="仿宋"/>
          <w:sz w:val="24"/>
        </w:rPr>
        <w:t>4．施工现场下班停止工作时，必须将班后不用的配电装置分闸断电，并上锁，班中停止工作1小时以上时，相关动力开关箱应断电上锁，暂时不用的配电装置也应断电上锁。</w:t>
      </w:r>
      <w:r>
        <w:rPr>
          <w:rFonts w:hint="eastAsia" w:ascii="宋体" w:hAnsi="宋体" w:cs="宋体"/>
          <w:sz w:val="24"/>
        </w:rPr>
        <w:t> </w:t>
      </w:r>
    </w:p>
    <w:p w14:paraId="0FE21EE7">
      <w:pPr>
        <w:adjustRightInd w:val="0"/>
        <w:spacing w:line="500" w:lineRule="exact"/>
        <w:ind w:firstLine="480" w:firstLineChars="200"/>
        <w:contextualSpacing/>
        <w:rPr>
          <w:rFonts w:ascii="宋体" w:hAnsi="宋体" w:cs="仿宋"/>
          <w:sz w:val="24"/>
        </w:rPr>
      </w:pPr>
      <w:r>
        <w:rPr>
          <w:rFonts w:hint="eastAsia" w:ascii="宋体" w:hAnsi="宋体" w:cs="仿宋"/>
          <w:sz w:val="24"/>
        </w:rPr>
        <w:t>5．配电箱、开关箱内的电气配置和接线，严禁随意改动、并不得随意挂接其他用电设备。</w:t>
      </w:r>
      <w:r>
        <w:rPr>
          <w:rFonts w:hint="eastAsia" w:ascii="宋体" w:hAnsi="宋体" w:cs="宋体"/>
          <w:sz w:val="24"/>
        </w:rPr>
        <w:t> </w:t>
      </w:r>
    </w:p>
    <w:p w14:paraId="36EBB9A7">
      <w:pPr>
        <w:adjustRightInd w:val="0"/>
        <w:spacing w:line="500" w:lineRule="exact"/>
        <w:ind w:firstLine="480" w:firstLineChars="200"/>
        <w:contextualSpacing/>
        <w:rPr>
          <w:rFonts w:ascii="宋体" w:hAnsi="宋体" w:cs="仿宋"/>
          <w:sz w:val="24"/>
        </w:rPr>
      </w:pPr>
      <w:r>
        <w:rPr>
          <w:rFonts w:hint="eastAsia" w:ascii="宋体" w:hAnsi="宋体" w:cs="仿宋"/>
          <w:sz w:val="24"/>
        </w:rPr>
        <w:t>6．配电装置的漏电保护器，应每次使用时用试验按钮试跳一次，只有试跳正常才可继续使用。</w:t>
      </w:r>
      <w:r>
        <w:rPr>
          <w:rFonts w:hint="eastAsia" w:ascii="宋体" w:hAnsi="宋体" w:cs="宋体"/>
          <w:sz w:val="24"/>
        </w:rPr>
        <w:t> </w:t>
      </w:r>
    </w:p>
    <w:p w14:paraId="597CC4AD">
      <w:pPr>
        <w:adjustRightInd w:val="0"/>
        <w:spacing w:line="500" w:lineRule="exact"/>
        <w:ind w:firstLine="480" w:firstLineChars="200"/>
        <w:contextualSpacing/>
        <w:rPr>
          <w:rFonts w:ascii="宋体" w:hAnsi="宋体" w:cs="仿宋"/>
          <w:sz w:val="24"/>
        </w:rPr>
      </w:pPr>
      <w:r>
        <w:rPr>
          <w:rFonts w:hint="eastAsia" w:ascii="宋体" w:hAnsi="宋体" w:cs="仿宋"/>
          <w:sz w:val="24"/>
        </w:rPr>
        <w:t>7．用电设备的保护接地线应并联接地，并严禁串联接地或接零。</w:t>
      </w:r>
    </w:p>
    <w:p w14:paraId="5C3D33EF">
      <w:pPr>
        <w:adjustRightInd w:val="0"/>
        <w:spacing w:line="500" w:lineRule="exact"/>
        <w:ind w:firstLine="480" w:firstLineChars="200"/>
        <w:contextualSpacing/>
        <w:rPr>
          <w:rFonts w:ascii="宋体" w:hAnsi="宋体" w:cs="仿宋"/>
          <w:sz w:val="24"/>
        </w:rPr>
      </w:pPr>
      <w:r>
        <w:rPr>
          <w:rFonts w:hint="eastAsia" w:ascii="宋体" w:hAnsi="宋体" w:cs="仿宋"/>
          <w:sz w:val="24"/>
        </w:rPr>
        <w:t>8．使用中的电气设备应保持完好的工作状态，严禁带故障运行。</w:t>
      </w:r>
      <w:r>
        <w:rPr>
          <w:rFonts w:hint="eastAsia" w:ascii="宋体" w:hAnsi="宋体" w:cs="宋体"/>
          <w:sz w:val="24"/>
        </w:rPr>
        <w:t> </w:t>
      </w:r>
    </w:p>
    <w:p w14:paraId="1D19F1FD">
      <w:pPr>
        <w:adjustRightInd w:val="0"/>
        <w:spacing w:line="500" w:lineRule="exact"/>
        <w:ind w:firstLine="480" w:firstLineChars="200"/>
        <w:contextualSpacing/>
        <w:rPr>
          <w:rFonts w:ascii="宋体" w:hAnsi="宋体" w:cs="仿宋"/>
          <w:sz w:val="24"/>
        </w:rPr>
      </w:pPr>
      <w:r>
        <w:rPr>
          <w:rFonts w:hint="eastAsia" w:ascii="宋体" w:hAnsi="宋体" w:cs="仿宋"/>
          <w:sz w:val="24"/>
        </w:rPr>
        <w:t>9．现场临时用电及照明必须由项目经理同意，由专业电工按JGJ46-88《施工现场临时用电安全技术规范》要求进行操作。</w:t>
      </w:r>
      <w:r>
        <w:rPr>
          <w:rFonts w:hint="eastAsia" w:ascii="宋体" w:hAnsi="宋体" w:cs="宋体"/>
          <w:sz w:val="24"/>
        </w:rPr>
        <w:t> </w:t>
      </w:r>
    </w:p>
    <w:p w14:paraId="691801B5">
      <w:pPr>
        <w:adjustRightInd w:val="0"/>
        <w:spacing w:line="500" w:lineRule="exact"/>
        <w:ind w:firstLine="480" w:firstLineChars="200"/>
        <w:contextualSpacing/>
        <w:rPr>
          <w:rFonts w:ascii="宋体" w:hAnsi="宋体" w:cs="仿宋"/>
          <w:sz w:val="24"/>
        </w:rPr>
      </w:pPr>
      <w:r>
        <w:rPr>
          <w:rFonts w:hint="eastAsia" w:ascii="宋体" w:hAnsi="宋体" w:cs="仿宋"/>
          <w:sz w:val="24"/>
        </w:rPr>
        <w:t>10．现场所有用电设备必须用插头与插线板连接，禁止将线头直接插入插线板。</w:t>
      </w:r>
    </w:p>
    <w:p w14:paraId="58487940">
      <w:pPr>
        <w:adjustRightInd w:val="0"/>
        <w:spacing w:line="500" w:lineRule="exact"/>
        <w:ind w:firstLine="480" w:firstLineChars="200"/>
        <w:contextualSpacing/>
        <w:rPr>
          <w:rFonts w:ascii="宋体" w:hAnsi="宋体" w:cs="仿宋"/>
          <w:sz w:val="24"/>
        </w:rPr>
      </w:pPr>
      <w:r>
        <w:rPr>
          <w:rFonts w:hint="eastAsia" w:ascii="宋体" w:hAnsi="宋体" w:cs="仿宋"/>
          <w:sz w:val="24"/>
        </w:rPr>
        <w:t>（三）电焊机使用要求</w:t>
      </w:r>
      <w:r>
        <w:rPr>
          <w:rFonts w:hint="eastAsia" w:ascii="宋体" w:hAnsi="宋体" w:cs="宋体"/>
          <w:sz w:val="24"/>
        </w:rPr>
        <w:t> </w:t>
      </w:r>
    </w:p>
    <w:p w14:paraId="11C85CAB">
      <w:pPr>
        <w:adjustRightInd w:val="0"/>
        <w:spacing w:line="500" w:lineRule="exact"/>
        <w:ind w:firstLine="480" w:firstLineChars="200"/>
        <w:contextualSpacing/>
        <w:rPr>
          <w:rFonts w:ascii="宋体" w:hAnsi="宋体" w:cs="仿宋"/>
          <w:sz w:val="24"/>
        </w:rPr>
      </w:pPr>
      <w:r>
        <w:rPr>
          <w:rFonts w:hint="eastAsia" w:ascii="宋体" w:hAnsi="宋体" w:cs="仿宋"/>
          <w:sz w:val="24"/>
        </w:rPr>
        <w:t>1．操作人员应具有上岗证书，严禁无证操作。</w:t>
      </w:r>
      <w:r>
        <w:rPr>
          <w:rFonts w:hint="eastAsia" w:ascii="宋体" w:hAnsi="宋体" w:cs="宋体"/>
          <w:sz w:val="24"/>
        </w:rPr>
        <w:t> </w:t>
      </w:r>
    </w:p>
    <w:p w14:paraId="5A453104">
      <w:pPr>
        <w:adjustRightInd w:val="0"/>
        <w:spacing w:line="500" w:lineRule="exact"/>
        <w:ind w:firstLine="480" w:firstLineChars="200"/>
        <w:contextualSpacing/>
        <w:rPr>
          <w:rFonts w:ascii="宋体" w:hAnsi="宋体" w:cs="仿宋"/>
          <w:sz w:val="24"/>
        </w:rPr>
      </w:pPr>
      <w:r>
        <w:rPr>
          <w:rFonts w:hint="eastAsia" w:ascii="宋体" w:hAnsi="宋体" w:cs="仿宋"/>
          <w:sz w:val="24"/>
        </w:rPr>
        <w:t>2．所有交、直流电的金属外壳，都必须采取保护接地或接零。焊接的金属和结构本身接地。</w:t>
      </w:r>
      <w:r>
        <w:rPr>
          <w:rFonts w:hint="eastAsia" w:ascii="宋体" w:hAnsi="宋体" w:cs="宋体"/>
          <w:sz w:val="24"/>
        </w:rPr>
        <w:t> </w:t>
      </w:r>
    </w:p>
    <w:p w14:paraId="3E816AC2">
      <w:pPr>
        <w:adjustRightInd w:val="0"/>
        <w:spacing w:line="500" w:lineRule="exact"/>
        <w:ind w:firstLine="480" w:firstLineChars="200"/>
        <w:contextualSpacing/>
        <w:rPr>
          <w:rFonts w:ascii="宋体" w:hAnsi="宋体" w:cs="仿宋"/>
          <w:sz w:val="24"/>
        </w:rPr>
      </w:pPr>
      <w:r>
        <w:rPr>
          <w:rFonts w:hint="eastAsia" w:ascii="宋体" w:hAnsi="宋体" w:cs="仿宋"/>
          <w:sz w:val="24"/>
        </w:rPr>
        <w:t>3．电焊机二次焊把线，地线需接长使用时，应保证搭接面积，接点处用绝缘胶带包裹好，地线良好不能有破皮裂口存在。</w:t>
      </w:r>
      <w:r>
        <w:rPr>
          <w:rFonts w:hint="eastAsia" w:ascii="宋体" w:hAnsi="宋体" w:cs="宋体"/>
          <w:sz w:val="24"/>
        </w:rPr>
        <w:t> </w:t>
      </w:r>
    </w:p>
    <w:p w14:paraId="4FE81809">
      <w:pPr>
        <w:adjustRightInd w:val="0"/>
        <w:spacing w:line="500" w:lineRule="exact"/>
        <w:ind w:firstLine="480" w:firstLineChars="200"/>
        <w:contextualSpacing/>
        <w:rPr>
          <w:rFonts w:ascii="宋体" w:hAnsi="宋体" w:cs="仿宋"/>
          <w:sz w:val="24"/>
        </w:rPr>
      </w:pPr>
      <w:r>
        <w:rPr>
          <w:rFonts w:hint="eastAsia" w:ascii="宋体" w:hAnsi="宋体" w:cs="仿宋"/>
          <w:sz w:val="24"/>
        </w:rPr>
        <w:t>4．遇有雨、雪、雾或六级以上强风，影响施工安全时应停止室外焊接，雨雪后应先清除施工地点的积水、积雪后方可施焊。</w:t>
      </w:r>
      <w:r>
        <w:rPr>
          <w:rFonts w:hint="eastAsia" w:ascii="宋体" w:hAnsi="宋体" w:cs="宋体"/>
          <w:sz w:val="24"/>
        </w:rPr>
        <w:t> </w:t>
      </w:r>
    </w:p>
    <w:p w14:paraId="47068560">
      <w:pPr>
        <w:adjustRightInd w:val="0"/>
        <w:spacing w:line="500" w:lineRule="exact"/>
        <w:ind w:firstLine="480" w:firstLineChars="200"/>
        <w:contextualSpacing/>
        <w:rPr>
          <w:rFonts w:ascii="宋体" w:hAnsi="宋体" w:cs="仿宋"/>
          <w:sz w:val="24"/>
        </w:rPr>
      </w:pPr>
      <w:r>
        <w:rPr>
          <w:rFonts w:hint="eastAsia" w:ascii="宋体" w:hAnsi="宋体" w:cs="仿宋"/>
          <w:sz w:val="24"/>
        </w:rPr>
        <w:t>5．焊接时，操作人员应穿戴好所有防护用具（绝缘手套、绝缘鞋、防护面罩）。</w:t>
      </w:r>
      <w:r>
        <w:rPr>
          <w:rFonts w:hint="eastAsia" w:ascii="宋体" w:hAnsi="宋体" w:cs="宋体"/>
          <w:sz w:val="24"/>
        </w:rPr>
        <w:t> </w:t>
      </w:r>
    </w:p>
    <w:p w14:paraId="46E329D5">
      <w:pPr>
        <w:adjustRightInd w:val="0"/>
        <w:spacing w:line="500" w:lineRule="exact"/>
        <w:ind w:firstLine="480" w:firstLineChars="200"/>
        <w:contextualSpacing/>
        <w:rPr>
          <w:rFonts w:ascii="宋体" w:hAnsi="宋体" w:cs="仿宋"/>
          <w:sz w:val="24"/>
        </w:rPr>
      </w:pPr>
      <w:r>
        <w:rPr>
          <w:rFonts w:hint="eastAsia" w:ascii="宋体" w:hAnsi="宋体" w:cs="仿宋"/>
          <w:sz w:val="24"/>
        </w:rPr>
        <w:t>6．各种用电设备，照明设备在露天使用时必须设有防水、防雨设施，各种设备的防护罩必须齐全。</w:t>
      </w:r>
      <w:r>
        <w:rPr>
          <w:rFonts w:hint="eastAsia" w:ascii="宋体" w:hAnsi="宋体" w:cs="宋体"/>
          <w:sz w:val="24"/>
        </w:rPr>
        <w:t> </w:t>
      </w:r>
    </w:p>
    <w:p w14:paraId="73DF7128">
      <w:pPr>
        <w:adjustRightInd w:val="0"/>
        <w:spacing w:line="500" w:lineRule="exact"/>
        <w:ind w:firstLine="480" w:firstLineChars="200"/>
        <w:contextualSpacing/>
        <w:rPr>
          <w:rFonts w:ascii="宋体" w:hAnsi="宋体" w:cs="仿宋"/>
          <w:sz w:val="24"/>
        </w:rPr>
      </w:pPr>
      <w:r>
        <w:rPr>
          <w:rFonts w:hint="eastAsia" w:ascii="宋体" w:hAnsi="宋体" w:cs="仿宋"/>
          <w:sz w:val="24"/>
        </w:rPr>
        <w:t>7．无铬牌的电气设备不得随意接通电源，各种电气设备应铬牌齐全。</w:t>
      </w:r>
    </w:p>
    <w:p w14:paraId="77CA99E5">
      <w:pPr>
        <w:adjustRightInd w:val="0"/>
        <w:spacing w:line="500" w:lineRule="exact"/>
        <w:ind w:firstLine="480" w:firstLineChars="200"/>
        <w:contextualSpacing/>
        <w:rPr>
          <w:rFonts w:ascii="宋体" w:hAnsi="宋体" w:cs="仿宋"/>
          <w:sz w:val="24"/>
        </w:rPr>
      </w:pPr>
      <w:r>
        <w:rPr>
          <w:rFonts w:hint="eastAsia" w:ascii="宋体" w:hAnsi="宋体" w:cs="仿宋"/>
          <w:sz w:val="24"/>
        </w:rPr>
        <w:t>（四）动火要求</w:t>
      </w:r>
      <w:r>
        <w:rPr>
          <w:rFonts w:hint="eastAsia" w:ascii="宋体" w:hAnsi="宋体" w:cs="宋体"/>
          <w:sz w:val="24"/>
        </w:rPr>
        <w:t> </w:t>
      </w:r>
    </w:p>
    <w:p w14:paraId="467FC8F3">
      <w:pPr>
        <w:adjustRightInd w:val="0"/>
        <w:spacing w:line="500" w:lineRule="exact"/>
        <w:ind w:firstLine="480" w:firstLineChars="200"/>
        <w:contextualSpacing/>
        <w:rPr>
          <w:rFonts w:ascii="宋体" w:hAnsi="宋体" w:cs="仿宋"/>
          <w:sz w:val="24"/>
        </w:rPr>
      </w:pPr>
      <w:r>
        <w:rPr>
          <w:rFonts w:hint="eastAsia" w:ascii="宋体" w:hAnsi="宋体" w:cs="仿宋"/>
          <w:sz w:val="24"/>
        </w:rPr>
        <w:t>1．进入施工现场，必须向施工班组人员进行消防及动火知识教育。</w:t>
      </w:r>
      <w:r>
        <w:rPr>
          <w:rFonts w:hint="eastAsia" w:ascii="宋体" w:hAnsi="宋体" w:cs="宋体"/>
          <w:sz w:val="24"/>
        </w:rPr>
        <w:t> </w:t>
      </w:r>
    </w:p>
    <w:p w14:paraId="553F5A07">
      <w:pPr>
        <w:adjustRightInd w:val="0"/>
        <w:spacing w:line="500" w:lineRule="exact"/>
        <w:ind w:firstLine="480" w:firstLineChars="200"/>
        <w:contextualSpacing/>
        <w:rPr>
          <w:rFonts w:ascii="宋体" w:hAnsi="宋体" w:cs="仿宋"/>
          <w:sz w:val="24"/>
        </w:rPr>
      </w:pPr>
      <w:r>
        <w:rPr>
          <w:rFonts w:hint="eastAsia" w:ascii="宋体" w:hAnsi="宋体" w:cs="仿宋"/>
          <w:sz w:val="24"/>
        </w:rPr>
        <w:t>2．施工现场严禁吸烟及随意动火，如需动火必须向项目经理提出申请，经项目经理同意签字后方可使用。</w:t>
      </w:r>
    </w:p>
    <w:p w14:paraId="505D9668">
      <w:pPr>
        <w:adjustRightInd w:val="0"/>
        <w:spacing w:line="500" w:lineRule="exact"/>
        <w:ind w:firstLine="480" w:firstLineChars="200"/>
        <w:contextualSpacing/>
        <w:rPr>
          <w:rFonts w:ascii="宋体" w:hAnsi="宋体" w:cs="仿宋"/>
          <w:sz w:val="24"/>
        </w:rPr>
      </w:pPr>
      <w:r>
        <w:rPr>
          <w:rFonts w:hint="eastAsia" w:ascii="宋体" w:hAnsi="宋体" w:cs="仿宋"/>
          <w:sz w:val="24"/>
        </w:rPr>
        <w:t>3．施工中所需使用的易燃物品，如汽油、汽瓶等，必须设专门的临时存放库房并设置灭火器，沙袋等，由专人管理。</w:t>
      </w:r>
    </w:p>
    <w:p w14:paraId="2CDAEFE3">
      <w:pPr>
        <w:adjustRightInd w:val="0"/>
        <w:spacing w:line="500" w:lineRule="exact"/>
        <w:ind w:firstLine="480" w:firstLineChars="200"/>
        <w:contextualSpacing/>
        <w:rPr>
          <w:rFonts w:ascii="宋体" w:hAnsi="宋体" w:cs="仿宋"/>
          <w:sz w:val="24"/>
        </w:rPr>
      </w:pPr>
      <w:r>
        <w:rPr>
          <w:rFonts w:hint="eastAsia" w:ascii="宋体" w:hAnsi="宋体" w:cs="仿宋"/>
          <w:sz w:val="24"/>
        </w:rPr>
        <w:t>4．施工现场认真执行“三清，五好”管理制度，尤其对木制品的刨花、锯末、料头，作到每天工完场清，各类材料都要码放成垛，整齐堆放。</w:t>
      </w:r>
    </w:p>
    <w:p w14:paraId="09402123">
      <w:pPr>
        <w:adjustRightInd w:val="0"/>
        <w:spacing w:line="500" w:lineRule="exact"/>
        <w:ind w:firstLine="480" w:firstLineChars="200"/>
        <w:contextualSpacing/>
        <w:rPr>
          <w:rFonts w:ascii="宋体" w:hAnsi="宋体" w:cs="仿宋"/>
          <w:sz w:val="24"/>
        </w:rPr>
      </w:pPr>
      <w:r>
        <w:rPr>
          <w:rFonts w:hint="eastAsia" w:ascii="宋体" w:hAnsi="宋体" w:cs="仿宋"/>
          <w:sz w:val="24"/>
        </w:rPr>
        <w:t>5．电焊、气焊作业前要明确作业任务，认真了解作业环境，确定出动火危险区域，并立出明显标志，危险区内的一切易燃品都必须移走，对不能移走的可燃物，采取可靠的保护措施。</w:t>
      </w:r>
    </w:p>
    <w:p w14:paraId="371F719B">
      <w:pPr>
        <w:adjustRightInd w:val="0"/>
        <w:spacing w:line="500" w:lineRule="exact"/>
        <w:ind w:firstLine="480" w:firstLineChars="200"/>
        <w:contextualSpacing/>
        <w:rPr>
          <w:rFonts w:ascii="宋体" w:hAnsi="宋体" w:cs="仿宋"/>
          <w:sz w:val="24"/>
        </w:rPr>
      </w:pPr>
      <w:r>
        <w:rPr>
          <w:rFonts w:hint="eastAsia" w:ascii="宋体" w:hAnsi="宋体" w:cs="仿宋"/>
          <w:sz w:val="24"/>
        </w:rPr>
        <w:t>6．焊工必须持证上岗，无证者不能进行操作。</w:t>
      </w:r>
    </w:p>
    <w:p w14:paraId="7A1C6DF8">
      <w:pPr>
        <w:adjustRightInd w:val="0"/>
        <w:spacing w:line="500" w:lineRule="exact"/>
        <w:ind w:firstLine="480" w:firstLineChars="200"/>
        <w:contextualSpacing/>
        <w:rPr>
          <w:rFonts w:ascii="宋体" w:hAnsi="宋体" w:cs="仿宋"/>
          <w:sz w:val="24"/>
        </w:rPr>
      </w:pPr>
      <w:r>
        <w:rPr>
          <w:rFonts w:hint="eastAsia" w:ascii="宋体" w:hAnsi="宋体" w:cs="仿宋"/>
          <w:sz w:val="24"/>
        </w:rPr>
        <w:t>7．属一、二、三级防火范围的焊割作业，未经办理动火审批手续，不准进行焊割作业。</w:t>
      </w:r>
    </w:p>
    <w:p w14:paraId="3B4781B0">
      <w:pPr>
        <w:adjustRightInd w:val="0"/>
        <w:spacing w:line="500" w:lineRule="exact"/>
        <w:ind w:firstLine="480" w:firstLineChars="200"/>
        <w:contextualSpacing/>
        <w:rPr>
          <w:rFonts w:ascii="宋体" w:hAnsi="宋体" w:cs="仿宋"/>
          <w:sz w:val="24"/>
        </w:rPr>
      </w:pPr>
      <w:r>
        <w:rPr>
          <w:rFonts w:hint="eastAsia" w:ascii="宋体" w:hAnsi="宋体" w:cs="仿宋"/>
          <w:sz w:val="24"/>
        </w:rPr>
        <w:t>8．五级风以上禁止动用电气焊。</w:t>
      </w:r>
    </w:p>
    <w:p w14:paraId="2B0E1C44">
      <w:pPr>
        <w:adjustRightInd w:val="0"/>
        <w:spacing w:line="500" w:lineRule="exact"/>
        <w:ind w:firstLine="480" w:firstLineChars="200"/>
        <w:contextualSpacing/>
        <w:rPr>
          <w:rFonts w:ascii="宋体" w:hAnsi="宋体" w:cs="仿宋"/>
          <w:sz w:val="24"/>
        </w:rPr>
      </w:pPr>
      <w:r>
        <w:rPr>
          <w:rFonts w:hint="eastAsia" w:ascii="宋体" w:hAnsi="宋体" w:cs="仿宋"/>
          <w:sz w:val="24"/>
        </w:rPr>
        <w:t>9．高处焊接作业必须采取防焊渣溅落措施。</w:t>
      </w:r>
    </w:p>
    <w:p w14:paraId="18A152AE">
      <w:pPr>
        <w:adjustRightInd w:val="0"/>
        <w:spacing w:line="500" w:lineRule="exact"/>
        <w:ind w:firstLine="480" w:firstLineChars="200"/>
        <w:contextualSpacing/>
        <w:rPr>
          <w:rFonts w:ascii="宋体" w:hAnsi="宋体" w:cs="仿宋"/>
          <w:sz w:val="24"/>
        </w:rPr>
      </w:pPr>
      <w:r>
        <w:rPr>
          <w:rFonts w:hint="eastAsia" w:ascii="宋体" w:hAnsi="宋体" w:cs="仿宋"/>
          <w:sz w:val="24"/>
        </w:rPr>
        <w:t>（五）室外吊篮施工要求</w:t>
      </w:r>
    </w:p>
    <w:p w14:paraId="071D5FDD">
      <w:pPr>
        <w:adjustRightInd w:val="0"/>
        <w:spacing w:line="500" w:lineRule="exact"/>
        <w:ind w:firstLine="480" w:firstLineChars="200"/>
        <w:contextualSpacing/>
        <w:rPr>
          <w:rFonts w:ascii="宋体" w:hAnsi="宋体" w:cs="仿宋"/>
          <w:sz w:val="24"/>
        </w:rPr>
      </w:pPr>
      <w:r>
        <w:rPr>
          <w:rFonts w:hint="eastAsia" w:ascii="宋体" w:hAnsi="宋体" w:cs="仿宋"/>
          <w:sz w:val="24"/>
        </w:rPr>
        <w:t>1.施工前必须检查吊篮的焊接点、杆件、钢丝绳、葫芦，是否存在损坏和生锈，如存在则必须进行除锈补焊、更换等，方可使用。</w:t>
      </w:r>
    </w:p>
    <w:p w14:paraId="2233609E">
      <w:pPr>
        <w:adjustRightInd w:val="0"/>
        <w:spacing w:line="500" w:lineRule="exact"/>
        <w:ind w:firstLine="480" w:firstLineChars="200"/>
        <w:contextualSpacing/>
        <w:rPr>
          <w:rFonts w:ascii="宋体" w:hAnsi="宋体" w:cs="仿宋"/>
          <w:sz w:val="24"/>
        </w:rPr>
      </w:pPr>
      <w:r>
        <w:rPr>
          <w:rFonts w:hint="eastAsia" w:ascii="宋体" w:hAnsi="宋体" w:cs="仿宋"/>
          <w:sz w:val="24"/>
        </w:rPr>
        <w:t>2．上架的施工人员，必须穿工作服、防滑鞋，并正确佩带安全带，并与钢丝绳稳固连接。</w:t>
      </w:r>
      <w:r>
        <w:rPr>
          <w:rFonts w:hint="eastAsia" w:ascii="宋体" w:hAnsi="宋体" w:cs="宋体"/>
          <w:sz w:val="24"/>
        </w:rPr>
        <w:t> </w:t>
      </w:r>
    </w:p>
    <w:p w14:paraId="39D97D47">
      <w:pPr>
        <w:adjustRightInd w:val="0"/>
        <w:spacing w:line="500" w:lineRule="exact"/>
        <w:ind w:firstLine="480" w:firstLineChars="200"/>
        <w:contextualSpacing/>
        <w:rPr>
          <w:rFonts w:ascii="宋体" w:hAnsi="宋体" w:cs="仿宋"/>
          <w:sz w:val="24"/>
        </w:rPr>
      </w:pPr>
      <w:r>
        <w:rPr>
          <w:rFonts w:hint="eastAsia" w:ascii="宋体" w:hAnsi="宋体" w:cs="仿宋"/>
          <w:sz w:val="24"/>
        </w:rPr>
        <w:t>3．外立面吊篮作业严禁使用非标吊篮，吊篮内的施工人员必须保持二人，携带建筑材料以及相应的操作规范按照相关规定执行。</w:t>
      </w:r>
      <w:r>
        <w:rPr>
          <w:rFonts w:hint="eastAsia" w:ascii="宋体" w:hAnsi="宋体" w:cs="宋体"/>
          <w:sz w:val="24"/>
        </w:rPr>
        <w:t> </w:t>
      </w:r>
    </w:p>
    <w:p w14:paraId="79911BFD">
      <w:pPr>
        <w:adjustRightInd w:val="0"/>
        <w:spacing w:line="500" w:lineRule="exact"/>
        <w:ind w:firstLine="480" w:firstLineChars="200"/>
        <w:contextualSpacing/>
        <w:rPr>
          <w:rFonts w:ascii="宋体" w:hAnsi="宋体" w:cs="仿宋"/>
          <w:sz w:val="24"/>
        </w:rPr>
      </w:pPr>
      <w:r>
        <w:rPr>
          <w:rFonts w:hint="eastAsia" w:ascii="宋体" w:hAnsi="宋体" w:cs="仿宋"/>
          <w:sz w:val="24"/>
        </w:rPr>
        <w:t>4．进入施工现场的操作人员必须由经过专业培训的熟练工人进行施工，严禁由小工或未经培训的人员上吊篮操作。</w:t>
      </w:r>
    </w:p>
    <w:p w14:paraId="72BF4A0D">
      <w:pPr>
        <w:adjustRightInd w:val="0"/>
        <w:spacing w:line="500" w:lineRule="exact"/>
        <w:ind w:firstLine="480" w:firstLineChars="200"/>
        <w:contextualSpacing/>
        <w:rPr>
          <w:rFonts w:ascii="宋体" w:hAnsi="宋体" w:cs="仿宋"/>
          <w:sz w:val="24"/>
        </w:rPr>
      </w:pPr>
      <w:r>
        <w:rPr>
          <w:rFonts w:hint="eastAsia" w:ascii="宋体" w:hAnsi="宋体" w:cs="仿宋"/>
          <w:sz w:val="24"/>
        </w:rPr>
        <w:t>5．上吊蓝进行上下移动操作时，必须有两人协同操作。</w:t>
      </w:r>
    </w:p>
    <w:p w14:paraId="61581349">
      <w:pPr>
        <w:adjustRightInd w:val="0"/>
        <w:spacing w:line="500" w:lineRule="exact"/>
        <w:ind w:firstLine="480" w:firstLineChars="200"/>
        <w:contextualSpacing/>
        <w:rPr>
          <w:rFonts w:ascii="宋体" w:hAnsi="宋体" w:cs="仿宋"/>
          <w:sz w:val="24"/>
        </w:rPr>
      </w:pPr>
      <w:r>
        <w:rPr>
          <w:rFonts w:hint="eastAsia" w:ascii="宋体" w:hAnsi="宋体" w:cs="仿宋"/>
          <w:sz w:val="24"/>
        </w:rPr>
        <w:t>6．吊篮底部必须采用建筑用的竹胶板，且用结实的绳索捆扎牢固。</w:t>
      </w:r>
    </w:p>
    <w:p w14:paraId="20B1925B">
      <w:pPr>
        <w:adjustRightInd w:val="0"/>
        <w:spacing w:line="500" w:lineRule="exact"/>
        <w:ind w:firstLine="480" w:firstLineChars="200"/>
        <w:contextualSpacing/>
        <w:rPr>
          <w:rFonts w:ascii="宋体" w:hAnsi="宋体" w:cs="仿宋"/>
          <w:sz w:val="24"/>
        </w:rPr>
      </w:pPr>
      <w:r>
        <w:rPr>
          <w:rFonts w:hint="eastAsia" w:ascii="宋体" w:hAnsi="宋体" w:cs="仿宋"/>
          <w:sz w:val="24"/>
        </w:rPr>
        <w:t>7．吊篮四周必须设有护身栏及挡脚板，并用安全网将篮身围护严密。</w:t>
      </w:r>
    </w:p>
    <w:p w14:paraId="151956A3">
      <w:pPr>
        <w:adjustRightInd w:val="0"/>
        <w:spacing w:line="500" w:lineRule="exact"/>
        <w:ind w:firstLine="480" w:firstLineChars="200"/>
        <w:contextualSpacing/>
        <w:rPr>
          <w:rFonts w:ascii="宋体" w:hAnsi="宋体" w:cs="仿宋"/>
          <w:sz w:val="24"/>
        </w:rPr>
      </w:pPr>
      <w:r>
        <w:rPr>
          <w:rFonts w:hint="eastAsia" w:ascii="宋体" w:hAnsi="宋体" w:cs="仿宋"/>
          <w:sz w:val="24"/>
        </w:rPr>
        <w:t>8．篮内放置的钢抹子、灰刀等零星工具必须用袋子装好并固定于篮身上。</w:t>
      </w:r>
    </w:p>
    <w:p w14:paraId="5D67D8F7">
      <w:pPr>
        <w:adjustRightInd w:val="0"/>
        <w:spacing w:line="500" w:lineRule="exact"/>
        <w:ind w:firstLine="480" w:firstLineChars="200"/>
        <w:contextualSpacing/>
        <w:rPr>
          <w:rFonts w:ascii="宋体" w:hAnsi="宋体" w:cs="仿宋"/>
          <w:sz w:val="24"/>
        </w:rPr>
      </w:pPr>
      <w:r>
        <w:rPr>
          <w:rFonts w:hint="eastAsia" w:ascii="宋体" w:hAnsi="宋体" w:cs="仿宋"/>
          <w:sz w:val="24"/>
        </w:rPr>
        <w:t>（六）人身安全防护措施</w:t>
      </w:r>
    </w:p>
    <w:p w14:paraId="11921449">
      <w:pPr>
        <w:adjustRightInd w:val="0"/>
        <w:spacing w:line="500" w:lineRule="exact"/>
        <w:ind w:firstLine="480" w:firstLineChars="200"/>
        <w:contextualSpacing/>
        <w:rPr>
          <w:rFonts w:ascii="宋体" w:hAnsi="宋体" w:cs="仿宋"/>
          <w:sz w:val="24"/>
        </w:rPr>
      </w:pPr>
      <w:r>
        <w:rPr>
          <w:rFonts w:hint="eastAsia" w:ascii="宋体" w:hAnsi="宋体" w:cs="仿宋"/>
          <w:sz w:val="24"/>
        </w:rPr>
        <w:t>1．安装队员进入施工现场必须戴安全帽。要选择合格产品，有检验部门批量验证和工厂检验合格证。施工人员进入现场前必须系好下额带，以防发生高处坠落，帽飞人落的现象。</w:t>
      </w:r>
      <w:r>
        <w:rPr>
          <w:rFonts w:hint="eastAsia" w:ascii="宋体" w:hAnsi="宋体" w:cs="宋体"/>
          <w:sz w:val="24"/>
        </w:rPr>
        <w:t> </w:t>
      </w:r>
    </w:p>
    <w:p w14:paraId="4928F715">
      <w:pPr>
        <w:adjustRightInd w:val="0"/>
        <w:spacing w:line="500" w:lineRule="exact"/>
        <w:ind w:firstLine="480" w:firstLineChars="200"/>
        <w:contextualSpacing/>
        <w:rPr>
          <w:rFonts w:ascii="宋体" w:hAnsi="宋体" w:cs="仿宋"/>
          <w:sz w:val="24"/>
        </w:rPr>
      </w:pPr>
      <w:r>
        <w:rPr>
          <w:rFonts w:hint="eastAsia" w:ascii="宋体" w:hAnsi="宋体" w:cs="仿宋"/>
          <w:sz w:val="24"/>
        </w:rPr>
        <w:t>2．高空施工操作时必须系好安全带。安全带要选用合格产品，有厂家永久字样的商标、合格证。进入现场必须先检查安全带是否完好。安全带必须挂在牢固结实的地方。</w:t>
      </w:r>
    </w:p>
    <w:p w14:paraId="1A7A4F06">
      <w:pPr>
        <w:adjustRightInd w:val="0"/>
        <w:spacing w:line="500" w:lineRule="exact"/>
        <w:ind w:firstLine="480" w:firstLineChars="200"/>
        <w:contextualSpacing/>
        <w:rPr>
          <w:rFonts w:ascii="宋体" w:hAnsi="宋体" w:cs="仿宋"/>
          <w:sz w:val="24"/>
        </w:rPr>
      </w:pPr>
      <w:r>
        <w:rPr>
          <w:rFonts w:hint="eastAsia" w:ascii="宋体" w:hAnsi="宋体" w:cs="仿宋"/>
          <w:sz w:val="24"/>
        </w:rPr>
        <w:t>3．施工人员应配制工具袋、工具箱，以防工具的掉落。工具用后放入工具袋、工具箱内。施工中待用物料放置时距洞口及楼板沿水平距离为1m以上。收工后，做到工完场清。</w:t>
      </w:r>
    </w:p>
    <w:p w14:paraId="0E2A4A30">
      <w:pPr>
        <w:adjustRightInd w:val="0"/>
        <w:spacing w:line="500" w:lineRule="exact"/>
        <w:ind w:firstLine="480" w:firstLineChars="200"/>
        <w:contextualSpacing/>
        <w:rPr>
          <w:rFonts w:ascii="宋体" w:hAnsi="宋体" w:cs="仿宋"/>
          <w:sz w:val="24"/>
        </w:rPr>
      </w:pPr>
      <w:r>
        <w:rPr>
          <w:rFonts w:hint="eastAsia" w:ascii="宋体" w:hAnsi="宋体" w:cs="仿宋"/>
          <w:sz w:val="24"/>
        </w:rPr>
        <w:t>（七）安全管理</w:t>
      </w:r>
      <w:r>
        <w:rPr>
          <w:rFonts w:hint="eastAsia" w:ascii="宋体" w:hAnsi="宋体" w:cs="宋体"/>
          <w:sz w:val="24"/>
        </w:rPr>
        <w:t> </w:t>
      </w:r>
    </w:p>
    <w:p w14:paraId="5C22258B">
      <w:pPr>
        <w:adjustRightInd w:val="0"/>
        <w:spacing w:line="500" w:lineRule="exact"/>
        <w:ind w:firstLine="480" w:firstLineChars="200"/>
        <w:contextualSpacing/>
        <w:rPr>
          <w:rFonts w:ascii="宋体" w:hAnsi="宋体" w:cs="仿宋"/>
          <w:sz w:val="24"/>
        </w:rPr>
      </w:pPr>
      <w:r>
        <w:rPr>
          <w:rFonts w:hint="eastAsia" w:ascii="宋体" w:hAnsi="宋体" w:cs="仿宋"/>
          <w:sz w:val="24"/>
        </w:rPr>
        <w:t>1．成立安全生产领导小组，由项目经理负责，设置专职安全员检查工程的安全生产工作，严格执行安全生产制度及安全操作规程的各项规定。</w:t>
      </w:r>
    </w:p>
    <w:p w14:paraId="48E9253D">
      <w:pPr>
        <w:adjustRightInd w:val="0"/>
        <w:spacing w:line="500" w:lineRule="exact"/>
        <w:ind w:firstLine="480" w:firstLineChars="200"/>
        <w:contextualSpacing/>
        <w:rPr>
          <w:rFonts w:ascii="宋体" w:hAnsi="宋体" w:cs="仿宋"/>
          <w:sz w:val="24"/>
        </w:rPr>
      </w:pPr>
      <w:r>
        <w:rPr>
          <w:rFonts w:hint="eastAsia" w:ascii="宋体" w:hAnsi="宋体" w:cs="仿宋"/>
          <w:sz w:val="24"/>
        </w:rPr>
        <w:t>2．编制施工组织设计方案和施工技术措施时，都必须有针对性的安全措施，同时必须具备施工现场各类事故应急响应，建立事故应急救援组织，完善设施，编写事故应急处置预案，并定期组织职工演练。</w:t>
      </w:r>
    </w:p>
    <w:p w14:paraId="27F00C75">
      <w:pPr>
        <w:adjustRightInd w:val="0"/>
        <w:spacing w:line="500" w:lineRule="exact"/>
        <w:ind w:firstLine="480" w:firstLineChars="200"/>
        <w:contextualSpacing/>
        <w:rPr>
          <w:rFonts w:ascii="宋体" w:hAnsi="宋体" w:cs="仿宋"/>
          <w:sz w:val="24"/>
        </w:rPr>
      </w:pPr>
      <w:r>
        <w:rPr>
          <w:rFonts w:hint="eastAsia" w:ascii="宋体" w:hAnsi="宋体" w:cs="仿宋"/>
          <w:sz w:val="24"/>
        </w:rPr>
        <w:t>3．做好各分部分项安全交底工作，施工班组每天开班前会，对工人进行针对性安全教育，新工人未经三级安全教育不得上岗。</w:t>
      </w:r>
      <w:r>
        <w:rPr>
          <w:rFonts w:hint="eastAsia" w:ascii="宋体" w:hAnsi="宋体" w:cs="宋体"/>
          <w:sz w:val="24"/>
        </w:rPr>
        <w:t> </w:t>
      </w:r>
    </w:p>
    <w:p w14:paraId="48DA9382">
      <w:pPr>
        <w:adjustRightInd w:val="0"/>
        <w:spacing w:line="500" w:lineRule="exact"/>
        <w:ind w:firstLine="480" w:firstLineChars="200"/>
        <w:contextualSpacing/>
        <w:rPr>
          <w:rFonts w:ascii="宋体" w:hAnsi="宋体" w:cs="仿宋"/>
          <w:sz w:val="24"/>
        </w:rPr>
      </w:pPr>
      <w:r>
        <w:rPr>
          <w:rFonts w:hint="eastAsia" w:ascii="宋体" w:hAnsi="宋体" w:cs="仿宋"/>
          <w:sz w:val="24"/>
        </w:rPr>
        <w:t>4．保证和完善各项安全宣传措施，醒目位置设立安全生产宣传牌，场内安全生产宣传牌警告。</w:t>
      </w:r>
    </w:p>
    <w:p w14:paraId="48F73C49">
      <w:pPr>
        <w:adjustRightInd w:val="0"/>
        <w:spacing w:line="500" w:lineRule="exact"/>
        <w:ind w:firstLine="480" w:firstLineChars="200"/>
        <w:contextualSpacing/>
        <w:rPr>
          <w:rFonts w:ascii="宋体" w:hAnsi="宋体" w:cs="仿宋"/>
          <w:sz w:val="24"/>
        </w:rPr>
      </w:pPr>
      <w:r>
        <w:rPr>
          <w:rFonts w:hint="eastAsia" w:ascii="宋体" w:hAnsi="宋体" w:cs="仿宋"/>
          <w:sz w:val="24"/>
        </w:rPr>
        <w:t>（八）文明施工要求</w:t>
      </w:r>
    </w:p>
    <w:p w14:paraId="2DE9FDDA">
      <w:pPr>
        <w:adjustRightInd w:val="0"/>
        <w:spacing w:line="500" w:lineRule="exact"/>
        <w:ind w:firstLine="480" w:firstLineChars="200"/>
        <w:contextualSpacing/>
        <w:rPr>
          <w:rFonts w:ascii="宋体" w:hAnsi="宋体" w:cs="仿宋"/>
          <w:sz w:val="24"/>
        </w:rPr>
      </w:pPr>
      <w:r>
        <w:rPr>
          <w:rFonts w:hint="eastAsia" w:ascii="宋体" w:hAnsi="宋体" w:cs="仿宋"/>
          <w:sz w:val="24"/>
        </w:rPr>
        <w:t>1．进入施工现场严禁酗酒，滋事打架及进行各种赌博等违法违章行为，轻者清除现场，重者送执法机关依法处理。</w:t>
      </w:r>
      <w:r>
        <w:rPr>
          <w:rFonts w:hint="eastAsia" w:ascii="宋体" w:hAnsi="宋体" w:cs="宋体"/>
          <w:sz w:val="24"/>
        </w:rPr>
        <w:t> </w:t>
      </w:r>
    </w:p>
    <w:p w14:paraId="0462BB7C">
      <w:pPr>
        <w:adjustRightInd w:val="0"/>
        <w:spacing w:line="500" w:lineRule="exact"/>
        <w:ind w:firstLine="480" w:firstLineChars="200"/>
        <w:contextualSpacing/>
        <w:rPr>
          <w:rFonts w:ascii="宋体" w:hAnsi="宋体" w:cs="仿宋"/>
          <w:sz w:val="24"/>
        </w:rPr>
      </w:pPr>
      <w:r>
        <w:rPr>
          <w:rFonts w:hint="eastAsia" w:ascii="宋体" w:hAnsi="宋体" w:cs="仿宋"/>
          <w:sz w:val="24"/>
        </w:rPr>
        <w:t>2．除夜间加班外，必须保证晚上十点后休息，以保证第二天的工作精神状况。</w:t>
      </w:r>
      <w:r>
        <w:rPr>
          <w:rFonts w:hint="eastAsia" w:ascii="宋体" w:hAnsi="宋体" w:cs="宋体"/>
          <w:sz w:val="24"/>
        </w:rPr>
        <w:t> </w:t>
      </w:r>
    </w:p>
    <w:p w14:paraId="13B31E7B">
      <w:pPr>
        <w:adjustRightInd w:val="0"/>
        <w:spacing w:line="500" w:lineRule="exact"/>
        <w:ind w:firstLine="480" w:firstLineChars="200"/>
        <w:contextualSpacing/>
        <w:rPr>
          <w:rFonts w:ascii="宋体" w:hAnsi="宋体" w:cs="仿宋"/>
          <w:sz w:val="24"/>
        </w:rPr>
      </w:pPr>
      <w:r>
        <w:rPr>
          <w:rFonts w:hint="eastAsia" w:ascii="宋体" w:hAnsi="宋体" w:cs="仿宋"/>
          <w:sz w:val="24"/>
        </w:rPr>
        <w:t>3．严禁带病上岗操作，一经发现必须由各施工班组长负责安排换岗或休息，以保证所有施工人员的人身安全。</w:t>
      </w:r>
      <w:r>
        <w:rPr>
          <w:rFonts w:hint="eastAsia" w:ascii="宋体" w:hAnsi="宋体" w:cs="宋体"/>
          <w:sz w:val="24"/>
        </w:rPr>
        <w:t> </w:t>
      </w:r>
    </w:p>
    <w:p w14:paraId="41651887">
      <w:pPr>
        <w:adjustRightInd w:val="0"/>
        <w:spacing w:line="500" w:lineRule="exact"/>
        <w:ind w:firstLine="480" w:firstLineChars="200"/>
        <w:contextualSpacing/>
        <w:rPr>
          <w:rFonts w:ascii="宋体" w:hAnsi="宋体" w:cs="仿宋"/>
          <w:sz w:val="24"/>
        </w:rPr>
      </w:pPr>
      <w:r>
        <w:rPr>
          <w:rFonts w:hint="eastAsia" w:ascii="宋体" w:hAnsi="宋体" w:cs="仿宋"/>
          <w:sz w:val="24"/>
        </w:rPr>
        <w:t>4．施工现场严禁随地大小便。</w:t>
      </w:r>
    </w:p>
    <w:p w14:paraId="2916A277">
      <w:pPr>
        <w:adjustRightInd w:val="0"/>
        <w:spacing w:line="500" w:lineRule="exact"/>
        <w:ind w:firstLine="480" w:firstLineChars="200"/>
        <w:contextualSpacing/>
        <w:rPr>
          <w:rFonts w:ascii="宋体" w:hAnsi="宋体" w:cs="仿宋"/>
          <w:sz w:val="24"/>
        </w:rPr>
      </w:pPr>
      <w:r>
        <w:rPr>
          <w:rFonts w:hint="eastAsia" w:ascii="宋体" w:hAnsi="宋体" w:cs="仿宋"/>
          <w:sz w:val="24"/>
        </w:rPr>
        <w:t>5．严禁现场人员出现偷盗工具及材料现象，一经发现，必须清除现场，并视情节对班组负责人进行一定的经济处罚。</w:t>
      </w:r>
    </w:p>
    <w:p w14:paraId="7F22B557">
      <w:pPr>
        <w:adjustRightInd w:val="0"/>
        <w:spacing w:line="500" w:lineRule="exact"/>
        <w:ind w:firstLine="480" w:firstLineChars="200"/>
        <w:contextualSpacing/>
        <w:rPr>
          <w:rFonts w:ascii="宋体" w:hAnsi="宋体" w:cs="仿宋"/>
          <w:sz w:val="24"/>
        </w:rPr>
      </w:pPr>
      <w:r>
        <w:rPr>
          <w:rFonts w:hint="eastAsia" w:ascii="宋体" w:hAnsi="宋体" w:cs="仿宋"/>
          <w:sz w:val="24"/>
        </w:rPr>
        <w:t>6．施工现场严禁容留一切不明身份的非工作人员，更不准带小孩进入施工现场。</w:t>
      </w:r>
    </w:p>
    <w:p w14:paraId="56C578FC">
      <w:pPr>
        <w:adjustRightInd w:val="0"/>
        <w:spacing w:line="500" w:lineRule="exact"/>
        <w:ind w:firstLine="480" w:firstLineChars="200"/>
        <w:contextualSpacing/>
        <w:rPr>
          <w:rFonts w:ascii="宋体" w:hAnsi="宋体" w:cs="仿宋"/>
          <w:sz w:val="24"/>
        </w:rPr>
      </w:pPr>
      <w:r>
        <w:rPr>
          <w:rFonts w:hint="eastAsia" w:ascii="宋体" w:hAnsi="宋体" w:cs="仿宋"/>
          <w:sz w:val="24"/>
        </w:rPr>
        <w:t>7．进入施工现场不得违反所有规章制度，如有违反，视情节轻重对班组负责人及违反人进行一定的处罚。</w:t>
      </w:r>
    </w:p>
    <w:p w14:paraId="57238FE6">
      <w:pPr>
        <w:adjustRightInd w:val="0"/>
        <w:spacing w:line="500" w:lineRule="exact"/>
        <w:ind w:firstLine="480" w:firstLineChars="200"/>
        <w:contextualSpacing/>
        <w:rPr>
          <w:rFonts w:ascii="宋体" w:hAnsi="宋体" w:cs="仿宋"/>
          <w:sz w:val="24"/>
        </w:rPr>
      </w:pPr>
      <w:r>
        <w:rPr>
          <w:rFonts w:hint="eastAsia" w:ascii="宋体" w:hAnsi="宋体" w:cs="仿宋"/>
          <w:sz w:val="24"/>
        </w:rPr>
        <w:t>（九）施工现场环境要求</w:t>
      </w:r>
    </w:p>
    <w:p w14:paraId="511F0D7C">
      <w:pPr>
        <w:adjustRightInd w:val="0"/>
        <w:spacing w:line="500" w:lineRule="exact"/>
        <w:ind w:firstLine="480" w:firstLineChars="200"/>
        <w:contextualSpacing/>
        <w:rPr>
          <w:rFonts w:ascii="宋体" w:hAnsi="宋体" w:cs="仿宋"/>
          <w:sz w:val="24"/>
        </w:rPr>
      </w:pPr>
      <w:r>
        <w:rPr>
          <w:rFonts w:hint="eastAsia" w:ascii="宋体" w:hAnsi="宋体" w:cs="仿宋"/>
          <w:sz w:val="24"/>
        </w:rPr>
        <w:t>1．施工现场分别设置一座封闭式建筑垃圾站和一座封闭式生活垃圾站，定期清理外运施工垃圾。</w:t>
      </w:r>
    </w:p>
    <w:p w14:paraId="10DDCC75">
      <w:pPr>
        <w:adjustRightInd w:val="0"/>
        <w:spacing w:line="500" w:lineRule="exact"/>
        <w:ind w:firstLine="480" w:firstLineChars="200"/>
        <w:contextualSpacing/>
        <w:rPr>
          <w:rFonts w:ascii="宋体" w:hAnsi="宋体" w:cs="仿宋"/>
          <w:sz w:val="24"/>
        </w:rPr>
      </w:pPr>
      <w:r>
        <w:rPr>
          <w:rFonts w:hint="eastAsia" w:ascii="宋体" w:hAnsi="宋体" w:cs="仿宋"/>
          <w:sz w:val="24"/>
        </w:rPr>
        <w:t>2．施工现场细颗散体材料装卸运输时，必须采取遮盖等有效措施，材料入库存放，出入厂汽车要保证不将渣土遗撒在厂区。</w:t>
      </w:r>
    </w:p>
    <w:p w14:paraId="3FCC7E10">
      <w:pPr>
        <w:adjustRightInd w:val="0"/>
        <w:spacing w:line="500" w:lineRule="exact"/>
        <w:ind w:firstLine="480" w:firstLineChars="200"/>
        <w:contextualSpacing/>
        <w:rPr>
          <w:rFonts w:ascii="宋体" w:hAnsi="宋体" w:cs="仿宋"/>
          <w:sz w:val="24"/>
        </w:rPr>
      </w:pPr>
      <w:r>
        <w:rPr>
          <w:rFonts w:hint="eastAsia" w:ascii="宋体" w:hAnsi="宋体" w:cs="仿宋"/>
          <w:sz w:val="24"/>
        </w:rPr>
        <w:t>3．施工现场设置封闭式的油库、油漆库，必须做防水处理，容量必须做到不慎不漏，室外不得乱置油料、油漆等易燃、易爆危险化学物品。</w:t>
      </w:r>
    </w:p>
    <w:p w14:paraId="0BF695FD">
      <w:pPr>
        <w:adjustRightInd w:val="0"/>
        <w:spacing w:line="500" w:lineRule="exact"/>
        <w:ind w:firstLine="480" w:firstLineChars="200"/>
        <w:contextualSpacing/>
        <w:rPr>
          <w:rFonts w:ascii="宋体" w:hAnsi="宋体" w:cs="仿宋"/>
          <w:sz w:val="24"/>
        </w:rPr>
      </w:pPr>
      <w:r>
        <w:rPr>
          <w:rFonts w:hint="eastAsia" w:ascii="宋体" w:hAnsi="宋体" w:cs="仿宋"/>
          <w:sz w:val="24"/>
        </w:rPr>
        <w:t>4．施工现场各种机械使用时必须采取有效地降噪措施，降低噪声频率，对强噪声机械采取封闭措施。</w:t>
      </w:r>
    </w:p>
    <w:p w14:paraId="69935035">
      <w:pPr>
        <w:adjustRightInd w:val="0"/>
        <w:spacing w:line="500" w:lineRule="exact"/>
        <w:ind w:firstLine="480" w:firstLineChars="200"/>
        <w:contextualSpacing/>
        <w:rPr>
          <w:rFonts w:ascii="宋体" w:hAnsi="宋体" w:cs="仿宋"/>
          <w:sz w:val="24"/>
        </w:rPr>
      </w:pPr>
      <w:r>
        <w:rPr>
          <w:rFonts w:hint="eastAsia" w:ascii="宋体" w:hAnsi="宋体" w:cs="仿宋"/>
          <w:sz w:val="24"/>
        </w:rPr>
        <w:t>5．在容易产生粉尘的场所，施工人员必须佩带防护口罩，并采取有效地除尘、降尘措施，保障施工人员的身体健康。</w:t>
      </w:r>
    </w:p>
    <w:p w14:paraId="78091B62">
      <w:pPr>
        <w:adjustRightInd w:val="0"/>
        <w:spacing w:line="500" w:lineRule="exact"/>
        <w:ind w:firstLine="480" w:firstLineChars="200"/>
        <w:contextualSpacing/>
        <w:rPr>
          <w:rFonts w:ascii="宋体" w:hAnsi="宋体" w:cs="仿宋"/>
          <w:sz w:val="24"/>
        </w:rPr>
      </w:pPr>
      <w:r>
        <w:rPr>
          <w:rFonts w:hint="eastAsia" w:ascii="宋体" w:hAnsi="宋体" w:cs="仿宋"/>
          <w:sz w:val="24"/>
        </w:rPr>
        <w:t>（十）工程质量的要求</w:t>
      </w:r>
    </w:p>
    <w:p w14:paraId="35357DC8">
      <w:pPr>
        <w:adjustRightInd w:val="0"/>
        <w:spacing w:line="500" w:lineRule="exact"/>
        <w:ind w:firstLine="480" w:firstLineChars="200"/>
        <w:contextualSpacing/>
        <w:rPr>
          <w:rFonts w:ascii="宋体" w:hAnsi="宋体" w:cs="仿宋"/>
          <w:sz w:val="24"/>
        </w:rPr>
      </w:pPr>
      <w:r>
        <w:rPr>
          <w:rFonts w:hint="eastAsia" w:ascii="宋体" w:hAnsi="宋体" w:cs="仿宋"/>
          <w:sz w:val="24"/>
        </w:rPr>
        <w:t>工程质量应符合国家现行施工验收规范（含国家或行业安全技术标准）、以及甲方工程项目安全技术要求和需要，必须达到专业质量检验评定的优良以上等级。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14:paraId="2E6C14C0">
      <w:pPr>
        <w:adjustRightInd w:val="0"/>
        <w:spacing w:line="500" w:lineRule="exact"/>
        <w:ind w:firstLine="480" w:firstLineChars="200"/>
        <w:contextualSpacing/>
        <w:rPr>
          <w:rFonts w:ascii="宋体" w:hAnsi="宋体" w:cs="仿宋"/>
          <w:sz w:val="24"/>
        </w:rPr>
      </w:pPr>
      <w:r>
        <w:rPr>
          <w:rFonts w:hint="eastAsia" w:ascii="宋体" w:hAnsi="宋体" w:cs="仿宋"/>
          <w:sz w:val="24"/>
        </w:rPr>
        <w:t>本协议与双方签定的施工合同时效相同，本协议书一式两份，甲乙双方各保存一份，签定施工合同的同时签定本协议。施工合同到期后，本协议同时终止。</w:t>
      </w:r>
    </w:p>
    <w:p w14:paraId="64367A83">
      <w:pPr>
        <w:adjustRightInd w:val="0"/>
        <w:spacing w:line="500" w:lineRule="exact"/>
        <w:ind w:firstLine="480" w:firstLineChars="200"/>
        <w:contextualSpacing/>
        <w:rPr>
          <w:rFonts w:ascii="宋体" w:hAnsi="宋体" w:cs="仿宋"/>
          <w:sz w:val="24"/>
        </w:rPr>
      </w:pPr>
      <w:r>
        <w:rPr>
          <w:rFonts w:hint="eastAsia" w:ascii="宋体" w:hAnsi="宋体" w:cs="仿宋"/>
          <w:sz w:val="24"/>
        </w:rPr>
        <w:t xml:space="preserve">甲方（盖章）： </w:t>
      </w:r>
      <w:r>
        <w:rPr>
          <w:rFonts w:ascii="宋体" w:hAnsi="宋体" w:cs="仿宋"/>
          <w:sz w:val="24"/>
        </w:rPr>
        <w:t xml:space="preserve">                                 </w:t>
      </w:r>
      <w:r>
        <w:rPr>
          <w:rFonts w:hint="eastAsia" w:ascii="宋体" w:hAnsi="宋体" w:cs="仿宋"/>
          <w:sz w:val="24"/>
        </w:rPr>
        <w:t>乙方（盖章）：</w:t>
      </w:r>
    </w:p>
    <w:p w14:paraId="4D4EAE00">
      <w:pPr>
        <w:adjustRightInd w:val="0"/>
        <w:spacing w:line="500" w:lineRule="exact"/>
        <w:ind w:firstLine="480" w:firstLineChars="200"/>
        <w:contextualSpacing/>
        <w:rPr>
          <w:rFonts w:ascii="宋体" w:hAnsi="宋体" w:cs="仿宋"/>
          <w:sz w:val="24"/>
        </w:rPr>
      </w:pPr>
      <w:r>
        <w:rPr>
          <w:rFonts w:hint="eastAsia" w:ascii="宋体" w:hAnsi="宋体" w:cs="仿宋"/>
          <w:sz w:val="24"/>
        </w:rPr>
        <w:t xml:space="preserve">法定代表人/负责人/授权代理人： </w:t>
      </w:r>
      <w:r>
        <w:rPr>
          <w:rFonts w:ascii="宋体" w:hAnsi="宋体" w:cs="仿宋"/>
          <w:sz w:val="24"/>
        </w:rPr>
        <w:t xml:space="preserve">               </w:t>
      </w:r>
      <w:r>
        <w:rPr>
          <w:rFonts w:hint="eastAsia" w:ascii="宋体" w:hAnsi="宋体" w:cs="仿宋"/>
          <w:sz w:val="24"/>
        </w:rPr>
        <w:t>法定代表人/负责人/授权代理人：</w:t>
      </w:r>
    </w:p>
    <w:p w14:paraId="76C66119">
      <w:pPr>
        <w:tabs>
          <w:tab w:val="left" w:pos="5150"/>
        </w:tabs>
        <w:adjustRightInd w:val="0"/>
        <w:spacing w:line="500" w:lineRule="exact"/>
        <w:ind w:right="7" w:firstLine="480" w:firstLineChars="200"/>
        <w:contextualSpacing/>
        <w:rPr>
          <w:rFonts w:ascii="宋体" w:hAnsi="宋体" w:cs="仿宋"/>
          <w:sz w:val="24"/>
        </w:rPr>
      </w:pPr>
      <w:r>
        <w:rPr>
          <w:rFonts w:hint="eastAsia" w:ascii="宋体" w:hAnsi="宋体" w:cs="仿宋"/>
          <w:sz w:val="24"/>
        </w:rPr>
        <w:t xml:space="preserve">日期：年月日 </w:t>
      </w:r>
      <w:r>
        <w:rPr>
          <w:rFonts w:ascii="宋体" w:hAnsi="宋体" w:cs="仿宋"/>
          <w:sz w:val="24"/>
        </w:rPr>
        <w:t xml:space="preserve">                                </w:t>
      </w:r>
      <w:r>
        <w:rPr>
          <w:rFonts w:hint="eastAsia" w:ascii="宋体" w:hAnsi="宋体" w:cs="仿宋"/>
          <w:sz w:val="24"/>
        </w:rPr>
        <w:t>日期：年月日</w:t>
      </w:r>
    </w:p>
    <w:p w14:paraId="5D104731">
      <w:pPr>
        <w:tabs>
          <w:tab w:val="left" w:pos="5150"/>
        </w:tabs>
        <w:adjustRightInd w:val="0"/>
        <w:snapToGrid w:val="0"/>
        <w:spacing w:line="400" w:lineRule="exact"/>
        <w:ind w:right="7"/>
        <w:rPr>
          <w:rFonts w:ascii="仿宋" w:hAnsi="仿宋" w:eastAsia="仿宋_GB2312" w:cs="仿宋"/>
          <w:sz w:val="24"/>
        </w:rPr>
      </w:pPr>
    </w:p>
    <w:p w14:paraId="58A1B0B8">
      <w:pPr>
        <w:jc w:val="left"/>
        <w:rPr>
          <w:rFonts w:hint="eastAsia"/>
        </w:rPr>
      </w:pPr>
    </w:p>
    <w:p w14:paraId="6309A16C">
      <w:pPr>
        <w:ind w:firstLine="361" w:firstLineChars="150"/>
        <w:jc w:val="center"/>
        <w:outlineLvl w:val="0"/>
        <w:rPr>
          <w:b/>
          <w:bCs/>
        </w:rPr>
      </w:pPr>
      <w:r>
        <w:rPr>
          <w:rFonts w:hint="eastAsia" w:ascii="仿宋_GB2312" w:hAnsi="仿宋" w:cs="宋体"/>
          <w:b/>
          <w:sz w:val="24"/>
        </w:rPr>
        <w:br w:type="page"/>
      </w:r>
      <w:r>
        <w:rPr>
          <w:rFonts w:hint="eastAsia" w:ascii="宋体" w:hAnsi="宋体" w:cs="宋体"/>
          <w:b/>
          <w:bCs/>
          <w:spacing w:val="-6"/>
          <w:sz w:val="32"/>
          <w:szCs w:val="32"/>
        </w:rPr>
        <w:t>第六章  投标文件格式</w:t>
      </w:r>
    </w:p>
    <w:p w14:paraId="1F5A6B2D">
      <w:pPr>
        <w:spacing w:line="360" w:lineRule="auto"/>
        <w:jc w:val="center"/>
        <w:rPr>
          <w:rFonts w:hint="eastAsia" w:ascii="宋体" w:hAnsi="宋体"/>
          <w:b/>
          <w:bCs/>
          <w:spacing w:val="-6"/>
          <w:sz w:val="24"/>
        </w:rPr>
      </w:pPr>
    </w:p>
    <w:p w14:paraId="276C9D2F">
      <w:pPr>
        <w:pStyle w:val="17"/>
        <w:spacing w:before="0" w:beforeLines="0" w:after="0" w:afterLines="0" w:line="360" w:lineRule="auto"/>
        <w:jc w:val="center"/>
        <w:rPr>
          <w:rFonts w:hint="eastAsia" w:hAnsi="宋体"/>
          <w:b/>
          <w:bCs/>
          <w:spacing w:val="-6"/>
          <w:sz w:val="21"/>
          <w:szCs w:val="21"/>
        </w:rPr>
      </w:pPr>
      <w:r>
        <w:rPr>
          <w:rFonts w:hint="eastAsia" w:hAnsi="宋体"/>
          <w:b/>
          <w:bCs/>
          <w:spacing w:val="-6"/>
          <w:sz w:val="21"/>
          <w:szCs w:val="21"/>
        </w:rPr>
        <w:t xml:space="preserve">投标文件的编制应按照本项目：“第二章  投标人须知    </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bCs/>
          <w:spacing w:val="-6"/>
          <w:sz w:val="21"/>
          <w:szCs w:val="21"/>
        </w:rPr>
        <w:t>”</w:t>
      </w:r>
      <w:r>
        <w:rPr>
          <w:rFonts w:hint="eastAsia" w:hAnsi="宋体"/>
          <w:b/>
          <w:spacing w:val="-6"/>
          <w:sz w:val="21"/>
          <w:szCs w:val="21"/>
        </w:rPr>
        <w:t>的要求编制。</w:t>
      </w:r>
    </w:p>
    <w:p w14:paraId="4B5265D3">
      <w:pPr>
        <w:spacing w:line="360" w:lineRule="auto"/>
        <w:rPr>
          <w:rFonts w:hint="eastAsia" w:ascii="宋体" w:hAnsi="宋体"/>
          <w:b/>
          <w:bCs/>
          <w:spacing w:val="-6"/>
          <w:sz w:val="24"/>
        </w:rPr>
      </w:pPr>
    </w:p>
    <w:p w14:paraId="124DDC2F">
      <w:pPr>
        <w:spacing w:line="360" w:lineRule="auto"/>
        <w:rPr>
          <w:rFonts w:hint="eastAsia" w:ascii="宋体" w:hAnsi="宋体"/>
          <w:b/>
          <w:bCs/>
          <w:spacing w:val="-6"/>
          <w:sz w:val="24"/>
        </w:rPr>
      </w:pPr>
    </w:p>
    <w:p w14:paraId="397C5811">
      <w:pPr>
        <w:spacing w:line="360" w:lineRule="auto"/>
        <w:rPr>
          <w:rFonts w:hint="eastAsia" w:ascii="宋体" w:hAnsi="宋体"/>
          <w:b/>
          <w:bCs/>
          <w:spacing w:val="-6"/>
          <w:sz w:val="24"/>
        </w:rPr>
      </w:pPr>
    </w:p>
    <w:p w14:paraId="6CBAD805">
      <w:pPr>
        <w:spacing w:line="360" w:lineRule="auto"/>
        <w:jc w:val="center"/>
        <w:rPr>
          <w:rFonts w:hint="eastAsia" w:ascii="宋体" w:hAnsi="宋体"/>
          <w:b/>
          <w:bCs/>
          <w:spacing w:val="-6"/>
          <w:sz w:val="24"/>
        </w:rPr>
      </w:pPr>
      <w:r>
        <w:rPr>
          <w:rFonts w:hint="eastAsia" w:ascii="宋体" w:hAnsi="宋体"/>
          <w:b/>
          <w:bCs/>
          <w:spacing w:val="-6"/>
          <w:sz w:val="24"/>
        </w:rPr>
        <w:t>外层包装（封签）</w:t>
      </w:r>
    </w:p>
    <w:p w14:paraId="5FFC51E7">
      <w:pPr>
        <w:spacing w:line="360" w:lineRule="auto"/>
        <w:rPr>
          <w:rFonts w:hint="eastAsia" w:ascii="宋体" w:hAnsi="宋体"/>
          <w:spacing w:val="-6"/>
          <w:sz w:val="24"/>
        </w:rPr>
      </w:pPr>
    </w:p>
    <w:p w14:paraId="46F68983">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2E9D9B44">
      <w:pPr>
        <w:spacing w:line="360" w:lineRule="auto"/>
        <w:jc w:val="center"/>
        <w:rPr>
          <w:rFonts w:hint="eastAsia" w:ascii="宋体" w:hAnsi="宋体"/>
          <w:b/>
          <w:bCs/>
          <w:spacing w:val="-6"/>
          <w:sz w:val="24"/>
        </w:rPr>
      </w:pPr>
      <w:r>
        <w:rPr>
          <w:rFonts w:hint="eastAsia" w:ascii="宋体" w:hAnsi="宋体"/>
          <w:b/>
          <w:bCs/>
          <w:spacing w:val="-6"/>
          <w:sz w:val="24"/>
        </w:rPr>
        <w:t>投标文件</w:t>
      </w:r>
    </w:p>
    <w:p w14:paraId="7D4E01E3">
      <w:pPr>
        <w:spacing w:line="360" w:lineRule="auto"/>
        <w:rPr>
          <w:rFonts w:hint="eastAsia" w:ascii="宋体" w:hAnsi="宋体"/>
          <w:bCs/>
          <w:spacing w:val="-6"/>
          <w:sz w:val="24"/>
        </w:rPr>
      </w:pPr>
    </w:p>
    <w:p w14:paraId="26B8B30E">
      <w:pPr>
        <w:spacing w:line="360" w:lineRule="auto"/>
        <w:rPr>
          <w:rFonts w:hint="eastAsia" w:ascii="宋体" w:hAnsi="宋体"/>
          <w:bCs/>
          <w:spacing w:val="-6"/>
          <w:sz w:val="24"/>
        </w:rPr>
      </w:pPr>
      <w:r>
        <w:rPr>
          <w:rFonts w:hint="eastAsia" w:ascii="宋体" w:hAnsi="宋体"/>
          <w:bCs/>
          <w:spacing w:val="-6"/>
          <w:sz w:val="24"/>
        </w:rPr>
        <w:t>招 标 人：</w:t>
      </w:r>
    </w:p>
    <w:p w14:paraId="72904703">
      <w:pPr>
        <w:spacing w:line="360" w:lineRule="auto"/>
        <w:rPr>
          <w:rFonts w:hint="eastAsia" w:ascii="宋体" w:hAnsi="宋体"/>
          <w:bCs/>
          <w:spacing w:val="-6"/>
          <w:sz w:val="24"/>
        </w:rPr>
      </w:pPr>
      <w:r>
        <w:rPr>
          <w:rFonts w:hint="eastAsia" w:ascii="宋体" w:hAnsi="宋体"/>
          <w:bCs/>
          <w:spacing w:val="-6"/>
          <w:sz w:val="24"/>
        </w:rPr>
        <w:t>项目名称：</w:t>
      </w:r>
    </w:p>
    <w:p w14:paraId="5A679CEA">
      <w:pPr>
        <w:spacing w:line="360" w:lineRule="auto"/>
        <w:rPr>
          <w:rFonts w:hint="eastAsia" w:ascii="宋体" w:hAnsi="宋体"/>
          <w:bCs/>
          <w:spacing w:val="-6"/>
          <w:sz w:val="24"/>
        </w:rPr>
      </w:pPr>
      <w:r>
        <w:rPr>
          <w:rFonts w:hint="eastAsia" w:ascii="宋体" w:hAnsi="宋体"/>
          <w:bCs/>
          <w:spacing w:val="-6"/>
          <w:sz w:val="24"/>
        </w:rPr>
        <w:t>项目编号：</w:t>
      </w:r>
    </w:p>
    <w:p w14:paraId="248870DB">
      <w:pPr>
        <w:spacing w:line="360" w:lineRule="auto"/>
        <w:rPr>
          <w:rFonts w:hint="eastAsia" w:ascii="宋体" w:hAnsi="宋体"/>
          <w:bCs/>
          <w:spacing w:val="-6"/>
          <w:sz w:val="24"/>
        </w:rPr>
      </w:pPr>
      <w:r>
        <w:rPr>
          <w:rFonts w:hint="eastAsia" w:ascii="宋体" w:hAnsi="宋体"/>
          <w:bCs/>
          <w:spacing w:val="-6"/>
          <w:sz w:val="24"/>
        </w:rPr>
        <w:t>投标人名称（盖章）：</w:t>
      </w:r>
    </w:p>
    <w:p w14:paraId="1431E823">
      <w:pPr>
        <w:spacing w:line="360" w:lineRule="auto"/>
        <w:rPr>
          <w:rFonts w:hint="eastAsia" w:ascii="宋体" w:hAnsi="宋体"/>
          <w:bCs/>
          <w:spacing w:val="-6"/>
          <w:sz w:val="24"/>
        </w:rPr>
      </w:pPr>
      <w:r>
        <w:rPr>
          <w:rFonts w:hint="eastAsia" w:ascii="宋体" w:hAnsi="宋体"/>
          <w:bCs/>
          <w:spacing w:val="-6"/>
          <w:sz w:val="24"/>
        </w:rPr>
        <w:t>投标人地址：</w:t>
      </w:r>
    </w:p>
    <w:p w14:paraId="2B64BDF5">
      <w:pPr>
        <w:spacing w:line="360" w:lineRule="auto"/>
        <w:rPr>
          <w:rFonts w:hint="eastAsia" w:ascii="宋体" w:hAnsi="宋体"/>
          <w:bCs/>
          <w:spacing w:val="-6"/>
          <w:sz w:val="24"/>
        </w:rPr>
      </w:pPr>
      <w:r>
        <w:rPr>
          <w:rFonts w:hint="eastAsia" w:ascii="宋体" w:hAnsi="宋体"/>
          <w:bCs/>
          <w:spacing w:val="-6"/>
          <w:sz w:val="24"/>
        </w:rPr>
        <w:t>在     年   月   日   时   分之前不得启封</w:t>
      </w:r>
    </w:p>
    <w:p w14:paraId="14142931">
      <w:pPr>
        <w:spacing w:line="360" w:lineRule="auto"/>
        <w:rPr>
          <w:rFonts w:hint="eastAsia" w:ascii="宋体" w:hAnsi="宋体"/>
          <w:bCs/>
          <w:spacing w:val="-6"/>
          <w:sz w:val="24"/>
        </w:rPr>
      </w:pPr>
    </w:p>
    <w:p w14:paraId="7C1A6A61">
      <w:pPr>
        <w:spacing w:line="360" w:lineRule="auto"/>
        <w:rPr>
          <w:rFonts w:hint="eastAsia" w:ascii="宋体" w:hAnsi="宋体"/>
          <w:bCs/>
          <w:spacing w:val="-6"/>
          <w:sz w:val="24"/>
        </w:rPr>
      </w:pPr>
      <w:r>
        <w:rPr>
          <w:rFonts w:hint="eastAsia" w:ascii="宋体" w:hAnsi="宋体"/>
          <w:bCs/>
          <w:spacing w:val="-6"/>
          <w:sz w:val="24"/>
        </w:rPr>
        <w:t>日期：     年   月   日</w:t>
      </w:r>
    </w:p>
    <w:p w14:paraId="2DD5906A">
      <w:pPr>
        <w:spacing w:line="360" w:lineRule="auto"/>
        <w:outlineLvl w:val="1"/>
        <w:rPr>
          <w:rFonts w:hint="eastAsia" w:ascii="宋体" w:hAnsi="宋体"/>
          <w:spacing w:val="-6"/>
          <w:sz w:val="24"/>
        </w:rPr>
      </w:pPr>
      <w:r>
        <w:rPr>
          <w:rFonts w:ascii="宋体" w:hAnsi="宋体"/>
          <w:bCs/>
          <w:spacing w:val="-6"/>
          <w:sz w:val="24"/>
        </w:rPr>
        <w:br w:type="page"/>
      </w:r>
      <w:r>
        <w:rPr>
          <w:rFonts w:hint="eastAsia" w:ascii="宋体" w:hAnsi="宋体"/>
          <w:bCs/>
          <w:spacing w:val="-6"/>
          <w:sz w:val="24"/>
        </w:rPr>
        <w:t>报价文件</w:t>
      </w:r>
      <w:r>
        <w:rPr>
          <w:rFonts w:hint="eastAsia" w:ascii="宋体" w:hAnsi="宋体"/>
          <w:spacing w:val="-6"/>
          <w:sz w:val="24"/>
        </w:rPr>
        <w:t>封面</w:t>
      </w:r>
    </w:p>
    <w:p w14:paraId="2DB8B314">
      <w:pPr>
        <w:spacing w:line="360" w:lineRule="auto"/>
        <w:rPr>
          <w:rFonts w:hint="eastAsia" w:ascii="宋体" w:hAnsi="宋体"/>
          <w:spacing w:val="-6"/>
          <w:sz w:val="24"/>
        </w:rPr>
      </w:pPr>
    </w:p>
    <w:p w14:paraId="771CCF8B">
      <w:pPr>
        <w:pStyle w:val="23"/>
        <w:rPr>
          <w:rFonts w:hint="eastAsia"/>
        </w:rPr>
      </w:pPr>
    </w:p>
    <w:p w14:paraId="396DA0F3">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3A2F7A4E">
      <w:pPr>
        <w:spacing w:line="360" w:lineRule="auto"/>
        <w:jc w:val="center"/>
        <w:rPr>
          <w:rFonts w:hint="eastAsia" w:ascii="宋体" w:hAnsi="宋体"/>
          <w:b/>
          <w:bCs/>
          <w:spacing w:val="-6"/>
          <w:sz w:val="24"/>
        </w:rPr>
      </w:pPr>
      <w:r>
        <w:rPr>
          <w:rFonts w:hint="eastAsia" w:ascii="宋体" w:hAnsi="宋体"/>
          <w:b/>
          <w:bCs/>
          <w:spacing w:val="-6"/>
          <w:sz w:val="24"/>
        </w:rPr>
        <w:t>报价文件</w:t>
      </w:r>
    </w:p>
    <w:p w14:paraId="233A0D90">
      <w:pPr>
        <w:spacing w:line="360" w:lineRule="auto"/>
        <w:rPr>
          <w:rFonts w:hint="eastAsia" w:ascii="宋体" w:hAnsi="宋体"/>
          <w:bCs/>
          <w:spacing w:val="-6"/>
          <w:sz w:val="24"/>
        </w:rPr>
      </w:pPr>
    </w:p>
    <w:p w14:paraId="3A8BB69A">
      <w:pPr>
        <w:spacing w:line="360" w:lineRule="auto"/>
        <w:rPr>
          <w:rFonts w:hint="eastAsia" w:ascii="宋体" w:hAnsi="宋体"/>
          <w:bCs/>
          <w:spacing w:val="-6"/>
          <w:sz w:val="24"/>
        </w:rPr>
      </w:pPr>
      <w:r>
        <w:rPr>
          <w:rFonts w:hint="eastAsia" w:ascii="宋体" w:hAnsi="宋体"/>
          <w:bCs/>
          <w:spacing w:val="-6"/>
          <w:sz w:val="24"/>
        </w:rPr>
        <w:t>招 标 人：XXXX</w:t>
      </w:r>
    </w:p>
    <w:p w14:paraId="03257D12">
      <w:pPr>
        <w:spacing w:line="360" w:lineRule="auto"/>
        <w:rPr>
          <w:rFonts w:hint="eastAsia" w:ascii="宋体" w:hAnsi="宋体"/>
          <w:bCs/>
          <w:spacing w:val="-6"/>
          <w:sz w:val="24"/>
        </w:rPr>
      </w:pPr>
      <w:r>
        <w:rPr>
          <w:rFonts w:hint="eastAsia" w:ascii="宋体" w:hAnsi="宋体"/>
          <w:bCs/>
          <w:spacing w:val="-6"/>
          <w:sz w:val="24"/>
        </w:rPr>
        <w:t>项目名称：XXXX</w:t>
      </w:r>
    </w:p>
    <w:p w14:paraId="61CE7553">
      <w:pPr>
        <w:spacing w:line="360" w:lineRule="auto"/>
        <w:rPr>
          <w:rFonts w:hint="eastAsia" w:ascii="宋体" w:hAnsi="宋体"/>
          <w:bCs/>
          <w:spacing w:val="-6"/>
          <w:sz w:val="24"/>
        </w:rPr>
      </w:pPr>
      <w:r>
        <w:rPr>
          <w:rFonts w:hint="eastAsia" w:ascii="宋体" w:hAnsi="宋体"/>
          <w:bCs/>
          <w:spacing w:val="-6"/>
          <w:sz w:val="24"/>
        </w:rPr>
        <w:t>项目编号：XXXX</w:t>
      </w:r>
    </w:p>
    <w:p w14:paraId="08A4FCEF">
      <w:pPr>
        <w:spacing w:line="360" w:lineRule="auto"/>
        <w:rPr>
          <w:rFonts w:hint="eastAsia" w:ascii="宋体" w:hAnsi="宋体"/>
          <w:bCs/>
          <w:spacing w:val="-6"/>
          <w:sz w:val="24"/>
        </w:rPr>
      </w:pPr>
    </w:p>
    <w:p w14:paraId="01E35044">
      <w:pPr>
        <w:spacing w:line="360" w:lineRule="auto"/>
        <w:rPr>
          <w:rFonts w:hint="eastAsia" w:ascii="宋体" w:hAnsi="宋体"/>
          <w:bCs/>
          <w:spacing w:val="-6"/>
          <w:sz w:val="24"/>
        </w:rPr>
      </w:pPr>
      <w:r>
        <w:rPr>
          <w:rFonts w:hint="eastAsia" w:ascii="宋体" w:hAnsi="宋体"/>
          <w:bCs/>
          <w:spacing w:val="-6"/>
          <w:sz w:val="24"/>
        </w:rPr>
        <w:t>投标人名称（盖章）：</w:t>
      </w:r>
    </w:p>
    <w:p w14:paraId="17AA03B2">
      <w:pPr>
        <w:spacing w:line="360" w:lineRule="auto"/>
        <w:rPr>
          <w:rFonts w:hint="eastAsia" w:ascii="宋体" w:hAnsi="宋体"/>
          <w:bCs/>
          <w:spacing w:val="-6"/>
          <w:sz w:val="24"/>
        </w:rPr>
      </w:pPr>
      <w:r>
        <w:rPr>
          <w:rFonts w:hint="eastAsia" w:ascii="宋体" w:hAnsi="宋体"/>
          <w:bCs/>
          <w:spacing w:val="-6"/>
          <w:sz w:val="24"/>
        </w:rPr>
        <w:t>投标人地址：</w:t>
      </w:r>
    </w:p>
    <w:p w14:paraId="329D5C85">
      <w:pPr>
        <w:spacing w:line="360" w:lineRule="auto"/>
        <w:rPr>
          <w:rFonts w:hint="eastAsia" w:ascii="宋体" w:hAnsi="宋体"/>
          <w:bCs/>
          <w:spacing w:val="-6"/>
          <w:sz w:val="24"/>
        </w:rPr>
      </w:pPr>
    </w:p>
    <w:p w14:paraId="60790B0D">
      <w:pPr>
        <w:spacing w:line="360" w:lineRule="auto"/>
        <w:rPr>
          <w:rFonts w:ascii="宋体" w:hAnsi="宋体"/>
          <w:b/>
          <w:bCs/>
          <w:spacing w:val="-6"/>
          <w:sz w:val="21"/>
          <w:szCs w:val="21"/>
        </w:rPr>
      </w:pPr>
      <w:r>
        <w:rPr>
          <w:rFonts w:hint="eastAsia" w:ascii="宋体" w:hAnsi="宋体"/>
          <w:bCs/>
          <w:spacing w:val="-6"/>
          <w:sz w:val="24"/>
        </w:rPr>
        <w:t>日期：     年   月   日</w:t>
      </w:r>
    </w:p>
    <w:p w14:paraId="55B7A792">
      <w:pPr>
        <w:spacing w:line="360" w:lineRule="auto"/>
        <w:jc w:val="center"/>
        <w:outlineLvl w:val="1"/>
        <w:rPr>
          <w:rFonts w:hint="eastAsia" w:ascii="宋体" w:hAnsi="宋体"/>
          <w:b/>
          <w:spacing w:val="-6"/>
          <w:sz w:val="52"/>
          <w:szCs w:val="52"/>
        </w:rPr>
      </w:pPr>
      <w:r>
        <w:rPr>
          <w:rFonts w:hint="eastAsia" w:ascii="宋体" w:hAnsi="宋体"/>
          <w:bCs/>
          <w:spacing w:val="-6"/>
          <w:sz w:val="24"/>
        </w:rPr>
        <w:br w:type="page"/>
      </w:r>
      <w:r>
        <w:rPr>
          <w:rFonts w:hint="eastAsia" w:ascii="宋体" w:hAnsi="宋体"/>
          <w:b/>
          <w:spacing w:val="-6"/>
          <w:sz w:val="52"/>
          <w:szCs w:val="52"/>
        </w:rPr>
        <w:t>报价文件</w:t>
      </w:r>
    </w:p>
    <w:p w14:paraId="02C5D5E2">
      <w:pPr>
        <w:spacing w:line="360" w:lineRule="auto"/>
        <w:jc w:val="center"/>
        <w:outlineLvl w:val="2"/>
        <w:rPr>
          <w:rFonts w:hint="eastAsia" w:ascii="宋体" w:hAnsi="宋体"/>
          <w:b/>
          <w:spacing w:val="-6"/>
          <w:szCs w:val="28"/>
        </w:rPr>
      </w:pPr>
      <w:r>
        <w:rPr>
          <w:rFonts w:hint="eastAsia" w:ascii="宋体" w:hAnsi="宋体"/>
          <w:b/>
          <w:spacing w:val="-6"/>
          <w:szCs w:val="28"/>
        </w:rPr>
        <w:t>开标一览表</w:t>
      </w:r>
    </w:p>
    <w:p w14:paraId="39CD59E7">
      <w:pPr>
        <w:spacing w:line="360" w:lineRule="auto"/>
        <w:rPr>
          <w:rFonts w:hint="eastAsia" w:ascii="宋体" w:hAnsi="宋体"/>
          <w:bCs/>
          <w:spacing w:val="-6"/>
          <w:sz w:val="24"/>
        </w:rPr>
      </w:pPr>
      <w:r>
        <w:rPr>
          <w:rFonts w:hint="eastAsia" w:ascii="宋体" w:hAnsi="宋体"/>
          <w:bCs/>
          <w:spacing w:val="-6"/>
          <w:sz w:val="24"/>
        </w:rPr>
        <w:t>招 标 人：浙商银行股份有限公司济南分行</w:t>
      </w:r>
    </w:p>
    <w:p w14:paraId="0F002782">
      <w:pPr>
        <w:spacing w:line="360" w:lineRule="auto"/>
        <w:rPr>
          <w:rFonts w:hint="default" w:ascii="宋体" w:hAnsi="宋体" w:eastAsia="宋体"/>
          <w:bCs/>
          <w:spacing w:val="-6"/>
          <w:sz w:val="24"/>
          <w:lang w:val="en-US" w:eastAsia="zh-CN"/>
        </w:rPr>
      </w:pPr>
      <w:r>
        <w:rPr>
          <w:rFonts w:hint="eastAsia" w:ascii="宋体" w:hAnsi="宋体"/>
          <w:bCs/>
          <w:spacing w:val="-6"/>
          <w:sz w:val="24"/>
        </w:rPr>
        <w:t>项目名称：</w:t>
      </w:r>
      <w:r>
        <w:rPr>
          <w:rFonts w:hint="eastAsia" w:ascii="宋体" w:hAnsi="宋体"/>
          <w:bCs/>
          <w:spacing w:val="-6"/>
          <w:sz w:val="24"/>
          <w:lang w:eastAsia="zh-CN"/>
        </w:rPr>
        <w:t>浙商银行股份有限公司潍坊分行同城支行弱电工程采购</w:t>
      </w:r>
      <w:r>
        <w:rPr>
          <w:rFonts w:hint="eastAsia" w:ascii="宋体" w:hAnsi="宋体"/>
          <w:bCs/>
          <w:spacing w:val="-6"/>
          <w:sz w:val="24"/>
          <w:lang w:val="en-US" w:eastAsia="zh-CN"/>
        </w:rPr>
        <w:t>项目</w:t>
      </w:r>
    </w:p>
    <w:p w14:paraId="49A8007E">
      <w:pPr>
        <w:spacing w:line="360" w:lineRule="auto"/>
        <w:rPr>
          <w:rFonts w:hint="eastAsia" w:ascii="宋体" w:hAnsi="宋体"/>
          <w:bCs/>
          <w:spacing w:val="-6"/>
          <w:sz w:val="24"/>
        </w:rPr>
      </w:pPr>
      <w:r>
        <w:rPr>
          <w:rFonts w:hint="eastAsia" w:ascii="宋体" w:hAnsi="宋体"/>
          <w:bCs/>
          <w:spacing w:val="-6"/>
          <w:sz w:val="24"/>
        </w:rPr>
        <w:t>项目编号：XXXX</w:t>
      </w:r>
    </w:p>
    <w:tbl>
      <w:tblPr>
        <w:tblStyle w:val="33"/>
        <w:tblW w:w="487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37"/>
        <w:gridCol w:w="2142"/>
        <w:gridCol w:w="1567"/>
        <w:gridCol w:w="2061"/>
        <w:gridCol w:w="788"/>
      </w:tblGrid>
      <w:tr w14:paraId="4C1BC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1510" w:type="pct"/>
            <w:tcBorders>
              <w:top w:val="single" w:color="auto" w:sz="4" w:space="0"/>
              <w:left w:val="single" w:color="auto" w:sz="4" w:space="0"/>
              <w:bottom w:val="single" w:color="auto" w:sz="4" w:space="0"/>
              <w:right w:val="single" w:color="auto" w:sz="4" w:space="0"/>
            </w:tcBorders>
            <w:noWrap w:val="0"/>
            <w:vAlign w:val="center"/>
          </w:tcPr>
          <w:p w14:paraId="22D5C53B">
            <w:pPr>
              <w:jc w:val="center"/>
              <w:rPr>
                <w:rFonts w:ascii="宋体" w:hAnsi="宋体" w:cs="宋体"/>
                <w:sz w:val="24"/>
              </w:rPr>
            </w:pPr>
            <w:r>
              <w:rPr>
                <w:rFonts w:hint="eastAsia" w:ascii="宋体" w:hAnsi="宋体" w:cs="宋体"/>
                <w:sz w:val="24"/>
              </w:rPr>
              <w:t>报价内容</w:t>
            </w:r>
          </w:p>
        </w:tc>
        <w:tc>
          <w:tcPr>
            <w:tcW w:w="1140" w:type="pct"/>
            <w:tcBorders>
              <w:top w:val="single" w:color="auto" w:sz="4" w:space="0"/>
              <w:left w:val="single" w:color="auto" w:sz="4" w:space="0"/>
              <w:bottom w:val="single" w:color="auto" w:sz="4" w:space="0"/>
              <w:right w:val="single" w:color="auto" w:sz="4" w:space="0"/>
            </w:tcBorders>
            <w:noWrap w:val="0"/>
            <w:vAlign w:val="center"/>
          </w:tcPr>
          <w:p w14:paraId="2A56549C">
            <w:pPr>
              <w:jc w:val="center"/>
              <w:rPr>
                <w:rFonts w:hint="eastAsia" w:ascii="宋体" w:hAnsi="宋体" w:cs="宋体"/>
                <w:sz w:val="24"/>
              </w:rPr>
            </w:pPr>
            <w:r>
              <w:rPr>
                <w:rFonts w:hint="eastAsia" w:ascii="宋体" w:hAnsi="宋体" w:cs="宋体"/>
                <w:sz w:val="24"/>
              </w:rPr>
              <w:t>报价</w:t>
            </w:r>
          </w:p>
        </w:tc>
        <w:tc>
          <w:tcPr>
            <w:tcW w:w="834" w:type="pct"/>
            <w:tcBorders>
              <w:top w:val="single" w:color="auto" w:sz="4" w:space="0"/>
              <w:left w:val="single" w:color="auto" w:sz="4" w:space="0"/>
              <w:bottom w:val="single" w:color="auto" w:sz="4" w:space="0"/>
              <w:right w:val="single" w:color="auto" w:sz="4" w:space="0"/>
            </w:tcBorders>
            <w:noWrap w:val="0"/>
            <w:vAlign w:val="center"/>
          </w:tcPr>
          <w:p w14:paraId="5A5F95EA">
            <w:pPr>
              <w:jc w:val="center"/>
              <w:rPr>
                <w:rFonts w:hint="eastAsia" w:ascii="宋体" w:hAnsi="宋体" w:cs="宋体"/>
                <w:sz w:val="24"/>
              </w:rPr>
            </w:pPr>
            <w:r>
              <w:rPr>
                <w:rFonts w:hint="eastAsia" w:ascii="宋体" w:hAnsi="宋体" w:cs="宋体"/>
                <w:sz w:val="24"/>
              </w:rPr>
              <w:t>增值税税率</w:t>
            </w:r>
          </w:p>
          <w:p w14:paraId="73FD9DEA">
            <w:pPr>
              <w:jc w:val="center"/>
              <w:rPr>
                <w:rFonts w:hint="eastAsia" w:ascii="宋体" w:hAnsi="宋体" w:cs="宋体"/>
                <w:sz w:val="24"/>
              </w:rPr>
            </w:pPr>
            <w:r>
              <w:rPr>
                <w:rFonts w:hint="eastAsia" w:ascii="宋体" w:hAnsi="宋体" w:cs="宋体"/>
                <w:sz w:val="24"/>
              </w:rPr>
              <w:t>（%）</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157CB3BB">
            <w:pPr>
              <w:jc w:val="center"/>
              <w:rPr>
                <w:rFonts w:hint="eastAsia" w:ascii="宋体" w:hAnsi="宋体" w:cs="宋体"/>
                <w:sz w:val="24"/>
              </w:rPr>
            </w:pPr>
            <w:r>
              <w:rPr>
                <w:rFonts w:hint="eastAsia" w:ascii="宋体" w:hAnsi="宋体" w:cs="宋体"/>
                <w:sz w:val="24"/>
              </w:rPr>
              <w:t>是否开具增值税专用发票</w:t>
            </w:r>
          </w:p>
        </w:tc>
        <w:tc>
          <w:tcPr>
            <w:tcW w:w="419" w:type="pct"/>
            <w:tcBorders>
              <w:top w:val="single" w:color="auto" w:sz="4" w:space="0"/>
              <w:left w:val="single" w:color="auto" w:sz="4" w:space="0"/>
              <w:bottom w:val="single" w:color="auto" w:sz="4" w:space="0"/>
              <w:right w:val="single" w:color="auto" w:sz="4" w:space="0"/>
            </w:tcBorders>
            <w:noWrap w:val="0"/>
            <w:vAlign w:val="center"/>
          </w:tcPr>
          <w:p w14:paraId="36009563">
            <w:pPr>
              <w:jc w:val="center"/>
              <w:rPr>
                <w:rFonts w:hint="eastAsia" w:ascii="宋体" w:hAnsi="宋体" w:cs="宋体"/>
                <w:sz w:val="24"/>
              </w:rPr>
            </w:pPr>
            <w:r>
              <w:rPr>
                <w:rFonts w:hint="eastAsia" w:ascii="宋体" w:hAnsi="宋体" w:cs="宋体"/>
                <w:sz w:val="24"/>
              </w:rPr>
              <w:t>备注</w:t>
            </w:r>
          </w:p>
        </w:tc>
      </w:tr>
      <w:tr w14:paraId="0061D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1510" w:type="pct"/>
            <w:tcBorders>
              <w:top w:val="single" w:color="auto" w:sz="4" w:space="0"/>
              <w:left w:val="single" w:color="auto" w:sz="4" w:space="0"/>
              <w:bottom w:val="single" w:color="auto" w:sz="4" w:space="0"/>
              <w:right w:val="single" w:color="auto" w:sz="4" w:space="0"/>
            </w:tcBorders>
            <w:noWrap w:val="0"/>
            <w:vAlign w:val="center"/>
          </w:tcPr>
          <w:p w14:paraId="2504DC51">
            <w:pPr>
              <w:jc w:val="center"/>
              <w:rPr>
                <w:rFonts w:hint="eastAsia" w:ascii="宋体" w:hAnsi="宋体" w:cs="宋体"/>
                <w:sz w:val="24"/>
              </w:rPr>
            </w:pPr>
            <w:r>
              <w:rPr>
                <w:rFonts w:hint="eastAsia" w:ascii="宋体" w:hAnsi="宋体" w:cs="宋体"/>
                <w:sz w:val="24"/>
              </w:rPr>
              <w:t>投标总报价</w:t>
            </w:r>
          </w:p>
          <w:p w14:paraId="724C0EA8">
            <w:pPr>
              <w:jc w:val="center"/>
              <w:rPr>
                <w:rFonts w:hint="eastAsia" w:ascii="宋体" w:hAnsi="宋体" w:cs="宋体"/>
                <w:sz w:val="24"/>
              </w:rPr>
            </w:pPr>
            <w:r>
              <w:rPr>
                <w:rFonts w:hint="eastAsia" w:ascii="宋体" w:hAnsi="宋体" w:cs="宋体"/>
                <w:sz w:val="24"/>
              </w:rPr>
              <w:t>（元，含税）</w:t>
            </w:r>
          </w:p>
        </w:tc>
        <w:tc>
          <w:tcPr>
            <w:tcW w:w="1140" w:type="pct"/>
            <w:tcBorders>
              <w:top w:val="single" w:color="auto" w:sz="4" w:space="0"/>
              <w:left w:val="single" w:color="auto" w:sz="4" w:space="0"/>
              <w:bottom w:val="single" w:color="auto" w:sz="4" w:space="0"/>
              <w:right w:val="single" w:color="auto" w:sz="4" w:space="0"/>
            </w:tcBorders>
            <w:noWrap w:val="0"/>
            <w:vAlign w:val="center"/>
          </w:tcPr>
          <w:p w14:paraId="7EBF8EA8">
            <w:pPr>
              <w:jc w:val="left"/>
              <w:rPr>
                <w:rFonts w:ascii="宋体" w:hAnsi="宋体" w:cs="宋体"/>
                <w:sz w:val="24"/>
              </w:rPr>
            </w:pPr>
          </w:p>
        </w:tc>
        <w:tc>
          <w:tcPr>
            <w:tcW w:w="834" w:type="pct"/>
            <w:tcBorders>
              <w:top w:val="single" w:color="auto" w:sz="4" w:space="0"/>
              <w:left w:val="single" w:color="auto" w:sz="4" w:space="0"/>
              <w:bottom w:val="single" w:color="auto" w:sz="4" w:space="0"/>
              <w:right w:val="single" w:color="auto" w:sz="4" w:space="0"/>
            </w:tcBorders>
            <w:noWrap w:val="0"/>
            <w:vAlign w:val="center"/>
          </w:tcPr>
          <w:p w14:paraId="4FCD5F48">
            <w:pPr>
              <w:jc w:val="center"/>
              <w:rPr>
                <w:rFonts w:ascii="宋体" w:hAnsi="宋体" w:cs="宋体"/>
                <w:sz w:val="24"/>
              </w:rPr>
            </w:pP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37583080">
            <w:pPr>
              <w:jc w:val="center"/>
              <w:rPr>
                <w:rFonts w:hint="eastAsia" w:ascii="宋体" w:hAnsi="宋体" w:cs="宋体"/>
                <w:sz w:val="24"/>
              </w:rPr>
            </w:pPr>
          </w:p>
        </w:tc>
        <w:tc>
          <w:tcPr>
            <w:tcW w:w="419" w:type="pct"/>
            <w:tcBorders>
              <w:top w:val="single" w:color="auto" w:sz="4" w:space="0"/>
              <w:left w:val="single" w:color="auto" w:sz="4" w:space="0"/>
              <w:bottom w:val="single" w:color="auto" w:sz="4" w:space="0"/>
              <w:right w:val="single" w:color="auto" w:sz="4" w:space="0"/>
            </w:tcBorders>
            <w:noWrap w:val="0"/>
            <w:vAlign w:val="center"/>
          </w:tcPr>
          <w:p w14:paraId="652DDD94">
            <w:pPr>
              <w:jc w:val="center"/>
              <w:rPr>
                <w:rFonts w:hint="eastAsia" w:ascii="宋体" w:hAnsi="宋体" w:cs="宋体"/>
                <w:sz w:val="24"/>
              </w:rPr>
            </w:pPr>
          </w:p>
        </w:tc>
      </w:tr>
      <w:tr w14:paraId="48B10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1510" w:type="pct"/>
            <w:tcBorders>
              <w:top w:val="single" w:color="auto" w:sz="4" w:space="0"/>
              <w:left w:val="single" w:color="auto" w:sz="4" w:space="0"/>
              <w:bottom w:val="single" w:color="auto" w:sz="4" w:space="0"/>
              <w:right w:val="single" w:color="auto" w:sz="4" w:space="0"/>
            </w:tcBorders>
            <w:noWrap w:val="0"/>
            <w:vAlign w:val="center"/>
          </w:tcPr>
          <w:p w14:paraId="216348D9">
            <w:pPr>
              <w:jc w:val="center"/>
              <w:rPr>
                <w:rFonts w:hint="eastAsia" w:ascii="宋体" w:hAnsi="宋体" w:cs="宋体"/>
                <w:sz w:val="24"/>
              </w:rPr>
            </w:pPr>
            <w:r>
              <w:rPr>
                <w:rFonts w:hint="eastAsia" w:ascii="宋体" w:hAnsi="宋体" w:cs="宋体"/>
                <w:sz w:val="24"/>
              </w:rPr>
              <w:t>项目经理</w:t>
            </w:r>
          </w:p>
        </w:tc>
        <w:tc>
          <w:tcPr>
            <w:tcW w:w="3490" w:type="pct"/>
            <w:gridSpan w:val="4"/>
            <w:tcBorders>
              <w:top w:val="single" w:color="auto" w:sz="4" w:space="0"/>
              <w:left w:val="single" w:color="auto" w:sz="4" w:space="0"/>
              <w:bottom w:val="single" w:color="auto" w:sz="4" w:space="0"/>
              <w:right w:val="single" w:color="auto" w:sz="4" w:space="0"/>
            </w:tcBorders>
            <w:noWrap w:val="0"/>
            <w:vAlign w:val="center"/>
          </w:tcPr>
          <w:p w14:paraId="126C15EB">
            <w:pPr>
              <w:jc w:val="left"/>
              <w:rPr>
                <w:rFonts w:hint="eastAsia" w:ascii="宋体" w:hAnsi="宋体" w:cs="宋体"/>
                <w:sz w:val="24"/>
              </w:rPr>
            </w:pPr>
            <w:r>
              <w:rPr>
                <w:rFonts w:hint="eastAsia" w:ascii="宋体" w:hAnsi="宋体" w:cs="宋体"/>
                <w:sz w:val="24"/>
              </w:rPr>
              <w:t xml:space="preserve">姓名： </w:t>
            </w:r>
            <w:r>
              <w:rPr>
                <w:rFonts w:ascii="宋体" w:hAnsi="宋体" w:cs="宋体"/>
                <w:sz w:val="24"/>
              </w:rPr>
              <w:t xml:space="preserve">         </w:t>
            </w:r>
            <w:r>
              <w:rPr>
                <w:rFonts w:hint="eastAsia" w:ascii="宋体" w:hAnsi="宋体" w:cs="宋体"/>
                <w:sz w:val="24"/>
              </w:rPr>
              <w:t xml:space="preserve">证书编号： </w:t>
            </w:r>
            <w:r>
              <w:rPr>
                <w:rFonts w:ascii="宋体" w:hAnsi="宋体" w:cs="宋体"/>
                <w:sz w:val="24"/>
              </w:rPr>
              <w:t xml:space="preserve">         </w:t>
            </w:r>
            <w:r>
              <w:rPr>
                <w:rFonts w:hint="eastAsia" w:ascii="宋体" w:hAnsi="宋体" w:cs="宋体"/>
                <w:sz w:val="24"/>
              </w:rPr>
              <w:t>级别：</w:t>
            </w:r>
          </w:p>
        </w:tc>
      </w:tr>
      <w:tr w14:paraId="7DAEC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1510" w:type="pct"/>
            <w:tcBorders>
              <w:top w:val="single" w:color="auto" w:sz="4" w:space="0"/>
              <w:left w:val="single" w:color="auto" w:sz="4" w:space="0"/>
              <w:bottom w:val="single" w:color="auto" w:sz="4" w:space="0"/>
              <w:right w:val="single" w:color="auto" w:sz="4" w:space="0"/>
            </w:tcBorders>
            <w:noWrap w:val="0"/>
            <w:vAlign w:val="center"/>
          </w:tcPr>
          <w:p w14:paraId="313E2DA1">
            <w:pPr>
              <w:jc w:val="center"/>
              <w:rPr>
                <w:rFonts w:ascii="宋体" w:hAnsi="宋体" w:cs="宋体"/>
                <w:sz w:val="24"/>
              </w:rPr>
            </w:pPr>
            <w:r>
              <w:rPr>
                <w:rFonts w:hint="eastAsia" w:ascii="宋体" w:hAnsi="宋体" w:cs="宋体"/>
                <w:sz w:val="24"/>
              </w:rPr>
              <w:t>工期</w:t>
            </w:r>
          </w:p>
        </w:tc>
        <w:tc>
          <w:tcPr>
            <w:tcW w:w="3490" w:type="pct"/>
            <w:gridSpan w:val="4"/>
            <w:tcBorders>
              <w:top w:val="single" w:color="auto" w:sz="4" w:space="0"/>
              <w:left w:val="single" w:color="auto" w:sz="4" w:space="0"/>
              <w:bottom w:val="single" w:color="auto" w:sz="4" w:space="0"/>
              <w:right w:val="single" w:color="auto" w:sz="4" w:space="0"/>
            </w:tcBorders>
            <w:noWrap w:val="0"/>
            <w:vAlign w:val="center"/>
          </w:tcPr>
          <w:p w14:paraId="444AAB85">
            <w:pPr>
              <w:jc w:val="center"/>
              <w:rPr>
                <w:rFonts w:hint="eastAsia" w:ascii="宋体" w:hAnsi="宋体" w:cs="宋体"/>
                <w:sz w:val="24"/>
              </w:rPr>
            </w:pPr>
          </w:p>
        </w:tc>
      </w:tr>
      <w:tr w14:paraId="750D1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1510" w:type="pct"/>
            <w:tcBorders>
              <w:top w:val="single" w:color="auto" w:sz="4" w:space="0"/>
              <w:left w:val="single" w:color="auto" w:sz="4" w:space="0"/>
              <w:bottom w:val="single" w:color="auto" w:sz="4" w:space="0"/>
              <w:right w:val="single" w:color="auto" w:sz="4" w:space="0"/>
            </w:tcBorders>
            <w:noWrap w:val="0"/>
            <w:vAlign w:val="center"/>
          </w:tcPr>
          <w:p w14:paraId="51AA0D08">
            <w:pPr>
              <w:jc w:val="center"/>
              <w:rPr>
                <w:rFonts w:hint="eastAsia" w:ascii="宋体" w:hAnsi="宋体" w:cs="宋体"/>
                <w:sz w:val="24"/>
              </w:rPr>
            </w:pPr>
            <w:r>
              <w:rPr>
                <w:rFonts w:hint="eastAsia" w:ascii="宋体" w:hAnsi="宋体" w:cs="宋体"/>
                <w:sz w:val="24"/>
              </w:rPr>
              <w:t>质量标准</w:t>
            </w:r>
          </w:p>
        </w:tc>
        <w:tc>
          <w:tcPr>
            <w:tcW w:w="3490" w:type="pct"/>
            <w:gridSpan w:val="4"/>
            <w:tcBorders>
              <w:top w:val="single" w:color="auto" w:sz="4" w:space="0"/>
              <w:left w:val="single" w:color="auto" w:sz="4" w:space="0"/>
              <w:bottom w:val="single" w:color="auto" w:sz="4" w:space="0"/>
              <w:right w:val="single" w:color="auto" w:sz="4" w:space="0"/>
            </w:tcBorders>
            <w:noWrap w:val="0"/>
            <w:vAlign w:val="center"/>
          </w:tcPr>
          <w:p w14:paraId="7CC77CC8">
            <w:pPr>
              <w:jc w:val="center"/>
              <w:rPr>
                <w:rFonts w:hint="eastAsia" w:ascii="宋体" w:hAnsi="宋体" w:cs="宋体"/>
                <w:sz w:val="24"/>
              </w:rPr>
            </w:pPr>
          </w:p>
        </w:tc>
      </w:tr>
      <w:tr w14:paraId="07955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1B846247">
            <w:pPr>
              <w:jc w:val="left"/>
              <w:rPr>
                <w:rFonts w:hint="eastAsia" w:ascii="宋体" w:hAnsi="宋体" w:cs="宋体"/>
                <w:sz w:val="24"/>
              </w:rPr>
            </w:pPr>
            <w:r>
              <w:rPr>
                <w:rFonts w:hint="eastAsia" w:ascii="宋体" w:hAnsi="宋体" w:cs="宋体"/>
                <w:sz w:val="24"/>
              </w:rPr>
              <w:t>我单位承诺项目负责人未担任其他在建工程的项目经理（项目负责人）。</w:t>
            </w:r>
          </w:p>
        </w:tc>
      </w:tr>
      <w:tr w14:paraId="77704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17D6BE83">
            <w:pPr>
              <w:jc w:val="left"/>
              <w:rPr>
                <w:rFonts w:hint="eastAsia" w:ascii="宋体" w:hAnsi="宋体" w:cs="宋体"/>
                <w:sz w:val="24"/>
              </w:rPr>
            </w:pPr>
            <w:r>
              <w:rPr>
                <w:rFonts w:hint="eastAsia" w:ascii="宋体" w:hAnsi="宋体" w:cs="宋体"/>
                <w:sz w:val="24"/>
              </w:rPr>
              <w:t>本投标人完全认同招标文件的各项条款要求。</w:t>
            </w:r>
          </w:p>
        </w:tc>
      </w:tr>
      <w:tr w14:paraId="047C7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jc w:val="center"/>
        </w:trPr>
        <w:tc>
          <w:tcPr>
            <w:tcW w:w="1510" w:type="pct"/>
            <w:tcBorders>
              <w:top w:val="single" w:color="auto" w:sz="4" w:space="0"/>
              <w:left w:val="single" w:color="auto" w:sz="4" w:space="0"/>
              <w:bottom w:val="single" w:color="auto" w:sz="4" w:space="0"/>
              <w:right w:val="single" w:color="auto" w:sz="4" w:space="0"/>
            </w:tcBorders>
            <w:noWrap w:val="0"/>
            <w:vAlign w:val="center"/>
          </w:tcPr>
          <w:p w14:paraId="0AC2265F">
            <w:pPr>
              <w:jc w:val="center"/>
              <w:rPr>
                <w:rFonts w:hint="eastAsia" w:ascii="宋体" w:hAnsi="宋体" w:cs="宋体"/>
                <w:b/>
                <w:bCs/>
                <w:sz w:val="24"/>
              </w:rPr>
            </w:pPr>
            <w:r>
              <w:rPr>
                <w:rFonts w:hint="eastAsia" w:ascii="宋体" w:hAnsi="宋体" w:cs="宋体"/>
                <w:b/>
                <w:bCs/>
                <w:sz w:val="24"/>
              </w:rPr>
              <w:t>其他事项说明</w:t>
            </w:r>
          </w:p>
        </w:tc>
        <w:tc>
          <w:tcPr>
            <w:tcW w:w="3490" w:type="pct"/>
            <w:gridSpan w:val="4"/>
            <w:tcBorders>
              <w:top w:val="single" w:color="auto" w:sz="4" w:space="0"/>
              <w:left w:val="single" w:color="auto" w:sz="4" w:space="0"/>
              <w:bottom w:val="single" w:color="auto" w:sz="4" w:space="0"/>
              <w:right w:val="single" w:color="auto" w:sz="4" w:space="0"/>
            </w:tcBorders>
            <w:noWrap w:val="0"/>
            <w:vAlign w:val="center"/>
          </w:tcPr>
          <w:p w14:paraId="78570C93">
            <w:pPr>
              <w:rPr>
                <w:rFonts w:ascii="宋体" w:hAnsi="宋体" w:cs="宋体"/>
                <w:b/>
                <w:bCs/>
                <w:sz w:val="24"/>
              </w:rPr>
            </w:pPr>
            <w:r>
              <w:rPr>
                <w:rFonts w:hint="eastAsia" w:ascii="宋体" w:hAnsi="宋体" w:cs="宋体"/>
                <w:b/>
                <w:bCs/>
                <w:sz w:val="24"/>
              </w:rPr>
              <w:t>投标报价四舍五入，保留小数两位。</w:t>
            </w:r>
          </w:p>
        </w:tc>
      </w:tr>
    </w:tbl>
    <w:p w14:paraId="7B048AA0">
      <w:pPr>
        <w:spacing w:line="288" w:lineRule="auto"/>
        <w:rPr>
          <w:rFonts w:hint="eastAsia" w:ascii="宋体" w:hAnsi="宋体"/>
          <w:b/>
          <w:spacing w:val="-6"/>
          <w:sz w:val="18"/>
          <w:szCs w:val="18"/>
        </w:rPr>
      </w:pPr>
      <w:r>
        <w:rPr>
          <w:rFonts w:hint="eastAsia" w:ascii="宋体" w:hAnsi="宋体"/>
          <w:b/>
          <w:spacing w:val="-6"/>
          <w:sz w:val="18"/>
          <w:szCs w:val="18"/>
        </w:rPr>
        <w:t>说明：</w:t>
      </w:r>
    </w:p>
    <w:p w14:paraId="03B3D010">
      <w:pPr>
        <w:spacing w:line="288" w:lineRule="auto"/>
        <w:rPr>
          <w:rFonts w:hint="eastAsia" w:ascii="宋体" w:hAnsi="宋体"/>
          <w:spacing w:val="-6"/>
          <w:sz w:val="18"/>
          <w:szCs w:val="18"/>
        </w:rPr>
      </w:pPr>
      <w:r>
        <w:rPr>
          <w:rFonts w:hint="eastAsia" w:ascii="宋体" w:hAnsi="宋体"/>
          <w:spacing w:val="-6"/>
          <w:sz w:val="18"/>
          <w:szCs w:val="18"/>
        </w:rPr>
        <w:t>1.报价应是招标文件所确定的招标范围内的全部工作内容的价格体现，开标一览表的报价中不得包含招标文件要求以外的内容，否则，在价格评审时不予核减。开标一览表的报价中也不得缺漏招标文件所要求的内容，否则，视为该漏报或不报部分的费用已包括在已报的分项报价中而不予支付；</w:t>
      </w:r>
    </w:p>
    <w:p w14:paraId="6FCB8DD9">
      <w:pPr>
        <w:spacing w:line="288" w:lineRule="auto"/>
        <w:rPr>
          <w:rFonts w:hint="eastAsia" w:ascii="宋体" w:hAnsi="宋体"/>
          <w:spacing w:val="-6"/>
          <w:sz w:val="18"/>
          <w:szCs w:val="18"/>
        </w:rPr>
      </w:pPr>
      <w:r>
        <w:rPr>
          <w:rFonts w:hint="eastAsia" w:ascii="宋体" w:hAnsi="宋体"/>
          <w:spacing w:val="-6"/>
          <w:sz w:val="18"/>
          <w:szCs w:val="18"/>
        </w:rPr>
        <w:t>2.所有报价均应已包含国家规定的所有税费（请列出价税明细并标注税率及是否提供专用增值税发票）；</w:t>
      </w:r>
    </w:p>
    <w:p w14:paraId="5EBD3227">
      <w:pPr>
        <w:spacing w:line="288" w:lineRule="auto"/>
        <w:rPr>
          <w:rFonts w:hint="eastAsia" w:ascii="宋体" w:hAnsi="宋体"/>
          <w:spacing w:val="-6"/>
          <w:sz w:val="18"/>
          <w:szCs w:val="18"/>
        </w:rPr>
      </w:pPr>
      <w:r>
        <w:rPr>
          <w:rFonts w:hint="eastAsia" w:ascii="宋体" w:hAnsi="宋体"/>
          <w:spacing w:val="-6"/>
          <w:sz w:val="18"/>
          <w:szCs w:val="18"/>
        </w:rPr>
        <w:t>3.对于增值税单一税种结算项目，开具增值税专用发票进行结算的，以不含税金额作为评标价；开具增值税普通发票进行结算的，以含税金额作为评标价；</w:t>
      </w:r>
    </w:p>
    <w:p w14:paraId="1D881795">
      <w:pPr>
        <w:spacing w:line="288" w:lineRule="auto"/>
        <w:rPr>
          <w:rFonts w:hint="eastAsia" w:ascii="宋体" w:hAnsi="宋体"/>
          <w:spacing w:val="-6"/>
          <w:sz w:val="18"/>
          <w:szCs w:val="18"/>
        </w:rPr>
      </w:pPr>
      <w:r>
        <w:rPr>
          <w:rFonts w:hint="eastAsia" w:ascii="宋体" w:hAnsi="宋体"/>
          <w:spacing w:val="-6"/>
          <w:sz w:val="18"/>
          <w:szCs w:val="18"/>
        </w:rPr>
        <w:t>4.报价栏只出现数字0，则视报价为零，即免费；如出现空白，视为未响应；</w:t>
      </w:r>
    </w:p>
    <w:p w14:paraId="758FBA84">
      <w:pPr>
        <w:spacing w:line="288" w:lineRule="auto"/>
        <w:rPr>
          <w:rFonts w:hint="eastAsia" w:ascii="宋体" w:hAnsi="宋体"/>
          <w:spacing w:val="-6"/>
          <w:sz w:val="18"/>
          <w:szCs w:val="18"/>
        </w:rPr>
      </w:pPr>
      <w:r>
        <w:rPr>
          <w:rFonts w:hint="eastAsia" w:ascii="宋体" w:hAnsi="宋体"/>
          <w:spacing w:val="-6"/>
          <w:sz w:val="18"/>
          <w:szCs w:val="18"/>
        </w:rPr>
        <w:t>5.如发现中标人报价税率有误，后期可按国家税率进行修正。如修正后的含税价格低于中标人的含税报价，以修正后的含税价格为准签订合同；若修正后的含税价格高于中标人的含税报价，则以中标人含税报价为准签订合同；</w:t>
      </w:r>
    </w:p>
    <w:p w14:paraId="37640EDB">
      <w:pPr>
        <w:spacing w:line="288" w:lineRule="auto"/>
        <w:rPr>
          <w:rFonts w:hint="eastAsia" w:ascii="宋体" w:hAnsi="宋体"/>
          <w:spacing w:val="-6"/>
          <w:sz w:val="18"/>
          <w:szCs w:val="18"/>
        </w:rPr>
      </w:pPr>
      <w:r>
        <w:rPr>
          <w:rFonts w:hint="eastAsia" w:ascii="宋体" w:hAnsi="宋体"/>
          <w:spacing w:val="-6"/>
          <w:sz w:val="18"/>
          <w:szCs w:val="18"/>
        </w:rPr>
        <w:t>6.投标人必须按招标文件指定格式正确填写开标一览表，不得随意更改或替换；</w:t>
      </w:r>
    </w:p>
    <w:p w14:paraId="34FB51FE">
      <w:pPr>
        <w:spacing w:line="288" w:lineRule="auto"/>
        <w:rPr>
          <w:rFonts w:hint="eastAsia" w:ascii="宋体" w:hAnsi="宋体"/>
          <w:spacing w:val="-6"/>
          <w:sz w:val="18"/>
          <w:szCs w:val="18"/>
        </w:rPr>
      </w:pPr>
      <w:r>
        <w:rPr>
          <w:rFonts w:hint="eastAsia" w:ascii="宋体" w:hAnsi="宋体"/>
          <w:spacing w:val="-6"/>
          <w:sz w:val="18"/>
          <w:szCs w:val="18"/>
        </w:rPr>
        <w:t>7.表格中税率仅指增值税税率，不含其它税种；</w:t>
      </w:r>
    </w:p>
    <w:p w14:paraId="768001A9">
      <w:pPr>
        <w:spacing w:line="288" w:lineRule="auto"/>
        <w:rPr>
          <w:rFonts w:hint="eastAsia" w:ascii="宋体" w:hAnsi="宋体"/>
          <w:spacing w:val="-6"/>
          <w:sz w:val="18"/>
          <w:szCs w:val="18"/>
        </w:rPr>
      </w:pPr>
      <w:r>
        <w:rPr>
          <w:rFonts w:hint="eastAsia" w:ascii="宋体" w:hAnsi="宋体"/>
          <w:spacing w:val="-6"/>
          <w:sz w:val="18"/>
          <w:szCs w:val="18"/>
        </w:rPr>
        <w:t>8.如发生报价金额计算错误，以不含税金额作为评标价，修订含税金额（四舍五入，保留小数两位）。</w:t>
      </w:r>
    </w:p>
    <w:p w14:paraId="34AE6F84">
      <w:pPr>
        <w:spacing w:line="288" w:lineRule="auto"/>
        <w:rPr>
          <w:rFonts w:hint="eastAsia" w:ascii="宋体" w:hAnsi="宋体"/>
          <w:spacing w:val="-6"/>
          <w:sz w:val="24"/>
        </w:rPr>
      </w:pPr>
    </w:p>
    <w:p w14:paraId="17603C51">
      <w:pPr>
        <w:spacing w:line="288" w:lineRule="auto"/>
        <w:rPr>
          <w:rFonts w:hint="eastAsia" w:ascii="宋体" w:hAnsi="宋体"/>
          <w:spacing w:val="-6"/>
          <w:sz w:val="24"/>
        </w:rPr>
      </w:pPr>
      <w:r>
        <w:rPr>
          <w:rFonts w:hint="eastAsia" w:ascii="宋体" w:hAnsi="宋体"/>
          <w:spacing w:val="-6"/>
          <w:sz w:val="24"/>
        </w:rPr>
        <w:t>投标人名称（盖章）：</w:t>
      </w:r>
    </w:p>
    <w:p w14:paraId="16877609">
      <w:pPr>
        <w:spacing w:line="288" w:lineRule="auto"/>
        <w:rPr>
          <w:rFonts w:hint="eastAsia"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14:paraId="7D30F896">
      <w:pPr>
        <w:spacing w:line="288" w:lineRule="auto"/>
        <w:rPr>
          <w:rFonts w:hint="eastAsia"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18A3D65B">
      <w:pPr>
        <w:spacing w:line="360" w:lineRule="auto"/>
        <w:outlineLvl w:val="9"/>
        <w:rPr>
          <w:rFonts w:hint="eastAsia" w:ascii="宋体" w:hAnsi="宋体"/>
          <w:bCs/>
          <w:spacing w:val="-6"/>
          <w:sz w:val="24"/>
        </w:rPr>
      </w:pPr>
    </w:p>
    <w:p w14:paraId="7C2511C0">
      <w:pPr>
        <w:spacing w:line="360" w:lineRule="auto"/>
        <w:jc w:val="center"/>
        <w:outlineLvl w:val="9"/>
        <w:rPr>
          <w:rFonts w:hint="eastAsia" w:ascii="宋体" w:hAnsi="宋体"/>
          <w:b/>
          <w:spacing w:val="-6"/>
          <w:szCs w:val="28"/>
        </w:rPr>
      </w:pPr>
    </w:p>
    <w:p w14:paraId="18FB9882">
      <w:pPr>
        <w:spacing w:line="360" w:lineRule="auto"/>
        <w:jc w:val="center"/>
        <w:outlineLvl w:val="2"/>
        <w:rPr>
          <w:rFonts w:hint="eastAsia" w:ascii="宋体" w:hAnsi="宋体"/>
          <w:b/>
          <w:spacing w:val="-6"/>
          <w:szCs w:val="28"/>
        </w:rPr>
      </w:pPr>
      <w:r>
        <w:rPr>
          <w:rFonts w:hint="eastAsia" w:ascii="宋体" w:hAnsi="宋体"/>
          <w:b/>
          <w:spacing w:val="-6"/>
          <w:szCs w:val="28"/>
        </w:rPr>
        <w:br w:type="page"/>
      </w:r>
      <w:r>
        <w:rPr>
          <w:rFonts w:hint="eastAsia" w:ascii="宋体" w:hAnsi="宋体"/>
          <w:b/>
          <w:spacing w:val="-6"/>
          <w:szCs w:val="28"/>
        </w:rPr>
        <w:t>报价明细表</w:t>
      </w:r>
    </w:p>
    <w:p w14:paraId="22656809">
      <w:pPr>
        <w:spacing w:line="288" w:lineRule="auto"/>
        <w:rPr>
          <w:rFonts w:hint="eastAsia" w:ascii="宋体" w:hAnsi="宋体"/>
          <w:spacing w:val="-6"/>
          <w:sz w:val="24"/>
        </w:rPr>
      </w:pPr>
    </w:p>
    <w:p w14:paraId="2A1B48E5">
      <w:pPr>
        <w:spacing w:line="360" w:lineRule="auto"/>
        <w:jc w:val="center"/>
        <w:outlineLvl w:val="9"/>
        <w:rPr>
          <w:rFonts w:hint="eastAsia" w:ascii="宋体" w:hAnsi="宋体"/>
          <w:spacing w:val="-6"/>
          <w:sz w:val="24"/>
        </w:rPr>
      </w:pPr>
      <w:r>
        <w:rPr>
          <w:rFonts w:hint="eastAsia"/>
          <w:b/>
        </w:rPr>
        <w:t>按照工程量清单格式投报。</w:t>
      </w:r>
      <w:r>
        <w:rPr>
          <w:rFonts w:hint="eastAsia" w:ascii="宋体" w:hAnsi="宋体"/>
          <w:spacing w:val="-6"/>
          <w:sz w:val="24"/>
        </w:rPr>
        <w:br w:type="page"/>
      </w:r>
      <w:r>
        <w:rPr>
          <w:rFonts w:hint="eastAsia" w:ascii="宋体" w:hAnsi="宋体"/>
          <w:bCs/>
          <w:spacing w:val="-6"/>
          <w:sz w:val="24"/>
        </w:rPr>
        <w:t>资格文件</w:t>
      </w:r>
      <w:r>
        <w:rPr>
          <w:rFonts w:hint="eastAsia" w:ascii="宋体" w:hAnsi="宋体"/>
          <w:spacing w:val="-6"/>
          <w:sz w:val="24"/>
        </w:rPr>
        <w:t>封面</w:t>
      </w:r>
    </w:p>
    <w:p w14:paraId="3FAECA53">
      <w:pPr>
        <w:spacing w:line="360" w:lineRule="auto"/>
        <w:rPr>
          <w:rFonts w:hint="eastAsia" w:ascii="宋体" w:hAnsi="宋体"/>
          <w:spacing w:val="-6"/>
          <w:sz w:val="24"/>
        </w:rPr>
      </w:pPr>
    </w:p>
    <w:p w14:paraId="0B0CD853">
      <w:pPr>
        <w:pStyle w:val="23"/>
        <w:rPr>
          <w:rFonts w:hint="eastAsia"/>
        </w:rPr>
      </w:pPr>
    </w:p>
    <w:p w14:paraId="4A8DB7BF">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30510084">
      <w:pPr>
        <w:spacing w:line="360" w:lineRule="auto"/>
        <w:jc w:val="center"/>
        <w:rPr>
          <w:rFonts w:hint="eastAsia" w:ascii="宋体" w:hAnsi="宋体"/>
          <w:b/>
          <w:bCs/>
          <w:spacing w:val="-6"/>
          <w:sz w:val="24"/>
        </w:rPr>
      </w:pPr>
      <w:r>
        <w:rPr>
          <w:rFonts w:hint="eastAsia" w:ascii="宋体" w:hAnsi="宋体"/>
          <w:b/>
          <w:bCs/>
          <w:spacing w:val="-6"/>
          <w:sz w:val="24"/>
        </w:rPr>
        <w:t>资格文件</w:t>
      </w:r>
    </w:p>
    <w:p w14:paraId="798ACE70">
      <w:pPr>
        <w:spacing w:line="360" w:lineRule="auto"/>
        <w:rPr>
          <w:rFonts w:hint="eastAsia" w:ascii="宋体" w:hAnsi="宋体"/>
          <w:bCs/>
          <w:spacing w:val="-6"/>
          <w:sz w:val="24"/>
        </w:rPr>
      </w:pPr>
    </w:p>
    <w:p w14:paraId="1AD905B2">
      <w:pPr>
        <w:spacing w:line="360" w:lineRule="auto"/>
        <w:rPr>
          <w:rFonts w:hint="eastAsia" w:ascii="宋体" w:hAnsi="宋体"/>
          <w:bCs/>
          <w:spacing w:val="-6"/>
          <w:sz w:val="24"/>
        </w:rPr>
      </w:pPr>
      <w:r>
        <w:rPr>
          <w:rFonts w:hint="eastAsia" w:ascii="宋体" w:hAnsi="宋体"/>
          <w:bCs/>
          <w:spacing w:val="-6"/>
          <w:sz w:val="24"/>
        </w:rPr>
        <w:t>招 标 人：XXXX</w:t>
      </w:r>
    </w:p>
    <w:p w14:paraId="6616FAB4">
      <w:pPr>
        <w:spacing w:line="360" w:lineRule="auto"/>
        <w:rPr>
          <w:rFonts w:hint="eastAsia" w:ascii="宋体" w:hAnsi="宋体"/>
          <w:bCs/>
          <w:spacing w:val="-6"/>
          <w:sz w:val="24"/>
        </w:rPr>
      </w:pPr>
      <w:r>
        <w:rPr>
          <w:rFonts w:hint="eastAsia" w:ascii="宋体" w:hAnsi="宋体"/>
          <w:bCs/>
          <w:spacing w:val="-6"/>
          <w:sz w:val="24"/>
        </w:rPr>
        <w:t>项目名称：XXXX</w:t>
      </w:r>
    </w:p>
    <w:p w14:paraId="6F919FB7">
      <w:pPr>
        <w:spacing w:line="360" w:lineRule="auto"/>
        <w:rPr>
          <w:rFonts w:hint="eastAsia" w:ascii="宋体" w:hAnsi="宋体"/>
          <w:bCs/>
          <w:spacing w:val="-6"/>
          <w:sz w:val="24"/>
        </w:rPr>
      </w:pPr>
      <w:r>
        <w:rPr>
          <w:rFonts w:hint="eastAsia" w:ascii="宋体" w:hAnsi="宋体"/>
          <w:bCs/>
          <w:spacing w:val="-6"/>
          <w:sz w:val="24"/>
        </w:rPr>
        <w:t>项目编号：XXXX</w:t>
      </w:r>
    </w:p>
    <w:p w14:paraId="1A64051A">
      <w:pPr>
        <w:spacing w:line="360" w:lineRule="auto"/>
        <w:rPr>
          <w:rFonts w:hint="eastAsia" w:ascii="宋体" w:hAnsi="宋体"/>
          <w:bCs/>
          <w:spacing w:val="-6"/>
          <w:sz w:val="24"/>
        </w:rPr>
      </w:pPr>
      <w:r>
        <w:rPr>
          <w:rFonts w:hint="eastAsia" w:ascii="宋体" w:hAnsi="宋体"/>
          <w:bCs/>
          <w:spacing w:val="-6"/>
          <w:sz w:val="24"/>
        </w:rPr>
        <w:t>投标人名称（盖章）：</w:t>
      </w:r>
    </w:p>
    <w:p w14:paraId="778D10BE">
      <w:pPr>
        <w:spacing w:line="360" w:lineRule="auto"/>
        <w:rPr>
          <w:rFonts w:hint="eastAsia" w:ascii="宋体" w:hAnsi="宋体"/>
          <w:bCs/>
          <w:spacing w:val="-6"/>
          <w:sz w:val="24"/>
        </w:rPr>
      </w:pPr>
      <w:r>
        <w:rPr>
          <w:rFonts w:hint="eastAsia" w:ascii="宋体" w:hAnsi="宋体"/>
          <w:bCs/>
          <w:spacing w:val="-6"/>
          <w:sz w:val="24"/>
        </w:rPr>
        <w:t>投标人地址：</w:t>
      </w:r>
    </w:p>
    <w:p w14:paraId="6774F451">
      <w:pPr>
        <w:spacing w:line="360" w:lineRule="auto"/>
        <w:rPr>
          <w:rFonts w:hint="eastAsia" w:ascii="宋体" w:hAnsi="宋体"/>
          <w:bCs/>
          <w:spacing w:val="-6"/>
          <w:sz w:val="24"/>
        </w:rPr>
      </w:pPr>
    </w:p>
    <w:p w14:paraId="3EAA23E3">
      <w:pPr>
        <w:spacing w:line="360" w:lineRule="auto"/>
        <w:rPr>
          <w:rFonts w:hint="eastAsia" w:ascii="宋体" w:hAnsi="宋体"/>
          <w:bCs/>
          <w:spacing w:val="-6"/>
          <w:sz w:val="24"/>
        </w:rPr>
      </w:pPr>
      <w:r>
        <w:rPr>
          <w:rFonts w:hint="eastAsia" w:ascii="宋体" w:hAnsi="宋体"/>
          <w:bCs/>
          <w:spacing w:val="-6"/>
          <w:sz w:val="24"/>
        </w:rPr>
        <w:t>日期：     年   月   日</w:t>
      </w:r>
    </w:p>
    <w:p w14:paraId="38A6C574">
      <w:pPr>
        <w:spacing w:line="360" w:lineRule="auto"/>
        <w:jc w:val="center"/>
        <w:outlineLvl w:val="1"/>
        <w:rPr>
          <w:rFonts w:hint="eastAsia" w:ascii="宋体" w:hAnsi="宋体"/>
          <w:b/>
          <w:bCs/>
          <w:spacing w:val="-6"/>
          <w:sz w:val="24"/>
        </w:rPr>
      </w:pPr>
      <w:r>
        <w:rPr>
          <w:rFonts w:hint="eastAsia" w:ascii="宋体" w:hAnsi="宋体"/>
          <w:b/>
          <w:spacing w:val="-6"/>
          <w:sz w:val="52"/>
          <w:szCs w:val="52"/>
        </w:rPr>
        <w:br w:type="page"/>
      </w:r>
      <w:r>
        <w:rPr>
          <w:rFonts w:hint="eastAsia" w:ascii="宋体" w:hAnsi="宋体"/>
          <w:b/>
          <w:spacing w:val="-6"/>
          <w:sz w:val="52"/>
          <w:szCs w:val="52"/>
        </w:rPr>
        <w:t>资格文件</w:t>
      </w:r>
    </w:p>
    <w:tbl>
      <w:tblPr>
        <w:tblStyle w:val="3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20"/>
        <w:gridCol w:w="1951"/>
        <w:gridCol w:w="3137"/>
      </w:tblGrid>
      <w:tr w14:paraId="5F9F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dxa"/>
            <w:noWrap w:val="0"/>
            <w:vAlign w:val="center"/>
          </w:tcPr>
          <w:p w14:paraId="44CAA1C4">
            <w:pPr>
              <w:snapToGrid w:val="0"/>
              <w:spacing w:line="360" w:lineRule="auto"/>
              <w:jc w:val="center"/>
              <w:rPr>
                <w:rFonts w:hint="eastAsia" w:ascii="宋体" w:hAnsi="宋体" w:cs="宋体"/>
                <w:b/>
                <w:sz w:val="21"/>
                <w:szCs w:val="21"/>
              </w:rPr>
            </w:pPr>
            <w:r>
              <w:rPr>
                <w:rFonts w:hint="eastAsia" w:ascii="宋体" w:hAnsi="宋体" w:cs="宋体"/>
                <w:b/>
                <w:sz w:val="21"/>
                <w:szCs w:val="21"/>
              </w:rPr>
              <w:t>序号</w:t>
            </w:r>
          </w:p>
        </w:tc>
        <w:tc>
          <w:tcPr>
            <w:tcW w:w="3720" w:type="dxa"/>
            <w:noWrap w:val="0"/>
            <w:vAlign w:val="center"/>
          </w:tcPr>
          <w:p w14:paraId="358632D8">
            <w:pPr>
              <w:snapToGrid w:val="0"/>
              <w:spacing w:line="360" w:lineRule="auto"/>
              <w:jc w:val="center"/>
              <w:rPr>
                <w:rFonts w:hint="eastAsia" w:ascii="宋体" w:hAnsi="宋体" w:cs="宋体"/>
                <w:b/>
                <w:sz w:val="21"/>
                <w:szCs w:val="21"/>
              </w:rPr>
            </w:pPr>
            <w:r>
              <w:rPr>
                <w:rFonts w:hint="eastAsia" w:ascii="宋体" w:hAnsi="宋体" w:cs="宋体"/>
                <w:b/>
                <w:sz w:val="21"/>
                <w:szCs w:val="21"/>
              </w:rPr>
              <w:t>招标文件资格要求</w:t>
            </w:r>
          </w:p>
        </w:tc>
        <w:tc>
          <w:tcPr>
            <w:tcW w:w="1951" w:type="dxa"/>
            <w:noWrap w:val="0"/>
            <w:vAlign w:val="center"/>
          </w:tcPr>
          <w:p w14:paraId="0649C9F8">
            <w:pPr>
              <w:snapToGrid w:val="0"/>
              <w:spacing w:line="360" w:lineRule="auto"/>
              <w:jc w:val="center"/>
              <w:rPr>
                <w:rFonts w:hint="eastAsia" w:ascii="宋体" w:hAnsi="宋体" w:cs="宋体"/>
                <w:b/>
                <w:sz w:val="21"/>
                <w:szCs w:val="21"/>
              </w:rPr>
            </w:pPr>
            <w:r>
              <w:rPr>
                <w:rFonts w:hint="eastAsia" w:ascii="宋体" w:hAnsi="宋体" w:cs="宋体"/>
                <w:b/>
                <w:sz w:val="21"/>
                <w:szCs w:val="21"/>
              </w:rPr>
              <w:t>投标人达到的程度</w:t>
            </w:r>
          </w:p>
          <w:p w14:paraId="1F8A646D">
            <w:pPr>
              <w:snapToGrid w:val="0"/>
              <w:spacing w:line="360" w:lineRule="auto"/>
              <w:jc w:val="center"/>
              <w:rPr>
                <w:rFonts w:hint="eastAsia" w:ascii="宋体" w:hAnsi="宋体" w:cs="宋体"/>
                <w:b/>
                <w:sz w:val="21"/>
                <w:szCs w:val="21"/>
              </w:rPr>
            </w:pPr>
            <w:r>
              <w:rPr>
                <w:rFonts w:hint="eastAsia" w:ascii="宋体" w:hAnsi="宋体" w:cs="宋体"/>
                <w:b/>
                <w:sz w:val="21"/>
                <w:szCs w:val="21"/>
              </w:rPr>
              <w:t>（投标人填写）</w:t>
            </w:r>
          </w:p>
        </w:tc>
        <w:tc>
          <w:tcPr>
            <w:tcW w:w="3137" w:type="dxa"/>
            <w:noWrap w:val="0"/>
            <w:vAlign w:val="center"/>
          </w:tcPr>
          <w:p w14:paraId="03BF2CFE">
            <w:pPr>
              <w:snapToGrid w:val="0"/>
              <w:spacing w:line="360" w:lineRule="auto"/>
              <w:jc w:val="center"/>
              <w:rPr>
                <w:rFonts w:hint="eastAsia" w:ascii="宋体" w:hAnsi="宋体" w:cs="宋体"/>
                <w:b/>
                <w:sz w:val="21"/>
                <w:szCs w:val="21"/>
              </w:rPr>
            </w:pPr>
            <w:r>
              <w:rPr>
                <w:rFonts w:hint="eastAsia" w:ascii="宋体" w:hAnsi="宋体" w:cs="宋体"/>
                <w:b/>
                <w:sz w:val="21"/>
                <w:szCs w:val="21"/>
              </w:rPr>
              <w:t>要求提供的证明文件</w:t>
            </w:r>
          </w:p>
        </w:tc>
      </w:tr>
      <w:tr w14:paraId="3C95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noWrap w:val="0"/>
            <w:vAlign w:val="center"/>
          </w:tcPr>
          <w:p w14:paraId="42CA756B">
            <w:pPr>
              <w:snapToGrid w:val="0"/>
              <w:jc w:val="center"/>
              <w:rPr>
                <w:rFonts w:hint="eastAsia" w:ascii="宋体" w:hAnsi="宋体" w:cs="宋体"/>
                <w:sz w:val="21"/>
                <w:szCs w:val="21"/>
              </w:rPr>
            </w:pPr>
            <w:r>
              <w:rPr>
                <w:rFonts w:hint="eastAsia" w:ascii="宋体" w:hAnsi="宋体" w:cs="宋体"/>
                <w:sz w:val="21"/>
                <w:szCs w:val="21"/>
              </w:rPr>
              <w:t>1</w:t>
            </w:r>
          </w:p>
        </w:tc>
        <w:tc>
          <w:tcPr>
            <w:tcW w:w="3720" w:type="dxa"/>
            <w:noWrap w:val="0"/>
            <w:vAlign w:val="center"/>
          </w:tcPr>
          <w:p w14:paraId="1D683F29">
            <w:pPr>
              <w:spacing w:line="288" w:lineRule="auto"/>
              <w:rPr>
                <w:rFonts w:hint="eastAsia" w:ascii="宋体" w:hAnsi="宋体" w:cs="宋体"/>
                <w:sz w:val="21"/>
                <w:szCs w:val="21"/>
              </w:rPr>
            </w:pPr>
            <w:r>
              <w:rPr>
                <w:rFonts w:hint="eastAsia" w:ascii="宋体" w:hAnsi="宋体"/>
                <w:sz w:val="21"/>
                <w:szCs w:val="21"/>
              </w:rPr>
              <w:t>在中华人民共和国境内注册，具有独立法人资格</w:t>
            </w:r>
          </w:p>
        </w:tc>
        <w:tc>
          <w:tcPr>
            <w:tcW w:w="1951" w:type="dxa"/>
            <w:noWrap w:val="0"/>
            <w:vAlign w:val="center"/>
          </w:tcPr>
          <w:p w14:paraId="434F946D">
            <w:pPr>
              <w:snapToGrid w:val="0"/>
              <w:jc w:val="center"/>
              <w:rPr>
                <w:rFonts w:hint="eastAsia" w:ascii="宋体" w:hAnsi="宋体" w:cs="宋体"/>
                <w:sz w:val="21"/>
                <w:szCs w:val="21"/>
              </w:rPr>
            </w:pPr>
          </w:p>
        </w:tc>
        <w:tc>
          <w:tcPr>
            <w:tcW w:w="3137" w:type="dxa"/>
            <w:noWrap w:val="0"/>
            <w:vAlign w:val="center"/>
          </w:tcPr>
          <w:p w14:paraId="1C89893A">
            <w:pPr>
              <w:snapToGrid w:val="0"/>
              <w:jc w:val="left"/>
              <w:rPr>
                <w:rFonts w:hint="eastAsia" w:ascii="宋体" w:hAnsi="宋体" w:cs="宋体"/>
                <w:color w:val="FF0000"/>
                <w:sz w:val="21"/>
                <w:szCs w:val="21"/>
              </w:rPr>
            </w:pPr>
            <w:r>
              <w:rPr>
                <w:rFonts w:hint="eastAsia" w:ascii="宋体" w:hAnsi="宋体" w:cs="宋体"/>
                <w:color w:val="FF0000"/>
                <w:sz w:val="21"/>
                <w:szCs w:val="21"/>
              </w:rPr>
              <w:t>附件1：有效的法人或者其他组织的营业执照及投标前三个月内任意一个月的缴纳税收和社保清单等证明文件</w:t>
            </w:r>
          </w:p>
        </w:tc>
      </w:tr>
      <w:tr w14:paraId="01D52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48" w:type="dxa"/>
            <w:noWrap w:val="0"/>
            <w:vAlign w:val="center"/>
          </w:tcPr>
          <w:p w14:paraId="57416D57">
            <w:pPr>
              <w:snapToGrid w:val="0"/>
              <w:jc w:val="center"/>
              <w:rPr>
                <w:rFonts w:hint="eastAsia" w:ascii="宋体" w:hAnsi="宋体" w:cs="宋体"/>
                <w:sz w:val="21"/>
                <w:szCs w:val="21"/>
              </w:rPr>
            </w:pPr>
            <w:r>
              <w:rPr>
                <w:rFonts w:hint="eastAsia" w:ascii="宋体" w:hAnsi="宋体" w:cs="宋体"/>
                <w:sz w:val="21"/>
                <w:szCs w:val="21"/>
              </w:rPr>
              <w:t>2</w:t>
            </w:r>
          </w:p>
        </w:tc>
        <w:tc>
          <w:tcPr>
            <w:tcW w:w="3720" w:type="dxa"/>
            <w:noWrap w:val="0"/>
            <w:vAlign w:val="center"/>
          </w:tcPr>
          <w:p w14:paraId="5A06BD89">
            <w:pPr>
              <w:keepNext w:val="0"/>
              <w:keepLines w:val="0"/>
              <w:pageBreakBefore w:val="0"/>
              <w:widowControl w:val="0"/>
              <w:kinsoku/>
              <w:wordWrap w:val="0"/>
              <w:overflowPunct/>
              <w:topLinePunct w:val="0"/>
              <w:autoSpaceDE/>
              <w:autoSpaceDN/>
              <w:bidi w:val="0"/>
              <w:spacing w:line="288" w:lineRule="auto"/>
              <w:ind w:firstLine="420" w:firstLineChars="200"/>
              <w:textAlignment w:val="auto"/>
              <w:rPr>
                <w:rFonts w:ascii="宋体" w:hAnsi="宋体" w:cs="宋体"/>
                <w:sz w:val="21"/>
                <w:szCs w:val="21"/>
              </w:rPr>
            </w:pPr>
            <w:r>
              <w:rPr>
                <w:rFonts w:hint="eastAsia" w:ascii="宋体" w:hAnsi="宋体" w:cs="宋体"/>
                <w:sz w:val="21"/>
                <w:szCs w:val="21"/>
              </w:rPr>
              <w:t>截至本项目招标公告日，</w:t>
            </w:r>
          </w:p>
          <w:p w14:paraId="59508469">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2.1投标人未被“中国执行信息公开网”（https://zxgk.court.gov.cn/shixin/）列入失信被执行人；</w:t>
            </w:r>
          </w:p>
          <w:p w14:paraId="2779CBE8">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2.2投标人未被“信用中国”（https://www.creditchina.gov.cn）列入重大税收违法失信主体；</w:t>
            </w:r>
          </w:p>
          <w:p w14:paraId="3009B315">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2.3投标人未被“中国政府采购网”（https://www.ccgp.gov.cn）列入政府采购严重违法失信行为记录名单；</w:t>
            </w:r>
          </w:p>
          <w:p w14:paraId="0AADA467">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2.4投标人未被“国家企业信用信息公示系统”（https://www.gsxt.gov.cn/index.html）列入严重违法失信企业名单；</w:t>
            </w:r>
          </w:p>
          <w:p w14:paraId="1C3335EC">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2.5投标人未被列入建筑市场严重失信名单（查询网站：全国建筑市场监管公共服务平台，内容：黑名单记录、失信联合惩戒记录，网址：https://jzsc.mohurd.gov.cn/home）；</w:t>
            </w:r>
          </w:p>
          <w:p w14:paraId="5074B455">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2.6投标人未被人力资源社会保障行政部门列入失信联合惩戒名单（有效期内）并共享至信用信息共享平台（查询网站：信用中国，内容：拖欠农民工工资失信联合惩戒对象名单，网址：https://www.creditchina.gov.cn）；</w:t>
            </w:r>
          </w:p>
          <w:p w14:paraId="55042B0E">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2.7投标人未被招标人通报禁止其参加招标人集中采购活动的（有效期内）；</w:t>
            </w:r>
          </w:p>
        </w:tc>
        <w:tc>
          <w:tcPr>
            <w:tcW w:w="1951" w:type="dxa"/>
            <w:noWrap w:val="0"/>
            <w:vAlign w:val="center"/>
          </w:tcPr>
          <w:p w14:paraId="035B71FF">
            <w:pPr>
              <w:snapToGrid w:val="0"/>
              <w:jc w:val="center"/>
              <w:rPr>
                <w:rFonts w:hint="eastAsia" w:ascii="宋体" w:hAnsi="宋体" w:cs="宋体"/>
                <w:sz w:val="21"/>
                <w:szCs w:val="21"/>
              </w:rPr>
            </w:pPr>
          </w:p>
        </w:tc>
        <w:tc>
          <w:tcPr>
            <w:tcW w:w="3137" w:type="dxa"/>
            <w:noWrap w:val="0"/>
            <w:vAlign w:val="center"/>
          </w:tcPr>
          <w:p w14:paraId="060EC2AA">
            <w:pPr>
              <w:snapToGrid w:val="0"/>
              <w:rPr>
                <w:rFonts w:hint="eastAsia" w:ascii="宋体" w:hAnsi="宋体" w:cs="宋体"/>
                <w:sz w:val="21"/>
                <w:szCs w:val="21"/>
              </w:rPr>
            </w:pPr>
            <w:r>
              <w:rPr>
                <w:rFonts w:hint="eastAsia" w:ascii="宋体" w:hAnsi="宋体" w:cs="宋体"/>
                <w:sz w:val="21"/>
                <w:szCs w:val="21"/>
              </w:rPr>
              <w:t>附件2：提供网站查询截图（其中第7项由招标代理机构现场查询，投标人无需提供查询截图）</w:t>
            </w:r>
          </w:p>
        </w:tc>
      </w:tr>
      <w:tr w14:paraId="347B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48" w:type="dxa"/>
            <w:noWrap w:val="0"/>
            <w:vAlign w:val="center"/>
          </w:tcPr>
          <w:p w14:paraId="36658779">
            <w:pPr>
              <w:snapToGrid w:val="0"/>
              <w:jc w:val="center"/>
              <w:rPr>
                <w:rFonts w:ascii="宋体" w:hAnsi="宋体" w:cs="宋体"/>
                <w:sz w:val="21"/>
                <w:szCs w:val="21"/>
              </w:rPr>
            </w:pPr>
            <w:r>
              <w:rPr>
                <w:rFonts w:hint="eastAsia" w:ascii="宋体" w:hAnsi="宋体" w:cs="宋体"/>
                <w:sz w:val="21"/>
                <w:szCs w:val="21"/>
              </w:rPr>
              <w:t>3</w:t>
            </w:r>
          </w:p>
        </w:tc>
        <w:tc>
          <w:tcPr>
            <w:tcW w:w="3720" w:type="dxa"/>
            <w:noWrap w:val="0"/>
            <w:vAlign w:val="center"/>
          </w:tcPr>
          <w:p w14:paraId="25EB12F0">
            <w:pPr>
              <w:adjustRightInd w:val="0"/>
              <w:snapToGrid w:val="0"/>
              <w:rPr>
                <w:rFonts w:hint="eastAsia" w:ascii="宋体" w:hAnsi="宋体" w:cs="宋体"/>
                <w:sz w:val="21"/>
                <w:szCs w:val="21"/>
              </w:rPr>
            </w:pPr>
            <w:r>
              <w:rPr>
                <w:rFonts w:hint="eastAsia" w:ascii="宋体" w:hAnsi="宋体" w:cs="宋体"/>
                <w:sz w:val="21"/>
                <w:szCs w:val="21"/>
              </w:rPr>
              <w:t>参加招标活动前三年内（20</w:t>
            </w:r>
            <w:r>
              <w:rPr>
                <w:rFonts w:hint="eastAsia" w:ascii="宋体" w:hAnsi="宋体" w:cs="宋体"/>
                <w:sz w:val="21"/>
                <w:szCs w:val="21"/>
                <w:lang w:val="en-US" w:eastAsia="zh-CN"/>
              </w:rPr>
              <w:t>23</w:t>
            </w:r>
            <w:r>
              <w:rPr>
                <w:rFonts w:hint="eastAsia" w:ascii="宋体" w:hAnsi="宋体" w:cs="宋体"/>
                <w:sz w:val="21"/>
                <w:szCs w:val="21"/>
              </w:rPr>
              <w:t>年</w:t>
            </w:r>
            <w:r>
              <w:rPr>
                <w:rFonts w:hint="eastAsia" w:ascii="宋体" w:hAnsi="宋体" w:cs="宋体"/>
                <w:sz w:val="21"/>
                <w:szCs w:val="21"/>
                <w:lang w:val="en-US" w:eastAsia="zh-CN"/>
              </w:rPr>
              <w:t>1</w:t>
            </w:r>
            <w:r>
              <w:rPr>
                <w:rFonts w:hint="eastAsia" w:ascii="宋体" w:hAnsi="宋体" w:cs="宋体"/>
                <w:sz w:val="21"/>
                <w:szCs w:val="21"/>
              </w:rPr>
              <w:t>月</w:t>
            </w:r>
            <w:r>
              <w:rPr>
                <w:rFonts w:hint="eastAsia" w:ascii="宋体" w:hAnsi="宋体" w:cs="宋体"/>
                <w:sz w:val="21"/>
                <w:szCs w:val="21"/>
                <w:lang w:val="en-US" w:eastAsia="zh-CN"/>
              </w:rPr>
              <w:t>1</w:t>
            </w:r>
            <w:r>
              <w:rPr>
                <w:rFonts w:hint="eastAsia" w:ascii="宋体" w:hAnsi="宋体" w:cs="宋体"/>
                <w:sz w:val="21"/>
                <w:szCs w:val="21"/>
              </w:rPr>
              <w:t>日至今，新成立不满三年的公司自成立之日起算）在经营活动中没有重大违法记录</w:t>
            </w:r>
          </w:p>
        </w:tc>
        <w:tc>
          <w:tcPr>
            <w:tcW w:w="1951" w:type="dxa"/>
            <w:noWrap w:val="0"/>
            <w:vAlign w:val="center"/>
          </w:tcPr>
          <w:p w14:paraId="6CD0F982">
            <w:pPr>
              <w:snapToGrid w:val="0"/>
              <w:jc w:val="center"/>
              <w:rPr>
                <w:rFonts w:hint="eastAsia" w:ascii="宋体" w:hAnsi="宋体" w:cs="宋体"/>
                <w:sz w:val="21"/>
                <w:szCs w:val="21"/>
              </w:rPr>
            </w:pPr>
          </w:p>
        </w:tc>
        <w:tc>
          <w:tcPr>
            <w:tcW w:w="3137" w:type="dxa"/>
            <w:noWrap w:val="0"/>
            <w:vAlign w:val="center"/>
          </w:tcPr>
          <w:p w14:paraId="5D602EDC">
            <w:pPr>
              <w:snapToGrid w:val="0"/>
              <w:rPr>
                <w:rFonts w:hint="eastAsia" w:ascii="宋体" w:hAnsi="宋体" w:cs="宋体"/>
                <w:sz w:val="21"/>
                <w:szCs w:val="21"/>
              </w:rPr>
            </w:pPr>
            <w:r>
              <w:rPr>
                <w:rFonts w:hint="eastAsia" w:ascii="宋体" w:hAnsi="宋体" w:cs="宋体"/>
                <w:sz w:val="21"/>
                <w:szCs w:val="21"/>
              </w:rPr>
              <w:t>附件3：参加招标活动前3年内在经营活动中没有重大违法记录的书面声明</w:t>
            </w:r>
          </w:p>
        </w:tc>
      </w:tr>
      <w:tr w14:paraId="2243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648" w:type="dxa"/>
            <w:noWrap w:val="0"/>
            <w:vAlign w:val="center"/>
          </w:tcPr>
          <w:p w14:paraId="0247FE7B">
            <w:pPr>
              <w:snapToGrid w:val="0"/>
              <w:jc w:val="center"/>
              <w:rPr>
                <w:rFonts w:hint="eastAsia" w:ascii="宋体" w:hAnsi="宋体" w:cs="宋体"/>
                <w:sz w:val="21"/>
                <w:szCs w:val="21"/>
              </w:rPr>
            </w:pPr>
            <w:r>
              <w:rPr>
                <w:rFonts w:hint="eastAsia" w:ascii="宋体" w:hAnsi="宋体" w:cs="宋体"/>
                <w:sz w:val="21"/>
                <w:szCs w:val="21"/>
              </w:rPr>
              <w:t>4</w:t>
            </w:r>
          </w:p>
        </w:tc>
        <w:tc>
          <w:tcPr>
            <w:tcW w:w="3720" w:type="dxa"/>
            <w:noWrap w:val="0"/>
            <w:vAlign w:val="center"/>
          </w:tcPr>
          <w:p w14:paraId="67A408A0">
            <w:pPr>
              <w:adjustRightInd w:val="0"/>
              <w:snapToGrid w:val="0"/>
              <w:rPr>
                <w:rFonts w:hint="eastAsia" w:ascii="宋体" w:hAnsi="宋体" w:cs="宋体"/>
                <w:sz w:val="21"/>
                <w:szCs w:val="21"/>
              </w:rPr>
            </w:pPr>
            <w:r>
              <w:rPr>
                <w:rFonts w:hint="eastAsia" w:ascii="宋体" w:hAnsi="宋体" w:cs="宋体"/>
                <w:sz w:val="21"/>
                <w:szCs w:val="21"/>
              </w:rPr>
              <w:t>与招标人存在利害关系可能影响招标公正性的法人、其他组织或者个人，不得参加投标；单位负责人为同一人或者存在直接控股、管理关系的不同供应商，不得参加同一项目标段项下的招标活动</w:t>
            </w:r>
          </w:p>
        </w:tc>
        <w:tc>
          <w:tcPr>
            <w:tcW w:w="1951" w:type="dxa"/>
            <w:noWrap w:val="0"/>
            <w:vAlign w:val="center"/>
          </w:tcPr>
          <w:p w14:paraId="392AF00E">
            <w:pPr>
              <w:snapToGrid w:val="0"/>
              <w:jc w:val="center"/>
              <w:rPr>
                <w:rFonts w:hint="eastAsia" w:ascii="宋体" w:hAnsi="宋体" w:cs="宋体"/>
                <w:sz w:val="21"/>
                <w:szCs w:val="21"/>
              </w:rPr>
            </w:pPr>
          </w:p>
        </w:tc>
        <w:tc>
          <w:tcPr>
            <w:tcW w:w="3137" w:type="dxa"/>
            <w:noWrap w:val="0"/>
            <w:vAlign w:val="center"/>
          </w:tcPr>
          <w:p w14:paraId="1F5209B9">
            <w:pPr>
              <w:snapToGrid w:val="0"/>
              <w:rPr>
                <w:rFonts w:hint="eastAsia" w:ascii="宋体" w:hAnsi="宋体" w:cs="宋体"/>
                <w:sz w:val="21"/>
                <w:szCs w:val="21"/>
              </w:rPr>
            </w:pPr>
            <w:r>
              <w:rPr>
                <w:rFonts w:hint="eastAsia" w:ascii="宋体" w:hAnsi="宋体" w:cs="宋体"/>
                <w:sz w:val="21"/>
                <w:szCs w:val="21"/>
              </w:rPr>
              <w:t>附件4：投标人控股及管理关系申报表</w:t>
            </w:r>
          </w:p>
        </w:tc>
      </w:tr>
      <w:tr w14:paraId="35057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48" w:type="dxa"/>
            <w:noWrap w:val="0"/>
            <w:vAlign w:val="center"/>
          </w:tcPr>
          <w:p w14:paraId="1983776C">
            <w:pPr>
              <w:snapToGrid w:val="0"/>
              <w:jc w:val="center"/>
              <w:rPr>
                <w:rFonts w:hint="eastAsia" w:ascii="宋体" w:hAnsi="宋体" w:cs="宋体"/>
                <w:sz w:val="21"/>
                <w:szCs w:val="21"/>
              </w:rPr>
            </w:pPr>
            <w:r>
              <w:rPr>
                <w:rFonts w:hint="eastAsia" w:ascii="宋体" w:hAnsi="宋体" w:cs="宋体"/>
                <w:sz w:val="21"/>
                <w:szCs w:val="21"/>
              </w:rPr>
              <w:t>5</w:t>
            </w:r>
          </w:p>
        </w:tc>
        <w:tc>
          <w:tcPr>
            <w:tcW w:w="3720" w:type="dxa"/>
            <w:noWrap w:val="0"/>
            <w:vAlign w:val="center"/>
          </w:tcPr>
          <w:p w14:paraId="7938CD4B">
            <w:pPr>
              <w:adjustRightInd w:val="0"/>
              <w:snapToGrid w:val="0"/>
              <w:rPr>
                <w:rFonts w:hint="eastAsia" w:ascii="宋体" w:hAnsi="宋体"/>
                <w:sz w:val="21"/>
                <w:szCs w:val="21"/>
              </w:rPr>
            </w:pPr>
            <w:r>
              <w:rPr>
                <w:rFonts w:hint="eastAsia" w:ascii="宋体" w:hAnsi="宋体" w:cs="宋体"/>
                <w:sz w:val="21"/>
                <w:szCs w:val="21"/>
              </w:rPr>
              <w:t>提供投标人诚信经营和诚信履约承诺书</w:t>
            </w:r>
          </w:p>
        </w:tc>
        <w:tc>
          <w:tcPr>
            <w:tcW w:w="1951" w:type="dxa"/>
            <w:noWrap w:val="0"/>
            <w:vAlign w:val="center"/>
          </w:tcPr>
          <w:p w14:paraId="04280CC4">
            <w:pPr>
              <w:snapToGrid w:val="0"/>
              <w:jc w:val="center"/>
              <w:rPr>
                <w:rFonts w:hint="eastAsia" w:ascii="宋体" w:hAnsi="宋体" w:cs="宋体"/>
                <w:sz w:val="21"/>
                <w:szCs w:val="21"/>
              </w:rPr>
            </w:pPr>
          </w:p>
        </w:tc>
        <w:tc>
          <w:tcPr>
            <w:tcW w:w="3137" w:type="dxa"/>
            <w:noWrap w:val="0"/>
            <w:vAlign w:val="center"/>
          </w:tcPr>
          <w:p w14:paraId="17CCF7BB">
            <w:pPr>
              <w:snapToGrid w:val="0"/>
              <w:rPr>
                <w:rFonts w:hint="eastAsia" w:ascii="宋体" w:hAnsi="宋体"/>
                <w:sz w:val="21"/>
                <w:szCs w:val="21"/>
              </w:rPr>
            </w:pPr>
            <w:r>
              <w:rPr>
                <w:rFonts w:hint="eastAsia" w:ascii="宋体" w:hAnsi="宋体" w:cs="宋体"/>
                <w:sz w:val="21"/>
                <w:szCs w:val="21"/>
              </w:rPr>
              <w:t>附件5:投标人诚信经营和诚信履约承诺书</w:t>
            </w:r>
          </w:p>
        </w:tc>
      </w:tr>
      <w:tr w14:paraId="50A6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noWrap w:val="0"/>
            <w:vAlign w:val="center"/>
          </w:tcPr>
          <w:p w14:paraId="69847BA2">
            <w:pPr>
              <w:snapToGrid w:val="0"/>
              <w:jc w:val="center"/>
              <w:rPr>
                <w:rFonts w:hint="eastAsia" w:ascii="宋体" w:hAnsi="宋体" w:cs="宋体"/>
                <w:sz w:val="21"/>
                <w:szCs w:val="21"/>
              </w:rPr>
            </w:pPr>
            <w:r>
              <w:rPr>
                <w:rFonts w:hint="eastAsia" w:ascii="宋体" w:hAnsi="宋体" w:cs="宋体"/>
                <w:sz w:val="21"/>
                <w:szCs w:val="21"/>
              </w:rPr>
              <w:t>6</w:t>
            </w:r>
          </w:p>
        </w:tc>
        <w:tc>
          <w:tcPr>
            <w:tcW w:w="3720" w:type="dxa"/>
            <w:noWrap w:val="0"/>
            <w:vAlign w:val="center"/>
          </w:tcPr>
          <w:p w14:paraId="480D24AA">
            <w:pPr>
              <w:adjustRightInd w:val="0"/>
              <w:snapToGrid w:val="0"/>
              <w:rPr>
                <w:rFonts w:hint="eastAsia" w:ascii="宋体" w:hAnsi="宋体"/>
                <w:sz w:val="21"/>
                <w:szCs w:val="21"/>
              </w:rPr>
            </w:pPr>
            <w:r>
              <w:rPr>
                <w:rFonts w:hint="eastAsia" w:ascii="宋体" w:hAnsi="宋体" w:cs="宋体"/>
                <w:sz w:val="21"/>
                <w:szCs w:val="21"/>
              </w:rPr>
              <w:t>法律、行政法规规定的其他条件</w:t>
            </w:r>
          </w:p>
        </w:tc>
        <w:tc>
          <w:tcPr>
            <w:tcW w:w="1951" w:type="dxa"/>
            <w:noWrap w:val="0"/>
            <w:vAlign w:val="center"/>
          </w:tcPr>
          <w:p w14:paraId="7D96E0A1">
            <w:pPr>
              <w:snapToGrid w:val="0"/>
              <w:jc w:val="center"/>
              <w:rPr>
                <w:rFonts w:hint="eastAsia" w:ascii="宋体" w:hAnsi="宋体" w:cs="宋体"/>
                <w:sz w:val="21"/>
                <w:szCs w:val="21"/>
              </w:rPr>
            </w:pPr>
          </w:p>
        </w:tc>
        <w:tc>
          <w:tcPr>
            <w:tcW w:w="3137" w:type="dxa"/>
            <w:noWrap w:val="0"/>
            <w:vAlign w:val="center"/>
          </w:tcPr>
          <w:p w14:paraId="5B4FE7C0">
            <w:pPr>
              <w:snapToGrid w:val="0"/>
              <w:rPr>
                <w:rFonts w:hint="eastAsia" w:ascii="宋体" w:hAnsi="宋体"/>
                <w:sz w:val="21"/>
                <w:szCs w:val="21"/>
              </w:rPr>
            </w:pPr>
            <w:r>
              <w:rPr>
                <w:rFonts w:hint="eastAsia" w:ascii="宋体" w:hAnsi="宋体" w:cs="宋体"/>
                <w:sz w:val="21"/>
                <w:szCs w:val="21"/>
              </w:rPr>
              <w:t>附件6：未违反法律法规规定的其他要求的承诺函</w:t>
            </w:r>
          </w:p>
        </w:tc>
      </w:tr>
      <w:tr w14:paraId="7175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noWrap w:val="0"/>
            <w:vAlign w:val="center"/>
          </w:tcPr>
          <w:p w14:paraId="3A9AD800">
            <w:pPr>
              <w:snapToGrid w:val="0"/>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7</w:t>
            </w:r>
          </w:p>
        </w:tc>
        <w:tc>
          <w:tcPr>
            <w:tcW w:w="3720" w:type="dxa"/>
            <w:noWrap w:val="0"/>
            <w:vAlign w:val="center"/>
          </w:tcPr>
          <w:p w14:paraId="74C3F084">
            <w:pPr>
              <w:adjustRightInd w:val="0"/>
              <w:snapToGrid w:val="0"/>
              <w:rPr>
                <w:rFonts w:hint="eastAsia" w:ascii="宋体" w:hAnsi="宋体" w:cs="宋体"/>
                <w:sz w:val="21"/>
                <w:szCs w:val="21"/>
              </w:rPr>
            </w:pPr>
            <w:r>
              <w:rPr>
                <w:rFonts w:hint="eastAsia" w:ascii="宋体" w:hAnsi="宋体" w:cs="宋体"/>
                <w:sz w:val="21"/>
                <w:szCs w:val="21"/>
              </w:rPr>
              <w:t>本项目的特定资格要求</w:t>
            </w:r>
          </w:p>
        </w:tc>
        <w:tc>
          <w:tcPr>
            <w:tcW w:w="1951" w:type="dxa"/>
            <w:noWrap w:val="0"/>
            <w:vAlign w:val="center"/>
          </w:tcPr>
          <w:p w14:paraId="1AD9A9AF">
            <w:pPr>
              <w:snapToGrid w:val="0"/>
              <w:jc w:val="center"/>
              <w:rPr>
                <w:rFonts w:hint="eastAsia" w:ascii="宋体" w:hAnsi="宋体" w:cs="宋体"/>
                <w:sz w:val="21"/>
                <w:szCs w:val="21"/>
              </w:rPr>
            </w:pPr>
          </w:p>
        </w:tc>
        <w:tc>
          <w:tcPr>
            <w:tcW w:w="3137" w:type="dxa"/>
            <w:noWrap w:val="0"/>
            <w:vAlign w:val="center"/>
          </w:tcPr>
          <w:p w14:paraId="29083DDA">
            <w:pPr>
              <w:snapToGrid w:val="0"/>
              <w:rPr>
                <w:rFonts w:hint="eastAsia" w:ascii="宋体" w:hAnsi="宋体" w:cs="宋体"/>
                <w:sz w:val="21"/>
                <w:szCs w:val="21"/>
              </w:rPr>
            </w:pPr>
            <w:r>
              <w:rPr>
                <w:rFonts w:hint="eastAsia" w:ascii="宋体" w:hAnsi="宋体" w:cs="宋体"/>
                <w:sz w:val="21"/>
                <w:szCs w:val="21"/>
                <w:lang w:val="en-US" w:eastAsia="zh-CN"/>
              </w:rPr>
              <w:t>附件7：</w:t>
            </w:r>
            <w:r>
              <w:rPr>
                <w:rFonts w:hint="eastAsia" w:ascii="宋体" w:hAnsi="宋体" w:cs="宋体"/>
                <w:sz w:val="21"/>
                <w:szCs w:val="21"/>
              </w:rPr>
              <w:t>按照招标公告中本项目的特定资格要求提交相关材料</w:t>
            </w:r>
          </w:p>
        </w:tc>
      </w:tr>
    </w:tbl>
    <w:p w14:paraId="12BD4CF2">
      <w:pPr>
        <w:spacing w:line="360" w:lineRule="auto"/>
        <w:ind w:left="735" w:hanging="735" w:hangingChars="350"/>
        <w:rPr>
          <w:rFonts w:hint="eastAsia" w:ascii="宋体" w:hAnsi="宋体" w:cs="宋体"/>
          <w:sz w:val="21"/>
          <w:szCs w:val="21"/>
        </w:rPr>
      </w:pPr>
      <w:r>
        <w:rPr>
          <w:rFonts w:hint="eastAsia" w:ascii="宋体" w:hAnsi="宋体" w:cs="宋体"/>
          <w:sz w:val="21"/>
          <w:szCs w:val="21"/>
        </w:rPr>
        <w:t>注：</w:t>
      </w:r>
    </w:p>
    <w:p w14:paraId="7B0A92D7">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1.相应证明资料均需提供复印件并加盖公章附后（复印件齐全，不得缺页，原件备查）；</w:t>
      </w:r>
    </w:p>
    <w:p w14:paraId="77C7C84F">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2.证书延期的，须提供主管部门出具的延续证明，该延续证明有效期为开标截止期前三个月内；</w:t>
      </w:r>
    </w:p>
    <w:p w14:paraId="53DF3C42">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 xml:space="preserve">3.若投标人提供虚假资料，一经查实，如若中标，取消其中标资格，并报相关部门予以通报。 </w:t>
      </w:r>
    </w:p>
    <w:p w14:paraId="1A0F1832">
      <w:pPr>
        <w:snapToGrid w:val="0"/>
        <w:spacing w:line="360" w:lineRule="auto"/>
        <w:ind w:right="1470"/>
        <w:rPr>
          <w:rFonts w:hint="eastAsia" w:ascii="宋体" w:hAnsi="宋体" w:cs="宋体"/>
          <w:sz w:val="21"/>
          <w:szCs w:val="21"/>
        </w:rPr>
      </w:pPr>
    </w:p>
    <w:p w14:paraId="4F0BB486">
      <w:pPr>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投标单位名称（盖章）：</w:t>
      </w:r>
    </w:p>
    <w:p w14:paraId="29FB2940">
      <w:pPr>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w:t>
      </w:r>
    </w:p>
    <w:p w14:paraId="223BEA73">
      <w:pPr>
        <w:widowControl/>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日    期：    年   月   日</w:t>
      </w:r>
    </w:p>
    <w:p w14:paraId="78C86EBC">
      <w:pPr>
        <w:adjustRightInd w:val="0"/>
        <w:snapToGrid w:val="0"/>
        <w:spacing w:line="360" w:lineRule="auto"/>
        <w:jc w:val="center"/>
        <w:rPr>
          <w:rFonts w:hint="eastAsia" w:ascii="宋体" w:hAnsi="宋体" w:cs="宋体"/>
          <w:kern w:val="0"/>
          <w:sz w:val="21"/>
          <w:szCs w:val="21"/>
        </w:rPr>
      </w:pPr>
    </w:p>
    <w:p w14:paraId="33145E9D">
      <w:pPr>
        <w:adjustRightInd w:val="0"/>
        <w:snapToGrid w:val="0"/>
        <w:spacing w:line="360" w:lineRule="auto"/>
        <w:jc w:val="left"/>
        <w:rPr>
          <w:rFonts w:hint="eastAsia" w:ascii="宋体" w:hAnsi="宋体" w:cs="宋体"/>
          <w:kern w:val="0"/>
          <w:sz w:val="21"/>
          <w:szCs w:val="21"/>
        </w:rPr>
      </w:pPr>
    </w:p>
    <w:p w14:paraId="2AE995CE">
      <w:pPr>
        <w:adjustRightInd w:val="0"/>
        <w:snapToGrid w:val="0"/>
        <w:spacing w:line="360" w:lineRule="auto"/>
        <w:jc w:val="left"/>
        <w:rPr>
          <w:rFonts w:hint="eastAsia" w:ascii="宋体" w:hAnsi="宋体" w:cs="宋体"/>
          <w:kern w:val="0"/>
          <w:sz w:val="21"/>
          <w:szCs w:val="21"/>
        </w:rPr>
      </w:pPr>
    </w:p>
    <w:p w14:paraId="3BA88F82">
      <w:pPr>
        <w:adjustRightInd w:val="0"/>
        <w:snapToGrid w:val="0"/>
        <w:spacing w:line="360" w:lineRule="auto"/>
        <w:jc w:val="left"/>
        <w:rPr>
          <w:rFonts w:hint="eastAsia" w:ascii="宋体" w:hAnsi="宋体" w:cs="宋体"/>
          <w:sz w:val="21"/>
          <w:szCs w:val="21"/>
        </w:rPr>
      </w:pPr>
    </w:p>
    <w:p w14:paraId="4027646A">
      <w:pPr>
        <w:adjustRightInd w:val="0"/>
        <w:snapToGrid w:val="0"/>
        <w:spacing w:line="360" w:lineRule="auto"/>
        <w:jc w:val="left"/>
        <w:outlineLvl w:val="3"/>
        <w:rPr>
          <w:rFonts w:hint="eastAsia"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附件1：</w:t>
      </w:r>
    </w:p>
    <w:p w14:paraId="5C795874">
      <w:pPr>
        <w:snapToGrid w:val="0"/>
        <w:spacing w:line="480" w:lineRule="auto"/>
        <w:jc w:val="center"/>
        <w:rPr>
          <w:rFonts w:hint="eastAsia" w:ascii="宋体" w:hAnsi="宋体" w:cs="宋体"/>
          <w:b/>
          <w:bCs/>
          <w:kern w:val="0"/>
          <w:sz w:val="21"/>
          <w:szCs w:val="21"/>
          <w:lang w:val="zh-CN"/>
        </w:rPr>
      </w:pPr>
      <w:r>
        <w:rPr>
          <w:rFonts w:hint="eastAsia" w:ascii="宋体" w:hAnsi="宋体" w:cs="宋体"/>
          <w:b/>
          <w:bCs/>
          <w:kern w:val="0"/>
          <w:sz w:val="21"/>
          <w:szCs w:val="21"/>
          <w:lang w:val="zh-CN"/>
        </w:rPr>
        <w:t>有效的法人或者其他组织的营业执照及投标前三个月内任意一个月的缴纳税收和社保清单等证明文件</w:t>
      </w:r>
    </w:p>
    <w:p w14:paraId="75918195">
      <w:pPr>
        <w:adjustRightInd w:val="0"/>
        <w:snapToGrid w:val="0"/>
        <w:spacing w:line="360" w:lineRule="auto"/>
        <w:jc w:val="left"/>
        <w:rPr>
          <w:rFonts w:hint="eastAsia" w:ascii="宋体" w:hAnsi="宋体" w:cs="宋体"/>
          <w:sz w:val="21"/>
          <w:szCs w:val="21"/>
        </w:rPr>
      </w:pPr>
    </w:p>
    <w:p w14:paraId="31E23ECB">
      <w:pPr>
        <w:adjustRightInd w:val="0"/>
        <w:snapToGrid w:val="0"/>
        <w:spacing w:line="360" w:lineRule="auto"/>
        <w:jc w:val="left"/>
        <w:rPr>
          <w:rFonts w:hint="eastAsia" w:ascii="宋体" w:hAnsi="宋体" w:cs="宋体"/>
          <w:sz w:val="21"/>
          <w:szCs w:val="21"/>
        </w:rPr>
      </w:pPr>
    </w:p>
    <w:p w14:paraId="1689DE66">
      <w:pPr>
        <w:pStyle w:val="13"/>
        <w:rPr>
          <w:rFonts w:hint="eastAsia" w:ascii="宋体" w:hAnsi="宋体" w:eastAsia="宋体" w:cs="宋体"/>
          <w:sz w:val="21"/>
          <w:szCs w:val="21"/>
        </w:rPr>
      </w:pPr>
    </w:p>
    <w:p w14:paraId="0A5F88BC">
      <w:pPr>
        <w:adjustRightInd w:val="0"/>
        <w:snapToGrid w:val="0"/>
        <w:spacing w:line="360" w:lineRule="auto"/>
        <w:jc w:val="left"/>
        <w:rPr>
          <w:rFonts w:hint="eastAsia" w:ascii="宋体" w:hAnsi="宋体" w:cs="宋体"/>
          <w:sz w:val="21"/>
          <w:szCs w:val="21"/>
        </w:rPr>
      </w:pPr>
    </w:p>
    <w:p w14:paraId="6CD7AA59">
      <w:pPr>
        <w:rPr>
          <w:rFonts w:hint="eastAsia"/>
        </w:rPr>
      </w:pPr>
    </w:p>
    <w:p w14:paraId="55277CF2">
      <w:pPr>
        <w:pStyle w:val="23"/>
        <w:rPr>
          <w:rFonts w:hint="eastAsia"/>
        </w:rPr>
      </w:pPr>
    </w:p>
    <w:p w14:paraId="72B3ABA7">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说明：</w:t>
      </w:r>
    </w:p>
    <w:p w14:paraId="0823EC6A">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1.如投标人是企业（包括合伙企业），提供在工商部门注册的有效“企业法人营业执照”或“营业执照”；</w:t>
      </w:r>
    </w:p>
    <w:p w14:paraId="75168907">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2.如投标人是事业单位，提供有效的“事业单位法人证书”；</w:t>
      </w:r>
    </w:p>
    <w:p w14:paraId="2BD7C16D">
      <w:pPr>
        <w:adjustRightInd w:val="0"/>
        <w:snapToGrid w:val="0"/>
        <w:spacing w:line="360" w:lineRule="auto"/>
        <w:jc w:val="left"/>
        <w:outlineLvl w:val="9"/>
        <w:rPr>
          <w:rFonts w:hint="eastAsia" w:ascii="宋体" w:hAnsi="宋体" w:cs="宋体"/>
          <w:b/>
          <w:bCs/>
          <w:sz w:val="21"/>
          <w:szCs w:val="21"/>
        </w:rPr>
      </w:pPr>
      <w:r>
        <w:rPr>
          <w:rFonts w:hint="eastAsia" w:ascii="宋体" w:hAnsi="宋体" w:cs="宋体"/>
          <w:b/>
          <w:bCs/>
          <w:sz w:val="21"/>
          <w:szCs w:val="21"/>
        </w:rPr>
        <w:t>3.如投标人是非企业专业服务机构的，提供执业许可证等证明文件。</w:t>
      </w:r>
    </w:p>
    <w:p w14:paraId="2A0DEFCC">
      <w:pPr>
        <w:adjustRightInd w:val="0"/>
        <w:snapToGrid w:val="0"/>
        <w:spacing w:line="360" w:lineRule="auto"/>
        <w:jc w:val="left"/>
        <w:outlineLvl w:val="9"/>
        <w:rPr>
          <w:rFonts w:hint="eastAsia" w:ascii="宋体" w:hAnsi="宋体" w:cs="宋体"/>
          <w:b/>
          <w:bCs/>
          <w:sz w:val="21"/>
          <w:szCs w:val="21"/>
        </w:rPr>
      </w:pPr>
    </w:p>
    <w:p w14:paraId="40C34A04">
      <w:pPr>
        <w:adjustRightInd w:val="0"/>
        <w:snapToGrid w:val="0"/>
        <w:spacing w:line="360" w:lineRule="auto"/>
        <w:jc w:val="left"/>
        <w:outlineLvl w:val="9"/>
        <w:rPr>
          <w:rFonts w:hint="eastAsia" w:ascii="宋体" w:hAnsi="宋体" w:cs="宋体"/>
          <w:b/>
          <w:bCs/>
          <w:sz w:val="21"/>
          <w:szCs w:val="21"/>
        </w:rPr>
      </w:pPr>
    </w:p>
    <w:p w14:paraId="0BB32AA9">
      <w:pPr>
        <w:adjustRightInd w:val="0"/>
        <w:snapToGrid w:val="0"/>
        <w:spacing w:line="360" w:lineRule="auto"/>
        <w:jc w:val="left"/>
        <w:outlineLvl w:val="3"/>
        <w:rPr>
          <w:rFonts w:hint="eastAsia"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附件2：</w:t>
      </w:r>
    </w:p>
    <w:p w14:paraId="0C44FF63">
      <w:pPr>
        <w:adjustRightInd w:val="0"/>
        <w:snapToGrid w:val="0"/>
        <w:spacing w:line="360" w:lineRule="auto"/>
        <w:jc w:val="center"/>
        <w:rPr>
          <w:rFonts w:hint="eastAsia" w:ascii="宋体" w:hAnsi="宋体" w:cs="宋体"/>
          <w:sz w:val="21"/>
          <w:szCs w:val="21"/>
        </w:rPr>
      </w:pPr>
      <w:r>
        <w:rPr>
          <w:rFonts w:hint="eastAsia" w:ascii="宋体" w:hAnsi="宋体" w:cs="宋体"/>
          <w:b/>
          <w:bCs/>
          <w:kern w:val="0"/>
          <w:sz w:val="21"/>
          <w:szCs w:val="21"/>
        </w:rPr>
        <w:t>网站截图</w:t>
      </w:r>
    </w:p>
    <w:p w14:paraId="2CD2FBF7">
      <w:pPr>
        <w:adjustRightInd w:val="0"/>
        <w:snapToGrid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1.未被“中国执行信息公开网”（https://zxgk.court.gov.cn/shixin/）列入失信被执行人网站查询截图</w:t>
      </w:r>
    </w:p>
    <w:p w14:paraId="6A87988B">
      <w:pPr>
        <w:adjustRightInd w:val="0"/>
        <w:snapToGrid w:val="0"/>
        <w:spacing w:line="360" w:lineRule="auto"/>
        <w:ind w:firstLine="422" w:firstLineChars="200"/>
        <w:jc w:val="left"/>
        <w:rPr>
          <w:rFonts w:hint="eastAsia" w:ascii="宋体" w:hAnsi="宋体" w:cs="宋体"/>
          <w:b/>
          <w:bCs/>
          <w:sz w:val="21"/>
          <w:szCs w:val="21"/>
          <w:lang w:bidi="ar"/>
        </w:rPr>
      </w:pPr>
    </w:p>
    <w:p w14:paraId="07C660EC">
      <w:pPr>
        <w:adjustRightInd w:val="0"/>
        <w:snapToGrid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2.未被“信用中国”（https://www.creditchina.gov.cn）列入重大税收违法失信主体网站查询截图</w:t>
      </w:r>
    </w:p>
    <w:p w14:paraId="0630ABA2">
      <w:pPr>
        <w:adjustRightInd w:val="0"/>
        <w:snapToGrid w:val="0"/>
        <w:spacing w:line="360" w:lineRule="auto"/>
        <w:ind w:firstLine="422" w:firstLineChars="200"/>
        <w:jc w:val="left"/>
        <w:rPr>
          <w:rFonts w:hint="eastAsia" w:ascii="宋体" w:hAnsi="宋体" w:cs="宋体"/>
          <w:b/>
          <w:bCs/>
          <w:sz w:val="21"/>
          <w:szCs w:val="21"/>
          <w:lang w:bidi="ar"/>
        </w:rPr>
      </w:pPr>
    </w:p>
    <w:p w14:paraId="62627E66">
      <w:pPr>
        <w:adjustRightInd w:val="0"/>
        <w:snapToGrid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3.未被“中国政府采购网”（https://www.ccgp.gov.cn）列入政府采购严重违法失信行为记录名单网站查询截图</w:t>
      </w:r>
    </w:p>
    <w:p w14:paraId="41CC41A0">
      <w:pPr>
        <w:adjustRightInd w:val="0"/>
        <w:snapToGrid w:val="0"/>
        <w:spacing w:line="360" w:lineRule="auto"/>
        <w:ind w:firstLine="422" w:firstLineChars="200"/>
        <w:jc w:val="left"/>
        <w:rPr>
          <w:rFonts w:hint="eastAsia" w:ascii="宋体" w:hAnsi="宋体" w:cs="宋体"/>
          <w:b/>
          <w:bCs/>
          <w:sz w:val="21"/>
          <w:szCs w:val="21"/>
          <w:lang w:bidi="ar"/>
        </w:rPr>
      </w:pPr>
    </w:p>
    <w:p w14:paraId="70067240">
      <w:pPr>
        <w:adjustRightInd w:val="0"/>
        <w:snapToGrid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4.未被“国家企业信用信息公示系统”（https://www.gsxt.gov.cn/index.html）列入严重违法失信企业名单网站查询截图</w:t>
      </w:r>
    </w:p>
    <w:p w14:paraId="26BA499D">
      <w:pPr>
        <w:adjustRightInd w:val="0"/>
        <w:snapToGrid w:val="0"/>
        <w:spacing w:line="360" w:lineRule="auto"/>
        <w:ind w:firstLine="422" w:firstLineChars="200"/>
        <w:jc w:val="left"/>
        <w:rPr>
          <w:rFonts w:hint="eastAsia" w:ascii="宋体" w:hAnsi="宋体" w:cs="宋体"/>
          <w:b/>
          <w:bCs/>
          <w:sz w:val="21"/>
          <w:szCs w:val="21"/>
          <w:lang w:bidi="ar"/>
        </w:rPr>
      </w:pPr>
    </w:p>
    <w:p w14:paraId="25E00036">
      <w:pPr>
        <w:adjustRightInd w:val="0"/>
        <w:snapToGrid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 xml:space="preserve">5.未被列入建筑市场严重失信名单（查询网站：全国建筑市场监管公共服务平台，内容：黑名单记录、失信联合惩戒记录，网址：https://jzsc.mohurd.gov.cn/home）网站查询截图 </w:t>
      </w:r>
    </w:p>
    <w:p w14:paraId="12F640AB">
      <w:pPr>
        <w:adjustRightInd w:val="0"/>
        <w:snapToGrid w:val="0"/>
        <w:spacing w:line="360" w:lineRule="auto"/>
        <w:ind w:firstLine="422" w:firstLineChars="200"/>
        <w:jc w:val="left"/>
        <w:rPr>
          <w:rFonts w:hint="eastAsia" w:ascii="宋体" w:hAnsi="宋体" w:cs="宋体"/>
          <w:b/>
          <w:bCs/>
          <w:sz w:val="21"/>
          <w:szCs w:val="21"/>
          <w:lang w:bidi="ar"/>
        </w:rPr>
      </w:pPr>
    </w:p>
    <w:p w14:paraId="268092CE">
      <w:pPr>
        <w:adjustRightInd w:val="0"/>
        <w:snapToGrid w:val="0"/>
        <w:spacing w:line="360" w:lineRule="auto"/>
        <w:ind w:firstLine="422" w:firstLineChars="200"/>
        <w:jc w:val="left"/>
        <w:rPr>
          <w:rFonts w:hint="eastAsia" w:ascii="宋体" w:hAnsi="宋体" w:cs="宋体"/>
          <w:b/>
          <w:bCs/>
          <w:sz w:val="21"/>
          <w:szCs w:val="21"/>
        </w:rPr>
      </w:pPr>
      <w:r>
        <w:rPr>
          <w:rFonts w:hint="eastAsia" w:ascii="宋体" w:hAnsi="宋体" w:cs="宋体"/>
          <w:b/>
          <w:bCs/>
          <w:sz w:val="21"/>
          <w:szCs w:val="21"/>
          <w:lang w:bidi="ar"/>
        </w:rPr>
        <w:t>6.未被人力资源社会保障行政部门列入失信联合惩戒名单（有效期内）并共享至信用信息共享平台（查询网站：信用中国，内容：拖欠农民工工资失信联合惩戒对象名单，网址：https://www.creditchina.gov.cn）网站查询截图</w:t>
      </w:r>
    </w:p>
    <w:p w14:paraId="6B7804D3">
      <w:pPr>
        <w:adjustRightInd w:val="0"/>
        <w:snapToGrid w:val="0"/>
        <w:spacing w:line="360" w:lineRule="auto"/>
        <w:jc w:val="left"/>
        <w:rPr>
          <w:rFonts w:hint="eastAsia" w:ascii="宋体" w:hAnsi="宋体" w:cs="宋体"/>
          <w:sz w:val="21"/>
          <w:szCs w:val="21"/>
        </w:rPr>
      </w:pPr>
    </w:p>
    <w:p w14:paraId="1E639BE7">
      <w:pPr>
        <w:adjustRightInd w:val="0"/>
        <w:snapToGrid w:val="0"/>
        <w:spacing w:line="360" w:lineRule="auto"/>
        <w:jc w:val="left"/>
        <w:rPr>
          <w:rFonts w:hint="eastAsia" w:ascii="宋体" w:hAnsi="宋体" w:cs="宋体"/>
          <w:sz w:val="21"/>
          <w:szCs w:val="21"/>
        </w:rPr>
      </w:pPr>
    </w:p>
    <w:p w14:paraId="6E672C78">
      <w:pPr>
        <w:adjustRightInd w:val="0"/>
        <w:snapToGrid w:val="0"/>
        <w:spacing w:line="360" w:lineRule="auto"/>
        <w:jc w:val="left"/>
        <w:outlineLvl w:val="3"/>
        <w:rPr>
          <w:rFonts w:hint="eastAsia" w:ascii="宋体" w:hAnsi="宋体" w:cs="宋体"/>
          <w:sz w:val="21"/>
          <w:szCs w:val="21"/>
        </w:rPr>
      </w:pPr>
      <w:r>
        <w:rPr>
          <w:rFonts w:hint="eastAsia" w:ascii="宋体" w:hAnsi="宋体" w:cs="宋体"/>
          <w:kern w:val="0"/>
          <w:sz w:val="21"/>
          <w:szCs w:val="21"/>
        </w:rPr>
        <w:br w:type="page"/>
      </w:r>
      <w:r>
        <w:rPr>
          <w:rFonts w:hint="eastAsia" w:ascii="宋体" w:hAnsi="宋体" w:cs="宋体"/>
          <w:sz w:val="21"/>
          <w:szCs w:val="21"/>
        </w:rPr>
        <w:t>附件3：</w:t>
      </w:r>
    </w:p>
    <w:p w14:paraId="589F0464">
      <w:pPr>
        <w:adjustRightInd w:val="0"/>
        <w:snapToGrid w:val="0"/>
        <w:spacing w:line="360" w:lineRule="auto"/>
        <w:jc w:val="center"/>
        <w:rPr>
          <w:rFonts w:hint="eastAsia" w:ascii="宋体" w:hAnsi="宋体" w:cs="宋体"/>
          <w:kern w:val="0"/>
          <w:sz w:val="21"/>
          <w:szCs w:val="21"/>
        </w:rPr>
      </w:pPr>
      <w:r>
        <w:rPr>
          <w:rFonts w:hint="eastAsia" w:ascii="宋体" w:hAnsi="宋体" w:cs="宋体"/>
          <w:b/>
          <w:bCs/>
          <w:kern w:val="0"/>
          <w:sz w:val="21"/>
          <w:szCs w:val="21"/>
        </w:rPr>
        <w:t>参加招标活动前3年内在经营活动中没有重大违法记录的书面声明</w:t>
      </w:r>
    </w:p>
    <w:p w14:paraId="407CA02B">
      <w:pPr>
        <w:spacing w:line="360" w:lineRule="auto"/>
        <w:ind w:firstLine="420" w:firstLineChars="200"/>
        <w:outlineLvl w:val="9"/>
        <w:rPr>
          <w:rFonts w:hint="eastAsia" w:ascii="宋体" w:hAnsi="宋体" w:cs="宋体"/>
          <w:b w:val="0"/>
          <w:bCs/>
          <w:kern w:val="0"/>
          <w:sz w:val="21"/>
          <w:szCs w:val="21"/>
        </w:rPr>
      </w:pPr>
      <w:r>
        <w:rPr>
          <w:rFonts w:hint="eastAsia" w:ascii="宋体" w:hAnsi="宋体" w:cs="宋体"/>
          <w:b w:val="0"/>
          <w:bCs/>
          <w:kern w:val="0"/>
          <w:sz w:val="21"/>
          <w:szCs w:val="21"/>
        </w:rPr>
        <w:t>致：</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p>
    <w:p w14:paraId="3717BC8F">
      <w:pPr>
        <w:spacing w:line="360" w:lineRule="auto"/>
        <w:ind w:firstLine="420" w:firstLineChars="200"/>
        <w:outlineLvl w:val="9"/>
        <w:rPr>
          <w:rFonts w:hint="eastAsia" w:ascii="宋体" w:hAnsi="宋体" w:cs="宋体"/>
          <w:b w:val="0"/>
          <w:bCs/>
          <w:kern w:val="0"/>
          <w:sz w:val="21"/>
          <w:szCs w:val="21"/>
        </w:rPr>
      </w:pPr>
      <w:r>
        <w:rPr>
          <w:rFonts w:hint="eastAsia" w:ascii="宋体" w:hAnsi="宋体" w:cs="宋体"/>
          <w:b w:val="0"/>
          <w:bCs/>
          <w:kern w:val="0"/>
          <w:sz w:val="21"/>
          <w:szCs w:val="21"/>
        </w:rPr>
        <w:t>我方 （投标人）具有良好的商业信誉，依法缴纳税收和社会保障资金，未被列入失信被执行人名单、税收违法黑名单、采购活动严重违法失信行为记录名单；参加本次招标活动前3年内（20</w:t>
      </w:r>
      <w:r>
        <w:rPr>
          <w:rFonts w:hint="eastAsia" w:ascii="宋体" w:hAnsi="宋体" w:cs="宋体"/>
          <w:b w:val="0"/>
          <w:bCs/>
          <w:kern w:val="0"/>
          <w:sz w:val="21"/>
          <w:szCs w:val="21"/>
          <w:lang w:val="en-US" w:eastAsia="zh-CN"/>
        </w:rPr>
        <w:t>23</w:t>
      </w:r>
      <w:r>
        <w:rPr>
          <w:rFonts w:hint="eastAsia" w:ascii="宋体" w:hAnsi="宋体" w:cs="宋体"/>
          <w:b w:val="0"/>
          <w:bCs/>
          <w:kern w:val="0"/>
          <w:sz w:val="21"/>
          <w:szCs w:val="21"/>
        </w:rPr>
        <w:t>年</w:t>
      </w:r>
      <w:r>
        <w:rPr>
          <w:rFonts w:hint="eastAsia" w:ascii="宋体" w:hAnsi="宋体" w:cs="宋体"/>
          <w:b w:val="0"/>
          <w:bCs/>
          <w:kern w:val="0"/>
          <w:sz w:val="21"/>
          <w:szCs w:val="21"/>
          <w:lang w:val="en-US" w:eastAsia="zh-CN"/>
        </w:rPr>
        <w:t>1</w:t>
      </w:r>
      <w:r>
        <w:rPr>
          <w:rFonts w:hint="eastAsia" w:ascii="宋体" w:hAnsi="宋体" w:cs="宋体"/>
          <w:b w:val="0"/>
          <w:bCs/>
          <w:kern w:val="0"/>
          <w:sz w:val="21"/>
          <w:szCs w:val="21"/>
        </w:rPr>
        <w:t>月至今）的经营活动没有重大违法记录，没有被招标人、相关行政主管、行业管理部门、其他同业纳入不良记录名单且未在禁止参加投标期间；没有因违法经营受到刑事处罚，没有被责令停产停业、被吊销许可证或者执照、被处以较大数额罚款等行政处罚，没有因违法经营被禁止参加采购活动的期限未满情形。如有虚假，招标人可取消我方任何资格（投标/中标/签订合同），我方对此无任何异议。</w:t>
      </w:r>
    </w:p>
    <w:p w14:paraId="133B2B11">
      <w:pPr>
        <w:spacing w:line="360" w:lineRule="auto"/>
        <w:ind w:firstLine="420" w:firstLineChars="200"/>
        <w:outlineLvl w:val="9"/>
        <w:rPr>
          <w:rFonts w:hint="eastAsia" w:ascii="宋体" w:hAnsi="宋体" w:cs="宋体"/>
          <w:b w:val="0"/>
          <w:bCs/>
          <w:kern w:val="0"/>
          <w:sz w:val="21"/>
          <w:szCs w:val="21"/>
        </w:rPr>
      </w:pPr>
      <w:r>
        <w:rPr>
          <w:rFonts w:hint="eastAsia" w:ascii="宋体" w:hAnsi="宋体" w:cs="宋体"/>
          <w:b w:val="0"/>
          <w:bCs/>
          <w:kern w:val="0"/>
          <w:sz w:val="21"/>
          <w:szCs w:val="21"/>
        </w:rPr>
        <w:t>特此承诺！</w:t>
      </w:r>
    </w:p>
    <w:p w14:paraId="6FA9A433">
      <w:pPr>
        <w:spacing w:line="360" w:lineRule="auto"/>
        <w:ind w:firstLine="420" w:firstLineChars="200"/>
        <w:outlineLvl w:val="9"/>
        <w:rPr>
          <w:rFonts w:ascii="宋体" w:hAnsi="宋体" w:cs="宋体"/>
          <w:b w:val="0"/>
          <w:bCs/>
          <w:kern w:val="0"/>
          <w:sz w:val="21"/>
          <w:szCs w:val="21"/>
        </w:rPr>
      </w:pPr>
    </w:p>
    <w:p w14:paraId="38E540C6">
      <w:pPr>
        <w:outlineLvl w:val="9"/>
        <w:rPr>
          <w:rFonts w:ascii="宋体" w:hAnsi="宋体" w:cs="宋体"/>
          <w:b w:val="0"/>
          <w:bCs/>
          <w:kern w:val="0"/>
          <w:sz w:val="21"/>
          <w:szCs w:val="21"/>
        </w:rPr>
      </w:pPr>
    </w:p>
    <w:p w14:paraId="3E864C44">
      <w:pPr>
        <w:outlineLvl w:val="9"/>
        <w:rPr>
          <w:rFonts w:hint="eastAsia" w:ascii="宋体" w:hAnsi="宋体" w:cs="宋体"/>
          <w:b w:val="0"/>
          <w:bCs/>
          <w:kern w:val="0"/>
          <w:sz w:val="21"/>
          <w:szCs w:val="21"/>
        </w:rPr>
      </w:pPr>
      <w:r>
        <w:rPr>
          <w:rFonts w:hint="eastAsia" w:ascii="宋体" w:hAnsi="宋体" w:cs="宋体"/>
          <w:b w:val="0"/>
          <w:bCs/>
          <w:kern w:val="0"/>
          <w:sz w:val="21"/>
          <w:szCs w:val="21"/>
        </w:rPr>
        <w:t xml:space="preserve">                                              投标单位名称（盖章）：</w:t>
      </w:r>
    </w:p>
    <w:p w14:paraId="5BC3163B">
      <w:pPr>
        <w:outlineLvl w:val="9"/>
        <w:rPr>
          <w:rFonts w:ascii="宋体" w:hAnsi="宋体" w:cs="宋体"/>
          <w:b w:val="0"/>
          <w:bCs/>
          <w:kern w:val="0"/>
          <w:sz w:val="21"/>
          <w:szCs w:val="21"/>
        </w:rPr>
      </w:pPr>
      <w:r>
        <w:rPr>
          <w:rFonts w:ascii="宋体" w:hAnsi="宋体" w:cs="宋体"/>
          <w:b w:val="0"/>
          <w:bCs/>
          <w:kern w:val="0"/>
          <w:sz w:val="21"/>
          <w:szCs w:val="21"/>
        </w:rPr>
        <w:t xml:space="preserve">                                          </w:t>
      </w:r>
    </w:p>
    <w:p w14:paraId="3893E86A">
      <w:pPr>
        <w:outlineLvl w:val="9"/>
        <w:rPr>
          <w:rFonts w:hint="eastAsia" w:ascii="宋体" w:hAnsi="宋体" w:cs="宋体"/>
          <w:b w:val="0"/>
          <w:bCs/>
          <w:kern w:val="0"/>
          <w:sz w:val="21"/>
          <w:szCs w:val="21"/>
        </w:rPr>
      </w:pPr>
      <w:r>
        <w:rPr>
          <w:rFonts w:hint="eastAsia" w:ascii="宋体" w:hAnsi="宋体" w:cs="宋体"/>
          <w:b w:val="0"/>
          <w:bCs/>
          <w:kern w:val="0"/>
          <w:sz w:val="21"/>
          <w:szCs w:val="21"/>
        </w:rPr>
        <w:t xml:space="preserve">                                                  日    期：    年   月   日</w:t>
      </w:r>
    </w:p>
    <w:p w14:paraId="57FA43C8">
      <w:pPr>
        <w:outlineLvl w:val="9"/>
        <w:rPr>
          <w:rFonts w:hint="eastAsia" w:ascii="宋体" w:hAnsi="宋体" w:cs="宋体"/>
          <w:b w:val="0"/>
          <w:bCs/>
          <w:kern w:val="0"/>
          <w:sz w:val="21"/>
          <w:szCs w:val="21"/>
        </w:rPr>
      </w:pPr>
    </w:p>
    <w:p w14:paraId="7165C238">
      <w:pPr>
        <w:outlineLvl w:val="9"/>
        <w:rPr>
          <w:rFonts w:hint="eastAsia" w:ascii="宋体" w:hAnsi="宋体" w:cs="宋体"/>
          <w:kern w:val="0"/>
          <w:sz w:val="21"/>
          <w:szCs w:val="21"/>
        </w:rPr>
      </w:pPr>
    </w:p>
    <w:p w14:paraId="7008D136">
      <w:pPr>
        <w:rPr>
          <w:rFonts w:hint="eastAsia" w:ascii="宋体" w:hAnsi="宋体" w:cs="宋体"/>
          <w:kern w:val="0"/>
          <w:sz w:val="21"/>
          <w:szCs w:val="21"/>
        </w:rPr>
      </w:pPr>
    </w:p>
    <w:p w14:paraId="64E3FE5D">
      <w:pPr>
        <w:pStyle w:val="23"/>
        <w:rPr>
          <w:rFonts w:hint="eastAsia"/>
        </w:rPr>
      </w:pPr>
    </w:p>
    <w:p w14:paraId="03F47B18">
      <w:pPr>
        <w:rPr>
          <w:rFonts w:hint="eastAsia"/>
        </w:rPr>
      </w:pPr>
    </w:p>
    <w:p w14:paraId="38B32AF6">
      <w:pPr>
        <w:pStyle w:val="23"/>
        <w:rPr>
          <w:rFonts w:hint="eastAsia"/>
        </w:rPr>
      </w:pPr>
    </w:p>
    <w:p w14:paraId="48E2AAAB">
      <w:pPr>
        <w:rPr>
          <w:rFonts w:hint="eastAsia"/>
        </w:rPr>
      </w:pPr>
    </w:p>
    <w:p w14:paraId="0A464C8B">
      <w:pPr>
        <w:pStyle w:val="23"/>
        <w:rPr>
          <w:rFonts w:hint="eastAsia"/>
        </w:rPr>
      </w:pPr>
    </w:p>
    <w:p w14:paraId="2B88D29D">
      <w:pPr>
        <w:rPr>
          <w:rFonts w:hint="eastAsia"/>
        </w:rPr>
      </w:pPr>
    </w:p>
    <w:p w14:paraId="763333DC">
      <w:pPr>
        <w:pStyle w:val="23"/>
        <w:rPr>
          <w:rFonts w:hint="eastAsia"/>
        </w:rPr>
      </w:pPr>
    </w:p>
    <w:p w14:paraId="3819B9EB">
      <w:pPr>
        <w:rPr>
          <w:rFonts w:hint="eastAsia"/>
        </w:rPr>
      </w:pPr>
    </w:p>
    <w:p w14:paraId="5DC8367A">
      <w:pPr>
        <w:pStyle w:val="23"/>
        <w:rPr>
          <w:rFonts w:hint="eastAsia"/>
        </w:rPr>
      </w:pPr>
    </w:p>
    <w:p w14:paraId="21CD091A">
      <w:pPr>
        <w:rPr>
          <w:rFonts w:hint="eastAsia"/>
        </w:rPr>
      </w:pPr>
    </w:p>
    <w:p w14:paraId="75D082C9">
      <w:pPr>
        <w:pStyle w:val="23"/>
        <w:rPr>
          <w:rFonts w:hint="eastAsia"/>
        </w:rPr>
      </w:pPr>
    </w:p>
    <w:p w14:paraId="1DC7ECBA">
      <w:pPr>
        <w:rPr>
          <w:rFonts w:hint="eastAsia"/>
        </w:rPr>
      </w:pPr>
    </w:p>
    <w:p w14:paraId="0E6A8569">
      <w:pPr>
        <w:adjustRightInd w:val="0"/>
        <w:snapToGrid w:val="0"/>
        <w:spacing w:line="360" w:lineRule="auto"/>
        <w:jc w:val="left"/>
        <w:outlineLvl w:val="3"/>
        <w:rPr>
          <w:rFonts w:hint="eastAsia"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附件4：</w:t>
      </w:r>
    </w:p>
    <w:p w14:paraId="170907B0">
      <w:pPr>
        <w:adjustRightInd w:val="0"/>
        <w:snapToGrid w:val="0"/>
        <w:spacing w:line="360" w:lineRule="auto"/>
        <w:ind w:left="619" w:hanging="622" w:hangingChars="258"/>
        <w:jc w:val="center"/>
        <w:rPr>
          <w:rFonts w:hint="eastAsia" w:ascii="宋体" w:hAnsi="宋体" w:cs="宋体"/>
          <w:b/>
          <w:bCs/>
          <w:kern w:val="0"/>
          <w:sz w:val="24"/>
          <w:szCs w:val="24"/>
        </w:rPr>
      </w:pPr>
      <w:r>
        <w:rPr>
          <w:rFonts w:hint="eastAsia" w:ascii="宋体" w:hAnsi="宋体" w:cs="宋体"/>
          <w:b/>
          <w:bCs/>
          <w:kern w:val="0"/>
          <w:sz w:val="24"/>
          <w:szCs w:val="24"/>
        </w:rPr>
        <w:t>投标人控股及管理关系申报表</w:t>
      </w:r>
    </w:p>
    <w:p w14:paraId="1B365845">
      <w:pPr>
        <w:adjustRightInd w:val="0"/>
        <w:snapToGrid w:val="0"/>
        <w:spacing w:line="360" w:lineRule="auto"/>
        <w:ind w:left="619" w:hanging="541" w:hangingChars="258"/>
        <w:rPr>
          <w:rFonts w:ascii="宋体" w:hAnsi="宋体"/>
          <w:sz w:val="21"/>
          <w:szCs w:val="21"/>
        </w:rPr>
      </w:pPr>
      <w:r>
        <w:rPr>
          <w:rFonts w:hint="eastAsia" w:ascii="宋体" w:hAnsi="宋体"/>
          <w:sz w:val="21"/>
          <w:szCs w:val="21"/>
        </w:rPr>
        <w:t>致：</w:t>
      </w:r>
      <w:r>
        <w:rPr>
          <w:rFonts w:hint="eastAsia" w:ascii="宋体" w:hAnsi="宋体"/>
          <w:sz w:val="21"/>
          <w:szCs w:val="21"/>
          <w:u w:val="single"/>
        </w:rPr>
        <w:t xml:space="preserve">  （招标人名称）  </w:t>
      </w:r>
      <w:r>
        <w:rPr>
          <w:rFonts w:hint="eastAsia" w:ascii="宋体" w:hAnsi="宋体"/>
          <w:sz w:val="21"/>
          <w:szCs w:val="21"/>
        </w:rPr>
        <w:t>：</w:t>
      </w:r>
    </w:p>
    <w:p w14:paraId="466F09E4">
      <w:pPr>
        <w:adjustRightInd w:val="0"/>
        <w:snapToGrid w:val="0"/>
        <w:spacing w:line="360" w:lineRule="auto"/>
        <w:ind w:firstLine="539" w:firstLineChars="257"/>
        <w:rPr>
          <w:rFonts w:ascii="宋体" w:hAnsi="宋体"/>
          <w:sz w:val="21"/>
          <w:szCs w:val="21"/>
        </w:rPr>
      </w:pPr>
      <w:r>
        <w:rPr>
          <w:rFonts w:hint="eastAsia" w:ascii="宋体" w:hAnsi="宋体"/>
          <w:sz w:val="21"/>
          <w:szCs w:val="21"/>
        </w:rPr>
        <w:t xml:space="preserve">我方参加 </w:t>
      </w:r>
      <w:r>
        <w:rPr>
          <w:rFonts w:hint="eastAsia" w:ascii="宋体" w:hAnsi="宋体"/>
          <w:sz w:val="21"/>
          <w:szCs w:val="21"/>
          <w:u w:val="single"/>
        </w:rPr>
        <w:t xml:space="preserve">          （项目名称）</w:t>
      </w:r>
      <w:r>
        <w:rPr>
          <w:rFonts w:hint="eastAsia" w:ascii="宋体" w:hAnsi="宋体"/>
          <w:sz w:val="21"/>
          <w:szCs w:val="21"/>
        </w:rPr>
        <w:t>的投标，根据法律法规维护投标公正性的相关规定，我方与招标人之间不存在利害关系可能影响采购公正性的法人、其他组织或者个人，特就本单位控股及管理关系情况申报如下，并承担申报不实的责任。如我方中标该项目并签署合同后，一旦发现我方申报不实，招标人可无条件终止合同。</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1"/>
        <w:gridCol w:w="2303"/>
        <w:gridCol w:w="5444"/>
      </w:tblGrid>
      <w:tr w14:paraId="1D15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77" w:type="pct"/>
            <w:noWrap w:val="0"/>
            <w:vAlign w:val="center"/>
          </w:tcPr>
          <w:p w14:paraId="5E752B81">
            <w:pPr>
              <w:adjustRightInd w:val="0"/>
              <w:snapToGrid w:val="0"/>
              <w:spacing w:line="360" w:lineRule="auto"/>
              <w:rPr>
                <w:rFonts w:hint="eastAsia" w:ascii="等线" w:hAnsi="等线" w:cs="宋体"/>
                <w:sz w:val="21"/>
                <w:szCs w:val="21"/>
              </w:rPr>
            </w:pPr>
            <w:r>
              <w:rPr>
                <w:rFonts w:hint="eastAsia" w:ascii="等线" w:hAnsi="等线" w:cs="宋体"/>
                <w:sz w:val="21"/>
                <w:szCs w:val="21"/>
              </w:rPr>
              <w:t>申报人名称</w:t>
            </w:r>
          </w:p>
        </w:tc>
        <w:tc>
          <w:tcPr>
            <w:tcW w:w="4023" w:type="pct"/>
            <w:gridSpan w:val="2"/>
            <w:noWrap w:val="0"/>
            <w:vAlign w:val="center"/>
          </w:tcPr>
          <w:p w14:paraId="16177D9B">
            <w:pPr>
              <w:adjustRightInd w:val="0"/>
              <w:snapToGrid w:val="0"/>
              <w:spacing w:line="360" w:lineRule="auto"/>
              <w:rPr>
                <w:rFonts w:hint="eastAsia" w:ascii="等线" w:hAnsi="等线" w:cs="宋体"/>
                <w:sz w:val="21"/>
                <w:szCs w:val="21"/>
              </w:rPr>
            </w:pPr>
          </w:p>
        </w:tc>
      </w:tr>
      <w:tr w14:paraId="224D1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77" w:type="pct"/>
            <w:vMerge w:val="restart"/>
            <w:noWrap w:val="0"/>
            <w:vAlign w:val="center"/>
          </w:tcPr>
          <w:p w14:paraId="3C9D81C3">
            <w:pPr>
              <w:adjustRightInd w:val="0"/>
              <w:snapToGrid w:val="0"/>
              <w:spacing w:line="360" w:lineRule="auto"/>
              <w:rPr>
                <w:rFonts w:hint="eastAsia" w:ascii="等线" w:hAnsi="等线" w:cs="宋体"/>
                <w:sz w:val="21"/>
                <w:szCs w:val="21"/>
              </w:rPr>
            </w:pPr>
            <w:r>
              <w:rPr>
                <w:rFonts w:hint="eastAsia" w:ascii="等线" w:hAnsi="等线" w:cs="宋体"/>
                <w:sz w:val="21"/>
                <w:szCs w:val="21"/>
              </w:rPr>
              <w:t>法定代表人/单位负责人</w:t>
            </w:r>
          </w:p>
        </w:tc>
        <w:tc>
          <w:tcPr>
            <w:tcW w:w="1196" w:type="pct"/>
            <w:noWrap w:val="0"/>
            <w:vAlign w:val="center"/>
          </w:tcPr>
          <w:p w14:paraId="29315A00">
            <w:pPr>
              <w:adjustRightInd w:val="0"/>
              <w:snapToGrid w:val="0"/>
              <w:spacing w:line="360" w:lineRule="auto"/>
              <w:rPr>
                <w:rFonts w:hint="eastAsia" w:ascii="等线" w:hAnsi="等线" w:cs="宋体"/>
                <w:sz w:val="21"/>
                <w:szCs w:val="21"/>
              </w:rPr>
            </w:pPr>
            <w:r>
              <w:rPr>
                <w:rFonts w:hint="eastAsia" w:ascii="等线" w:hAnsi="等线" w:cs="宋体"/>
                <w:sz w:val="21"/>
                <w:szCs w:val="21"/>
              </w:rPr>
              <w:t>姓    名</w:t>
            </w:r>
          </w:p>
        </w:tc>
        <w:tc>
          <w:tcPr>
            <w:tcW w:w="2827" w:type="pct"/>
            <w:noWrap w:val="0"/>
            <w:vAlign w:val="center"/>
          </w:tcPr>
          <w:p w14:paraId="40FBFE1D">
            <w:pPr>
              <w:adjustRightInd w:val="0"/>
              <w:snapToGrid w:val="0"/>
              <w:spacing w:line="360" w:lineRule="auto"/>
              <w:rPr>
                <w:rFonts w:hint="eastAsia" w:ascii="等线" w:hAnsi="等线" w:cs="宋体"/>
                <w:sz w:val="21"/>
                <w:szCs w:val="21"/>
              </w:rPr>
            </w:pPr>
          </w:p>
        </w:tc>
      </w:tr>
      <w:tr w14:paraId="12DA5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77" w:type="pct"/>
            <w:vMerge w:val="continue"/>
            <w:noWrap w:val="0"/>
            <w:vAlign w:val="center"/>
          </w:tcPr>
          <w:p w14:paraId="7F5708FA">
            <w:pPr>
              <w:adjustRightInd w:val="0"/>
              <w:snapToGrid w:val="0"/>
              <w:spacing w:line="360" w:lineRule="auto"/>
              <w:rPr>
                <w:rFonts w:hint="eastAsia" w:ascii="等线" w:hAnsi="等线" w:cs="宋体"/>
                <w:sz w:val="21"/>
                <w:szCs w:val="21"/>
              </w:rPr>
            </w:pPr>
          </w:p>
        </w:tc>
        <w:tc>
          <w:tcPr>
            <w:tcW w:w="1196" w:type="pct"/>
            <w:noWrap w:val="0"/>
            <w:vAlign w:val="center"/>
          </w:tcPr>
          <w:p w14:paraId="67BCC694">
            <w:pPr>
              <w:adjustRightInd w:val="0"/>
              <w:snapToGrid w:val="0"/>
              <w:spacing w:line="360" w:lineRule="auto"/>
              <w:rPr>
                <w:rFonts w:hint="eastAsia" w:ascii="等线" w:hAnsi="等线" w:cs="宋体"/>
                <w:sz w:val="21"/>
                <w:szCs w:val="21"/>
              </w:rPr>
            </w:pPr>
            <w:r>
              <w:rPr>
                <w:rFonts w:hint="eastAsia" w:ascii="等线" w:hAnsi="等线" w:cs="宋体"/>
                <w:sz w:val="21"/>
                <w:szCs w:val="21"/>
              </w:rPr>
              <w:t>身份证号</w:t>
            </w:r>
          </w:p>
        </w:tc>
        <w:tc>
          <w:tcPr>
            <w:tcW w:w="2827" w:type="pct"/>
            <w:noWrap w:val="0"/>
            <w:vAlign w:val="center"/>
          </w:tcPr>
          <w:p w14:paraId="62D2A501">
            <w:pPr>
              <w:adjustRightInd w:val="0"/>
              <w:snapToGrid w:val="0"/>
              <w:spacing w:line="360" w:lineRule="auto"/>
              <w:rPr>
                <w:rFonts w:hint="eastAsia" w:ascii="等线" w:hAnsi="等线" w:cs="宋体"/>
                <w:sz w:val="21"/>
                <w:szCs w:val="21"/>
              </w:rPr>
            </w:pPr>
          </w:p>
        </w:tc>
      </w:tr>
      <w:tr w14:paraId="6FD70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977" w:type="pct"/>
            <w:noWrap w:val="0"/>
            <w:vAlign w:val="center"/>
          </w:tcPr>
          <w:p w14:paraId="70C5AB4A">
            <w:pPr>
              <w:adjustRightInd w:val="0"/>
              <w:snapToGrid w:val="0"/>
              <w:spacing w:line="360" w:lineRule="auto"/>
              <w:rPr>
                <w:rFonts w:hint="eastAsia" w:ascii="等线" w:hAnsi="等线" w:cs="宋体"/>
                <w:sz w:val="21"/>
                <w:szCs w:val="21"/>
              </w:rPr>
            </w:pPr>
            <w:r>
              <w:rPr>
                <w:rFonts w:hint="eastAsia" w:ascii="等线" w:hAnsi="等线" w:cs="宋体"/>
                <w:sz w:val="21"/>
                <w:szCs w:val="21"/>
              </w:rPr>
              <w:t>单位负责人为同一人单位名称</w:t>
            </w:r>
          </w:p>
        </w:tc>
        <w:tc>
          <w:tcPr>
            <w:tcW w:w="4023" w:type="pct"/>
            <w:gridSpan w:val="2"/>
            <w:noWrap w:val="0"/>
            <w:vAlign w:val="center"/>
          </w:tcPr>
          <w:p w14:paraId="52CFF16C">
            <w:pPr>
              <w:adjustRightInd w:val="0"/>
              <w:snapToGrid w:val="0"/>
              <w:spacing w:line="360" w:lineRule="auto"/>
              <w:rPr>
                <w:rFonts w:hint="eastAsia" w:ascii="等线" w:hAnsi="等线" w:cs="宋体"/>
                <w:sz w:val="21"/>
                <w:szCs w:val="21"/>
              </w:rPr>
            </w:pPr>
          </w:p>
        </w:tc>
      </w:tr>
      <w:tr w14:paraId="6DA3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977" w:type="pct"/>
            <w:vMerge w:val="restart"/>
            <w:noWrap w:val="0"/>
            <w:vAlign w:val="center"/>
          </w:tcPr>
          <w:p w14:paraId="2AF904B9">
            <w:pPr>
              <w:adjustRightInd w:val="0"/>
              <w:snapToGrid w:val="0"/>
              <w:spacing w:line="360" w:lineRule="auto"/>
              <w:rPr>
                <w:rFonts w:hint="eastAsia" w:ascii="等线" w:hAnsi="等线" w:cs="宋体"/>
                <w:sz w:val="21"/>
                <w:szCs w:val="21"/>
              </w:rPr>
            </w:pPr>
            <w:r>
              <w:rPr>
                <w:rFonts w:hint="eastAsia" w:ascii="等线" w:hAnsi="等线" w:cs="宋体"/>
                <w:sz w:val="21"/>
                <w:szCs w:val="21"/>
              </w:rPr>
              <w:t>控股关系</w:t>
            </w:r>
          </w:p>
        </w:tc>
        <w:tc>
          <w:tcPr>
            <w:tcW w:w="1196" w:type="pct"/>
            <w:noWrap w:val="0"/>
            <w:vAlign w:val="center"/>
          </w:tcPr>
          <w:p w14:paraId="14B7DBA9">
            <w:pPr>
              <w:adjustRightInd w:val="0"/>
              <w:snapToGrid w:val="0"/>
              <w:spacing w:line="360" w:lineRule="auto"/>
              <w:rPr>
                <w:rFonts w:hint="eastAsia" w:ascii="等线" w:hAnsi="等线" w:cs="宋体"/>
                <w:sz w:val="21"/>
                <w:szCs w:val="21"/>
              </w:rPr>
            </w:pPr>
            <w:r>
              <w:rPr>
                <w:rFonts w:hint="eastAsia" w:ascii="等线" w:hAnsi="等线" w:cs="宋体"/>
                <w:sz w:val="21"/>
                <w:szCs w:val="21"/>
              </w:rPr>
              <w:t>控股股东/投资人名称及出资比例</w:t>
            </w:r>
          </w:p>
        </w:tc>
        <w:tc>
          <w:tcPr>
            <w:tcW w:w="2827" w:type="pct"/>
            <w:noWrap w:val="0"/>
            <w:vAlign w:val="center"/>
          </w:tcPr>
          <w:p w14:paraId="2525E47A">
            <w:pPr>
              <w:adjustRightInd w:val="0"/>
              <w:snapToGrid w:val="0"/>
              <w:spacing w:line="360" w:lineRule="auto"/>
              <w:rPr>
                <w:rFonts w:hint="eastAsia" w:ascii="等线" w:hAnsi="等线" w:cs="宋体"/>
                <w:sz w:val="21"/>
                <w:szCs w:val="21"/>
              </w:rPr>
            </w:pPr>
          </w:p>
        </w:tc>
      </w:tr>
      <w:tr w14:paraId="6BD70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977" w:type="pct"/>
            <w:vMerge w:val="continue"/>
            <w:noWrap w:val="0"/>
            <w:vAlign w:val="center"/>
          </w:tcPr>
          <w:p w14:paraId="160DD702">
            <w:pPr>
              <w:adjustRightInd w:val="0"/>
              <w:snapToGrid w:val="0"/>
              <w:spacing w:line="360" w:lineRule="auto"/>
              <w:rPr>
                <w:rFonts w:hint="eastAsia" w:ascii="等线" w:hAnsi="等线" w:cs="宋体"/>
                <w:sz w:val="21"/>
                <w:szCs w:val="21"/>
              </w:rPr>
            </w:pPr>
          </w:p>
        </w:tc>
        <w:tc>
          <w:tcPr>
            <w:tcW w:w="1196" w:type="pct"/>
            <w:noWrap w:val="0"/>
            <w:vAlign w:val="center"/>
          </w:tcPr>
          <w:p w14:paraId="4F8E4C33">
            <w:pPr>
              <w:adjustRightInd w:val="0"/>
              <w:snapToGrid w:val="0"/>
              <w:spacing w:line="360" w:lineRule="auto"/>
              <w:rPr>
                <w:rFonts w:hint="eastAsia" w:ascii="等线" w:hAnsi="等线" w:cs="宋体"/>
                <w:sz w:val="21"/>
                <w:szCs w:val="21"/>
              </w:rPr>
            </w:pPr>
            <w:r>
              <w:rPr>
                <w:rFonts w:hint="eastAsia" w:ascii="等线" w:hAnsi="等线" w:cs="宋体"/>
                <w:sz w:val="21"/>
                <w:szCs w:val="21"/>
              </w:rPr>
              <w:t>被控股/被投资单位名称及出资比例</w:t>
            </w:r>
          </w:p>
        </w:tc>
        <w:tc>
          <w:tcPr>
            <w:tcW w:w="2827" w:type="pct"/>
            <w:noWrap w:val="0"/>
            <w:vAlign w:val="center"/>
          </w:tcPr>
          <w:p w14:paraId="7F465D14">
            <w:pPr>
              <w:adjustRightInd w:val="0"/>
              <w:snapToGrid w:val="0"/>
              <w:spacing w:line="360" w:lineRule="auto"/>
              <w:rPr>
                <w:rFonts w:hint="eastAsia" w:ascii="等线" w:hAnsi="等线" w:cs="宋体"/>
                <w:sz w:val="21"/>
                <w:szCs w:val="21"/>
              </w:rPr>
            </w:pPr>
          </w:p>
        </w:tc>
      </w:tr>
      <w:tr w14:paraId="66B25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7" w:type="pct"/>
            <w:vMerge w:val="restart"/>
            <w:noWrap w:val="0"/>
            <w:vAlign w:val="center"/>
          </w:tcPr>
          <w:p w14:paraId="71B9692A">
            <w:pPr>
              <w:adjustRightInd w:val="0"/>
              <w:snapToGrid w:val="0"/>
              <w:spacing w:line="360" w:lineRule="auto"/>
              <w:rPr>
                <w:rFonts w:hint="eastAsia" w:ascii="等线" w:hAnsi="等线" w:cs="宋体"/>
                <w:sz w:val="21"/>
                <w:szCs w:val="21"/>
              </w:rPr>
            </w:pPr>
            <w:r>
              <w:rPr>
                <w:rFonts w:hint="eastAsia" w:ascii="等线" w:hAnsi="等线" w:cs="宋体"/>
                <w:sz w:val="21"/>
                <w:szCs w:val="21"/>
              </w:rPr>
              <w:t>管理关系</w:t>
            </w:r>
          </w:p>
        </w:tc>
        <w:tc>
          <w:tcPr>
            <w:tcW w:w="1196" w:type="pct"/>
            <w:noWrap w:val="0"/>
            <w:vAlign w:val="center"/>
          </w:tcPr>
          <w:p w14:paraId="542766B5">
            <w:pPr>
              <w:adjustRightInd w:val="0"/>
              <w:snapToGrid w:val="0"/>
              <w:spacing w:line="360" w:lineRule="auto"/>
              <w:rPr>
                <w:rFonts w:hint="eastAsia" w:ascii="等线" w:hAnsi="等线" w:cs="宋体"/>
                <w:sz w:val="21"/>
                <w:szCs w:val="21"/>
              </w:rPr>
            </w:pPr>
            <w:r>
              <w:rPr>
                <w:rFonts w:hint="eastAsia" w:ascii="等线" w:hAnsi="等线" w:cs="宋体"/>
                <w:sz w:val="21"/>
                <w:szCs w:val="21"/>
              </w:rPr>
              <w:t>管理关系单位名称</w:t>
            </w:r>
          </w:p>
        </w:tc>
        <w:tc>
          <w:tcPr>
            <w:tcW w:w="2827" w:type="pct"/>
            <w:noWrap w:val="0"/>
            <w:vAlign w:val="center"/>
          </w:tcPr>
          <w:p w14:paraId="02C1B41A">
            <w:pPr>
              <w:adjustRightInd w:val="0"/>
              <w:snapToGrid w:val="0"/>
              <w:spacing w:line="360" w:lineRule="auto"/>
              <w:rPr>
                <w:rFonts w:hint="eastAsia" w:ascii="等线" w:hAnsi="等线" w:cs="宋体"/>
                <w:sz w:val="21"/>
                <w:szCs w:val="21"/>
              </w:rPr>
            </w:pPr>
          </w:p>
        </w:tc>
      </w:tr>
      <w:tr w14:paraId="203F3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77" w:type="pct"/>
            <w:vMerge w:val="continue"/>
            <w:noWrap w:val="0"/>
            <w:vAlign w:val="center"/>
          </w:tcPr>
          <w:p w14:paraId="7220AE60">
            <w:pPr>
              <w:adjustRightInd w:val="0"/>
              <w:snapToGrid w:val="0"/>
              <w:spacing w:line="360" w:lineRule="auto"/>
              <w:rPr>
                <w:rFonts w:hint="eastAsia" w:ascii="等线" w:hAnsi="等线" w:cs="宋体"/>
                <w:sz w:val="21"/>
                <w:szCs w:val="21"/>
              </w:rPr>
            </w:pPr>
          </w:p>
        </w:tc>
        <w:tc>
          <w:tcPr>
            <w:tcW w:w="1196" w:type="pct"/>
            <w:noWrap w:val="0"/>
            <w:vAlign w:val="center"/>
          </w:tcPr>
          <w:p w14:paraId="17B2F6C5">
            <w:pPr>
              <w:adjustRightInd w:val="0"/>
              <w:snapToGrid w:val="0"/>
              <w:spacing w:line="360" w:lineRule="auto"/>
              <w:rPr>
                <w:rFonts w:hint="eastAsia" w:ascii="等线" w:hAnsi="等线" w:cs="宋体"/>
                <w:sz w:val="21"/>
                <w:szCs w:val="21"/>
              </w:rPr>
            </w:pPr>
            <w:r>
              <w:rPr>
                <w:rFonts w:hint="eastAsia" w:ascii="等线" w:hAnsi="等线" w:cs="宋体"/>
                <w:sz w:val="21"/>
                <w:szCs w:val="21"/>
              </w:rPr>
              <w:t>被管理关系单位名称</w:t>
            </w:r>
          </w:p>
        </w:tc>
        <w:tc>
          <w:tcPr>
            <w:tcW w:w="2827" w:type="pct"/>
            <w:noWrap w:val="0"/>
            <w:vAlign w:val="center"/>
          </w:tcPr>
          <w:p w14:paraId="16A4193C">
            <w:pPr>
              <w:adjustRightInd w:val="0"/>
              <w:snapToGrid w:val="0"/>
              <w:spacing w:line="360" w:lineRule="auto"/>
              <w:rPr>
                <w:rFonts w:hint="eastAsia" w:ascii="等线" w:hAnsi="等线" w:cs="宋体"/>
                <w:sz w:val="21"/>
                <w:szCs w:val="21"/>
              </w:rPr>
            </w:pPr>
          </w:p>
        </w:tc>
      </w:tr>
      <w:tr w14:paraId="0029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000" w:type="pct"/>
            <w:gridSpan w:val="3"/>
            <w:noWrap w:val="0"/>
            <w:vAlign w:val="center"/>
          </w:tcPr>
          <w:p w14:paraId="1AB36333">
            <w:pPr>
              <w:adjustRightInd w:val="0"/>
              <w:snapToGrid w:val="0"/>
              <w:spacing w:line="360" w:lineRule="auto"/>
              <w:rPr>
                <w:rFonts w:hint="eastAsia" w:ascii="等线" w:hAnsi="等线" w:cs="宋体"/>
                <w:sz w:val="21"/>
                <w:szCs w:val="21"/>
              </w:rPr>
            </w:pPr>
            <w:r>
              <w:rPr>
                <w:rFonts w:hint="eastAsia" w:ascii="等线" w:hAnsi="等线" w:cs="宋体"/>
                <w:sz w:val="21"/>
                <w:szCs w:val="21"/>
              </w:rPr>
              <w:t>备注：</w:t>
            </w:r>
          </w:p>
        </w:tc>
      </w:tr>
    </w:tbl>
    <w:p w14:paraId="6D801533">
      <w:pPr>
        <w:adjustRightInd w:val="0"/>
        <w:snapToGrid w:val="0"/>
        <w:spacing w:line="360" w:lineRule="auto"/>
        <w:rPr>
          <w:rFonts w:hint="eastAsia" w:ascii="等线" w:hAnsi="等线" w:cs="宋体"/>
          <w:sz w:val="21"/>
          <w:szCs w:val="21"/>
        </w:rPr>
      </w:pPr>
      <w:r>
        <w:rPr>
          <w:rFonts w:hint="eastAsia" w:ascii="等线" w:hAnsi="等线" w:cs="宋体"/>
          <w:sz w:val="21"/>
          <w:szCs w:val="21"/>
        </w:rPr>
        <w:t>注：</w:t>
      </w:r>
    </w:p>
    <w:p w14:paraId="39784C4B">
      <w:pPr>
        <w:adjustRightInd w:val="0"/>
        <w:snapToGrid w:val="0"/>
        <w:spacing w:line="360" w:lineRule="auto"/>
        <w:rPr>
          <w:rFonts w:hint="eastAsia" w:ascii="等线" w:hAnsi="等线" w:cs="宋体"/>
          <w:sz w:val="21"/>
          <w:szCs w:val="21"/>
        </w:rPr>
      </w:pPr>
      <w:r>
        <w:rPr>
          <w:rFonts w:hint="eastAsia" w:ascii="等线" w:hAnsi="等线" w:cs="宋体"/>
          <w:sz w:val="21"/>
          <w:szCs w:val="21"/>
        </w:rPr>
        <w:t>1.控股股东/投资人是指出资比例在50%以上，或者出资比例不足50%，但享有公司股东会/董事会控制权的投资方（含单位或者个人）</w:t>
      </w:r>
    </w:p>
    <w:p w14:paraId="39BA61BA">
      <w:pPr>
        <w:adjustRightInd w:val="0"/>
        <w:snapToGrid w:val="0"/>
        <w:spacing w:line="360" w:lineRule="auto"/>
        <w:rPr>
          <w:rFonts w:hint="eastAsia" w:ascii="等线" w:hAnsi="等线" w:cs="宋体"/>
          <w:sz w:val="21"/>
          <w:szCs w:val="21"/>
        </w:rPr>
      </w:pPr>
      <w:r>
        <w:rPr>
          <w:rFonts w:hint="eastAsia" w:ascii="等线" w:hAnsi="等线" w:cs="宋体"/>
          <w:sz w:val="21"/>
          <w:szCs w:val="21"/>
        </w:rPr>
        <w:t xml:space="preserve">2.管理关系单位是指与不具有出资持股关系的其他单位之间存在管理与被管理关系的单位； </w:t>
      </w:r>
    </w:p>
    <w:p w14:paraId="70E825A9">
      <w:pPr>
        <w:adjustRightInd w:val="0"/>
        <w:snapToGrid w:val="0"/>
        <w:spacing w:line="360" w:lineRule="auto"/>
        <w:rPr>
          <w:rFonts w:hint="eastAsia" w:ascii="等线" w:hAnsi="等线" w:cs="宋体"/>
          <w:sz w:val="21"/>
          <w:szCs w:val="21"/>
        </w:rPr>
      </w:pPr>
      <w:r>
        <w:rPr>
          <w:rFonts w:hint="eastAsia" w:ascii="等线" w:hAnsi="等线" w:cs="宋体"/>
          <w:sz w:val="21"/>
          <w:szCs w:val="21"/>
        </w:rPr>
        <w:t>3.如未有相关情况，请在相应栏填写“无”。</w:t>
      </w:r>
    </w:p>
    <w:p w14:paraId="325720F8">
      <w:pPr>
        <w:pStyle w:val="149"/>
        <w:adjustRightInd w:val="0"/>
        <w:snapToGrid w:val="0"/>
        <w:spacing w:line="360" w:lineRule="auto"/>
        <w:jc w:val="both"/>
        <w:rPr>
          <w:rFonts w:hint="eastAsia" w:ascii="等线" w:hAnsi="等线" w:eastAsia="宋体" w:cs="宋体"/>
          <w:vanish w:val="0"/>
          <w:sz w:val="21"/>
          <w:szCs w:val="21"/>
        </w:rPr>
      </w:pPr>
      <w:r>
        <w:rPr>
          <w:rFonts w:hint="eastAsia" w:ascii="等线" w:hAnsi="等线" w:eastAsia="宋体" w:cs="宋体"/>
          <w:vanish w:val="0"/>
          <w:sz w:val="21"/>
          <w:szCs w:val="21"/>
        </w:rPr>
        <w:t xml:space="preserve">2.管理关系单位是指与不具有出资持股关系的其他单位之间存在管理与被管理关系的单位； </w:t>
      </w:r>
    </w:p>
    <w:p w14:paraId="00190861">
      <w:pPr>
        <w:pStyle w:val="149"/>
        <w:adjustRightInd w:val="0"/>
        <w:snapToGrid w:val="0"/>
        <w:spacing w:line="360" w:lineRule="auto"/>
        <w:jc w:val="both"/>
        <w:rPr>
          <w:rFonts w:hint="eastAsia" w:ascii="等线" w:hAnsi="等线" w:eastAsia="宋体" w:cs="宋体"/>
          <w:vanish w:val="0"/>
          <w:sz w:val="21"/>
          <w:szCs w:val="21"/>
        </w:rPr>
      </w:pPr>
      <w:r>
        <w:rPr>
          <w:rFonts w:hint="eastAsia" w:ascii="等线" w:hAnsi="等线" w:eastAsia="宋体" w:cs="宋体"/>
          <w:vanish w:val="0"/>
          <w:sz w:val="21"/>
          <w:szCs w:val="21"/>
        </w:rPr>
        <w:t>3.如未有相关情况，请在相应栏填写“无”。</w:t>
      </w:r>
    </w:p>
    <w:p w14:paraId="7FCE4A88">
      <w:pPr>
        <w:spacing w:line="360" w:lineRule="auto"/>
        <w:ind w:right="34" w:rightChars="12" w:firstLine="3885" w:firstLineChars="1850"/>
        <w:rPr>
          <w:rFonts w:hint="eastAsia" w:ascii="宋体" w:hAnsi="宋体" w:cs="宋体"/>
          <w:sz w:val="21"/>
          <w:szCs w:val="21"/>
          <w:u w:val="none"/>
        </w:rPr>
      </w:pPr>
      <w:r>
        <w:rPr>
          <w:rFonts w:hint="eastAsia" w:ascii="宋体" w:hAnsi="宋体" w:cs="宋体"/>
          <w:sz w:val="21"/>
          <w:szCs w:val="21"/>
          <w:u w:val="none"/>
        </w:rPr>
        <w:t>投标人（法人公章）：</w:t>
      </w:r>
    </w:p>
    <w:p w14:paraId="2AD2C8D1">
      <w:pPr>
        <w:spacing w:line="360" w:lineRule="auto"/>
        <w:ind w:right="34" w:rightChars="12" w:firstLine="3885" w:firstLineChars="1850"/>
        <w:rPr>
          <w:rFonts w:hint="eastAsia" w:ascii="宋体" w:hAnsi="宋体" w:cs="宋体"/>
          <w:sz w:val="21"/>
          <w:szCs w:val="21"/>
        </w:rPr>
      </w:pPr>
      <w:r>
        <w:rPr>
          <w:rFonts w:hint="eastAsia" w:ascii="宋体" w:hAnsi="宋体"/>
          <w:sz w:val="21"/>
          <w:szCs w:val="21"/>
        </w:rPr>
        <w:t>法定代表人或</w:t>
      </w:r>
      <w:r>
        <w:rPr>
          <w:rFonts w:hint="eastAsia" w:ascii="宋体" w:hAnsi="宋体" w:cs="宋体"/>
          <w:sz w:val="21"/>
          <w:szCs w:val="21"/>
        </w:rPr>
        <w:t>授权代表（签字或盖章）：</w:t>
      </w:r>
    </w:p>
    <w:p w14:paraId="7C661808">
      <w:pPr>
        <w:widowControl/>
        <w:spacing w:line="360" w:lineRule="auto"/>
        <w:ind w:firstLine="3885" w:firstLineChars="1850"/>
        <w:rPr>
          <w:rFonts w:hint="eastAsia" w:ascii="宋体" w:hAnsi="宋体" w:cs="宋体"/>
          <w:sz w:val="21"/>
          <w:szCs w:val="21"/>
        </w:rPr>
      </w:pPr>
      <w:r>
        <w:rPr>
          <w:rFonts w:hint="eastAsia" w:ascii="宋体" w:hAnsi="宋体" w:cs="宋体"/>
          <w:sz w:val="21"/>
          <w:szCs w:val="21"/>
        </w:rPr>
        <w:t>日期：</w:t>
      </w:r>
    </w:p>
    <w:p w14:paraId="2FC0515D">
      <w:pPr>
        <w:adjustRightInd w:val="0"/>
        <w:snapToGrid w:val="0"/>
        <w:spacing w:line="360" w:lineRule="auto"/>
        <w:jc w:val="center"/>
        <w:rPr>
          <w:rFonts w:hint="eastAsia" w:ascii="宋体" w:hAnsi="宋体" w:cs="宋体"/>
          <w:b/>
          <w:bCs/>
          <w:kern w:val="0"/>
          <w:sz w:val="21"/>
          <w:szCs w:val="21"/>
        </w:rPr>
      </w:pPr>
    </w:p>
    <w:p w14:paraId="7D5238C8">
      <w:pPr>
        <w:adjustRightInd w:val="0"/>
        <w:snapToGrid w:val="0"/>
        <w:spacing w:line="360" w:lineRule="auto"/>
        <w:jc w:val="left"/>
        <w:outlineLvl w:val="3"/>
        <w:rPr>
          <w:rFonts w:hint="eastAsia" w:ascii="宋体" w:hAnsi="宋体" w:cs="宋体"/>
          <w:kern w:val="0"/>
          <w:sz w:val="21"/>
          <w:szCs w:val="21"/>
        </w:rPr>
      </w:pPr>
      <w:r>
        <w:rPr>
          <w:rFonts w:hint="eastAsia" w:ascii="宋体" w:hAnsi="宋体" w:cs="宋体"/>
          <w:kern w:val="0"/>
          <w:sz w:val="21"/>
          <w:szCs w:val="21"/>
        </w:rPr>
        <w:br w:type="page"/>
      </w:r>
      <w:r>
        <w:rPr>
          <w:rFonts w:hint="eastAsia" w:ascii="宋体" w:hAnsi="宋体" w:cs="宋体"/>
          <w:kern w:val="0"/>
          <w:sz w:val="21"/>
          <w:szCs w:val="21"/>
        </w:rPr>
        <w:t>附件5：</w:t>
      </w:r>
    </w:p>
    <w:p w14:paraId="30BEC15F">
      <w:pPr>
        <w:spacing w:line="360" w:lineRule="auto"/>
        <w:rPr>
          <w:rFonts w:hint="eastAsia" w:ascii="宋体" w:hAnsi="宋体" w:cs="宋体"/>
          <w:b/>
          <w:bCs/>
          <w:sz w:val="21"/>
          <w:szCs w:val="21"/>
        </w:rPr>
      </w:pPr>
    </w:p>
    <w:p w14:paraId="0E4F387B">
      <w:pPr>
        <w:spacing w:line="360" w:lineRule="auto"/>
        <w:jc w:val="center"/>
        <w:rPr>
          <w:rFonts w:hint="eastAsia" w:ascii="宋体" w:hAnsi="宋体"/>
          <w:b/>
          <w:spacing w:val="-6"/>
          <w:sz w:val="24"/>
        </w:rPr>
      </w:pPr>
      <w:r>
        <w:rPr>
          <w:rFonts w:hint="eastAsia" w:ascii="宋体" w:hAnsi="宋体"/>
          <w:b/>
          <w:spacing w:val="-6"/>
          <w:sz w:val="24"/>
        </w:rPr>
        <w:t>投标人诚信经营和诚信履约承诺书</w:t>
      </w:r>
    </w:p>
    <w:p w14:paraId="12FC9976">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我公司</w:t>
      </w:r>
      <w:r>
        <w:rPr>
          <w:rFonts w:hint="eastAsia" w:ascii="宋体" w:hAnsi="宋体" w:cs="宋体"/>
          <w:kern w:val="0"/>
          <w:sz w:val="21"/>
          <w:szCs w:val="21"/>
          <w:u w:val="single"/>
        </w:rPr>
        <w:t xml:space="preserve">                   </w:t>
      </w:r>
      <w:r>
        <w:rPr>
          <w:rFonts w:hint="eastAsia" w:ascii="宋体" w:hAnsi="宋体" w:cs="宋体"/>
          <w:kern w:val="0"/>
          <w:sz w:val="21"/>
          <w:szCs w:val="21"/>
        </w:rPr>
        <w:t>（投标人名称）已详细阅读了XXXXXX项目（项目编号：XXXXXX）招标文件，自愿参加本次招标活动，现有关事项郑重承诺如下：</w:t>
      </w:r>
    </w:p>
    <w:p w14:paraId="637FA773">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一、我公司保证投标文件所提供的资料和内容均真实、合法、有效，保证不出借或者借用其他投标人的资质，不以他人名义投标，不弄虚作假。</w:t>
      </w:r>
    </w:p>
    <w:p w14:paraId="2AE3F7DF">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二、我公司保证所提供的产品或服务质量。保证所提供的服务严格按招标人要求，不打折扣，不降低服务质量，并承诺做到以下几点内容：</w:t>
      </w:r>
    </w:p>
    <w:p w14:paraId="6F130BDE">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（一）本单位与招标人之间不存在可能影响招标公正的利害关系；</w:t>
      </w:r>
    </w:p>
    <w:p w14:paraId="6087BAB9">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（二）不提供虚假材料谋取入围、中标、成交；</w:t>
      </w:r>
    </w:p>
    <w:p w14:paraId="1C776379">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（三）不采取不正当手段诋毁、排挤其他投标人；</w:t>
      </w:r>
    </w:p>
    <w:p w14:paraId="6500762A">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（四）不与招标人、其它投标人或者招标代理机构恶意串通，且不与其他投标人就本项目进行工作交流或产生交易行为；</w:t>
      </w:r>
    </w:p>
    <w:p w14:paraId="088743AE">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（五）不向招标人、招标代理机构行贿或者提供其他不正当利益；</w:t>
      </w:r>
    </w:p>
    <w:p w14:paraId="7DCE946C">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（六）在招标过程中不与招标人进行附加协商谈判；</w:t>
      </w:r>
    </w:p>
    <w:p w14:paraId="46D11871">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（七）接受有关部门监督检查且承诺如实提供情况。</w:t>
      </w:r>
    </w:p>
    <w:p w14:paraId="1FB78457">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三、若中标，我公司严格按招标文件和合同要求，诚信履约，不与招标人订立有悖于招标结果的合同，严格履行招标合同，不降低合同约定的产品及相关服务质量，不擅自变更、中止、终止合同或拒绝履行合同。</w:t>
      </w:r>
    </w:p>
    <w:p w14:paraId="73653507">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四、我公司保证，若有违反以上承诺行为，我公司自愿接受取消投标资格，记入不良记录，在3年内禁止参加浙商银行开展的一切招标活动，不良行为信息共享报送金融行业招标采购专业委员会、发送各共建单位、在浙商银行官网等互联网渠道公开通报等处罚；如已中标（成交）的，取消中标（成交）资格，没收履约保证金，并承担全部法律责任，给招标人造成损失的，我公司依法承担全部赔偿责任。</w:t>
      </w:r>
    </w:p>
    <w:p w14:paraId="138BEFF5">
      <w:pPr>
        <w:spacing w:line="360" w:lineRule="auto"/>
        <w:rPr>
          <w:rFonts w:hint="eastAsia" w:ascii="宋体" w:hAnsi="宋体" w:cs="宋体"/>
          <w:kern w:val="0"/>
          <w:sz w:val="21"/>
          <w:szCs w:val="21"/>
        </w:rPr>
      </w:pPr>
    </w:p>
    <w:p w14:paraId="4A2DEF48">
      <w:pPr>
        <w:spacing w:line="360" w:lineRule="auto"/>
        <w:rPr>
          <w:rFonts w:hint="eastAsia" w:ascii="宋体" w:hAnsi="宋体"/>
          <w:spacing w:val="-6"/>
          <w:sz w:val="24"/>
        </w:rPr>
      </w:pPr>
      <w:r>
        <w:rPr>
          <w:rFonts w:hint="eastAsia" w:ascii="宋体" w:hAnsi="宋体"/>
          <w:spacing w:val="-6"/>
          <w:sz w:val="24"/>
        </w:rPr>
        <w:t>投标人名称（盖章）：</w:t>
      </w:r>
    </w:p>
    <w:p w14:paraId="0C4B8F69">
      <w:pPr>
        <w:spacing w:line="360" w:lineRule="auto"/>
        <w:rPr>
          <w:rFonts w:hint="eastAsia" w:ascii="宋体" w:hAnsi="宋体"/>
          <w:bCs/>
          <w:spacing w:val="-6"/>
          <w:sz w:val="24"/>
        </w:rPr>
      </w:pPr>
    </w:p>
    <w:p w14:paraId="4DE36CC0">
      <w:pPr>
        <w:spacing w:line="360" w:lineRule="auto"/>
        <w:rPr>
          <w:rFonts w:hint="eastAsia"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1D6DF3EC">
      <w:pPr>
        <w:spacing w:before="48" w:beforeLines="20" w:after="48" w:afterLines="20" w:line="360" w:lineRule="auto"/>
        <w:rPr>
          <w:rFonts w:hint="eastAsia" w:ascii="仿宋" w:hAnsi="仿宋" w:eastAsia="仿宋" w:cs="仿宋_GB2312"/>
          <w:kern w:val="0"/>
          <w:sz w:val="21"/>
          <w:szCs w:val="21"/>
        </w:rPr>
      </w:pPr>
    </w:p>
    <w:p w14:paraId="625AAE31">
      <w:pPr>
        <w:spacing w:line="360" w:lineRule="auto"/>
        <w:rPr>
          <w:rFonts w:hint="eastAsia" w:ascii="宋体" w:hAnsi="宋体"/>
          <w:b/>
          <w:bCs/>
          <w:spacing w:val="-6"/>
          <w:sz w:val="21"/>
          <w:szCs w:val="21"/>
        </w:rPr>
      </w:pPr>
      <w:r>
        <w:rPr>
          <w:rFonts w:hint="eastAsia" w:ascii="宋体" w:hAnsi="宋体" w:cs="宋体"/>
          <w:b/>
          <w:bCs/>
          <w:kern w:val="0"/>
          <w:sz w:val="21"/>
          <w:szCs w:val="21"/>
        </w:rPr>
        <w:t>说明：本承诺书为投标文件的必备要件，由投标人加盖公章，投标文件无承诺书无加盖公章的作为无效投标处理，由投标人承担由此造成的一切后果和损失。</w:t>
      </w:r>
    </w:p>
    <w:p w14:paraId="7AD1096C">
      <w:pPr>
        <w:adjustRightInd w:val="0"/>
        <w:snapToGrid w:val="0"/>
        <w:spacing w:line="360" w:lineRule="auto"/>
        <w:jc w:val="left"/>
        <w:rPr>
          <w:rFonts w:hint="eastAsia" w:ascii="宋体" w:hAnsi="宋体" w:cs="宋体"/>
          <w:kern w:val="0"/>
          <w:sz w:val="21"/>
          <w:szCs w:val="21"/>
        </w:rPr>
      </w:pPr>
    </w:p>
    <w:p w14:paraId="171DF28D">
      <w:pPr>
        <w:spacing w:line="288" w:lineRule="auto"/>
        <w:jc w:val="left"/>
        <w:outlineLvl w:val="3"/>
        <w:rPr>
          <w:rFonts w:hint="eastAsia" w:ascii="宋体" w:hAnsi="宋体" w:cs="宋体"/>
          <w:kern w:val="0"/>
          <w:sz w:val="21"/>
          <w:szCs w:val="21"/>
        </w:rPr>
      </w:pPr>
      <w:r>
        <w:rPr>
          <w:rFonts w:hint="eastAsia" w:ascii="宋体" w:hAnsi="宋体"/>
          <w:b/>
          <w:spacing w:val="-6"/>
          <w:sz w:val="32"/>
          <w:szCs w:val="32"/>
        </w:rPr>
        <w:br w:type="page"/>
      </w:r>
      <w:r>
        <w:rPr>
          <w:rFonts w:hint="eastAsia" w:ascii="宋体" w:hAnsi="宋体" w:cs="宋体"/>
          <w:kern w:val="0"/>
          <w:sz w:val="21"/>
          <w:szCs w:val="21"/>
        </w:rPr>
        <w:t>附件6：</w:t>
      </w:r>
    </w:p>
    <w:p w14:paraId="662A481D">
      <w:pPr>
        <w:spacing w:line="360" w:lineRule="auto"/>
        <w:jc w:val="center"/>
        <w:rPr>
          <w:rFonts w:hint="eastAsia" w:ascii="宋体" w:hAnsi="宋体" w:cs="宋体"/>
          <w:b/>
          <w:bCs/>
          <w:spacing w:val="-6"/>
          <w:sz w:val="24"/>
          <w:lang w:bidi="ar"/>
        </w:rPr>
      </w:pPr>
    </w:p>
    <w:p w14:paraId="0DE9B15F">
      <w:pPr>
        <w:spacing w:line="360" w:lineRule="auto"/>
        <w:jc w:val="center"/>
        <w:rPr>
          <w:rFonts w:hint="eastAsia" w:ascii="宋体" w:hAnsi="宋体" w:cs="宋体"/>
          <w:b/>
          <w:bCs/>
          <w:spacing w:val="-6"/>
          <w:sz w:val="24"/>
          <w:lang w:bidi="ar"/>
        </w:rPr>
      </w:pPr>
      <w:r>
        <w:rPr>
          <w:rFonts w:hint="eastAsia" w:ascii="宋体" w:hAnsi="宋体" w:cs="宋体"/>
          <w:b/>
          <w:bCs/>
          <w:spacing w:val="-6"/>
          <w:sz w:val="24"/>
          <w:lang w:bidi="ar"/>
        </w:rPr>
        <w:t>未违反法律法规规定的其他要求的承诺函</w:t>
      </w:r>
    </w:p>
    <w:p w14:paraId="465BAEB4">
      <w:pPr>
        <w:spacing w:line="360" w:lineRule="auto"/>
        <w:rPr>
          <w:rFonts w:hint="eastAsia" w:ascii="宋体" w:hAnsi="宋体" w:cs="宋体"/>
          <w:spacing w:val="-6"/>
          <w:sz w:val="24"/>
        </w:rPr>
      </w:pPr>
      <w:r>
        <w:rPr>
          <w:rFonts w:hint="eastAsia" w:ascii="宋体" w:hAnsi="宋体" w:cs="宋体"/>
          <w:spacing w:val="-6"/>
          <w:sz w:val="24"/>
        </w:rPr>
        <w:t>致：浙商银行股份有限公司：</w:t>
      </w:r>
    </w:p>
    <w:p w14:paraId="18B26108">
      <w:pPr>
        <w:spacing w:line="360" w:lineRule="auto"/>
        <w:ind w:firstLine="456" w:firstLineChars="200"/>
        <w:rPr>
          <w:rFonts w:hint="eastAsia" w:ascii="宋体" w:hAnsi="宋体" w:cs="宋体"/>
          <w:spacing w:val="-6"/>
          <w:sz w:val="24"/>
        </w:rPr>
      </w:pPr>
      <w:r>
        <w:rPr>
          <w:rFonts w:hint="eastAsia" w:ascii="宋体" w:hAnsi="宋体" w:cs="宋体"/>
          <w:spacing w:val="-6"/>
          <w:sz w:val="24"/>
        </w:rPr>
        <w:t>我公司郑重承诺：到本项目投标截止时间为止，我公司未违反法律法规规定的其他要求。如有隐瞒，愿承担一切责任。</w:t>
      </w:r>
    </w:p>
    <w:p w14:paraId="5B78D3C2">
      <w:pPr>
        <w:spacing w:line="360" w:lineRule="auto"/>
        <w:ind w:firstLine="456" w:firstLineChars="200"/>
        <w:rPr>
          <w:rFonts w:hint="eastAsia" w:ascii="宋体" w:hAnsi="宋体" w:cs="宋体"/>
          <w:spacing w:val="-6"/>
          <w:sz w:val="24"/>
        </w:rPr>
      </w:pPr>
    </w:p>
    <w:p w14:paraId="1C189E3F">
      <w:pPr>
        <w:spacing w:line="360" w:lineRule="auto"/>
        <w:ind w:firstLine="456" w:firstLineChars="200"/>
        <w:rPr>
          <w:rFonts w:hint="eastAsia" w:ascii="宋体" w:hAnsi="宋体" w:cs="宋体"/>
          <w:spacing w:val="-6"/>
          <w:sz w:val="24"/>
        </w:rPr>
      </w:pPr>
      <w:r>
        <w:rPr>
          <w:rFonts w:hint="eastAsia" w:ascii="宋体" w:hAnsi="宋体" w:cs="宋体"/>
          <w:spacing w:val="-6"/>
          <w:sz w:val="24"/>
        </w:rPr>
        <w:t>特此承诺！</w:t>
      </w:r>
    </w:p>
    <w:p w14:paraId="77E723E0">
      <w:pPr>
        <w:widowControl/>
        <w:snapToGrid w:val="0"/>
        <w:spacing w:line="360" w:lineRule="auto"/>
        <w:ind w:firstLine="560" w:firstLineChars="200"/>
        <w:jc w:val="left"/>
        <w:rPr>
          <w:rFonts w:hint="eastAsia" w:ascii="宋体" w:hAnsi="宋体" w:cs="宋体"/>
          <w:kern w:val="0"/>
          <w:szCs w:val="28"/>
        </w:rPr>
      </w:pPr>
    </w:p>
    <w:p w14:paraId="0C6F7CC3">
      <w:pPr>
        <w:spacing w:line="360" w:lineRule="auto"/>
        <w:ind w:firstLine="456" w:firstLineChars="200"/>
        <w:rPr>
          <w:rFonts w:hint="eastAsia" w:ascii="宋体" w:hAnsi="宋体" w:cs="宋体"/>
          <w:spacing w:val="-6"/>
          <w:sz w:val="24"/>
        </w:rPr>
      </w:pPr>
      <w:r>
        <w:rPr>
          <w:rFonts w:hint="eastAsia" w:ascii="宋体" w:hAnsi="宋体" w:cs="宋体"/>
          <w:spacing w:val="-6"/>
          <w:sz w:val="24"/>
        </w:rPr>
        <w:t>投标人名称（盖章）：</w:t>
      </w:r>
    </w:p>
    <w:p w14:paraId="24BDF1A9">
      <w:pPr>
        <w:spacing w:line="288" w:lineRule="auto"/>
        <w:ind w:firstLine="456" w:firstLineChars="200"/>
        <w:jc w:val="left"/>
        <w:outlineLvl w:val="9"/>
        <w:rPr>
          <w:rFonts w:hint="eastAsia" w:ascii="宋体" w:hAnsi="宋体" w:cs="宋体"/>
          <w:bCs/>
          <w:spacing w:val="-6"/>
          <w:sz w:val="24"/>
        </w:rPr>
      </w:pPr>
      <w:r>
        <w:rPr>
          <w:rFonts w:hint="eastAsia" w:ascii="宋体" w:hAnsi="宋体" w:cs="宋体"/>
          <w:bCs/>
          <w:spacing w:val="-6"/>
          <w:sz w:val="24"/>
        </w:rPr>
        <w:t>日期：     年   月   日</w:t>
      </w:r>
    </w:p>
    <w:p w14:paraId="5FC3C8A7">
      <w:pPr>
        <w:spacing w:line="288" w:lineRule="auto"/>
        <w:jc w:val="left"/>
        <w:outlineLvl w:val="3"/>
        <w:rPr>
          <w:rFonts w:hint="eastAsia" w:ascii="宋体" w:hAnsi="宋体" w:cs="宋体"/>
          <w:kern w:val="0"/>
          <w:sz w:val="21"/>
          <w:szCs w:val="21"/>
        </w:rPr>
      </w:pPr>
      <w:r>
        <w:rPr>
          <w:rFonts w:hint="eastAsia" w:ascii="宋体" w:hAnsi="宋体"/>
          <w:b/>
          <w:spacing w:val="-6"/>
          <w:sz w:val="32"/>
          <w:szCs w:val="32"/>
        </w:rPr>
        <w:br w:type="page"/>
      </w:r>
      <w:r>
        <w:rPr>
          <w:rFonts w:hint="eastAsia" w:ascii="宋体" w:hAnsi="宋体" w:cs="宋体"/>
          <w:kern w:val="0"/>
          <w:sz w:val="21"/>
          <w:szCs w:val="21"/>
        </w:rPr>
        <w:t>附件</w:t>
      </w:r>
      <w:r>
        <w:rPr>
          <w:rFonts w:hint="eastAsia" w:ascii="宋体" w:hAnsi="宋体" w:cs="宋体"/>
          <w:kern w:val="0"/>
          <w:sz w:val="21"/>
          <w:szCs w:val="21"/>
          <w:lang w:val="en-US" w:eastAsia="zh-CN"/>
        </w:rPr>
        <w:t>7</w:t>
      </w:r>
      <w:r>
        <w:rPr>
          <w:rFonts w:hint="eastAsia" w:ascii="宋体" w:hAnsi="宋体" w:cs="宋体"/>
          <w:kern w:val="0"/>
          <w:sz w:val="21"/>
          <w:szCs w:val="21"/>
        </w:rPr>
        <w:t>：</w:t>
      </w:r>
    </w:p>
    <w:p w14:paraId="2CBD7EE4">
      <w:pPr>
        <w:spacing w:line="360" w:lineRule="auto"/>
        <w:jc w:val="center"/>
        <w:rPr>
          <w:rFonts w:hint="eastAsia" w:ascii="宋体" w:hAnsi="宋体" w:cs="宋体"/>
          <w:b/>
          <w:bCs/>
          <w:spacing w:val="-6"/>
          <w:sz w:val="24"/>
          <w:lang w:bidi="ar"/>
        </w:rPr>
      </w:pPr>
      <w:r>
        <w:rPr>
          <w:rFonts w:hint="eastAsia" w:ascii="宋体" w:hAnsi="宋体" w:cs="宋体"/>
          <w:b/>
          <w:bCs/>
          <w:spacing w:val="-6"/>
          <w:sz w:val="24"/>
          <w:lang w:bidi="ar"/>
        </w:rPr>
        <w:t>招标公告特定资格要求应提交的资料</w:t>
      </w:r>
    </w:p>
    <w:p w14:paraId="76E481D3">
      <w:pPr>
        <w:spacing w:line="360" w:lineRule="auto"/>
        <w:jc w:val="center"/>
        <w:rPr>
          <w:rFonts w:hint="eastAsia" w:ascii="宋体" w:hAnsi="宋体" w:cs="宋体"/>
          <w:b/>
          <w:bCs/>
          <w:spacing w:val="-6"/>
          <w:sz w:val="24"/>
          <w:lang w:bidi="ar"/>
        </w:rPr>
      </w:pPr>
    </w:p>
    <w:p w14:paraId="1B0C70C4">
      <w:pPr>
        <w:spacing w:line="360" w:lineRule="auto"/>
        <w:jc w:val="center"/>
        <w:rPr>
          <w:rFonts w:hint="default" w:ascii="宋体" w:hAnsi="宋体" w:eastAsia="宋体" w:cs="宋体"/>
          <w:b/>
          <w:bCs/>
          <w:spacing w:val="-6"/>
          <w:sz w:val="24"/>
          <w:lang w:val="en-US" w:eastAsia="zh-CN" w:bidi="ar"/>
        </w:rPr>
      </w:pPr>
      <w:r>
        <w:rPr>
          <w:rFonts w:hint="eastAsia" w:ascii="宋体" w:hAnsi="宋体" w:cs="宋体"/>
          <w:b/>
          <w:bCs/>
          <w:spacing w:val="-6"/>
          <w:sz w:val="24"/>
          <w:lang w:val="en-US" w:eastAsia="zh-CN" w:bidi="ar"/>
        </w:rPr>
        <w:t>企业资质</w:t>
      </w:r>
    </w:p>
    <w:p w14:paraId="50578347">
      <w:pPr>
        <w:pStyle w:val="12"/>
        <w:rPr>
          <w:rFonts w:hint="eastAsia" w:ascii="宋体" w:hAnsi="宋体" w:cs="宋体"/>
          <w:b/>
          <w:bCs/>
          <w:spacing w:val="-6"/>
          <w:sz w:val="24"/>
          <w:lang w:bidi="ar"/>
        </w:rPr>
      </w:pPr>
    </w:p>
    <w:p w14:paraId="0EFE0ECA">
      <w:pPr>
        <w:pStyle w:val="13"/>
        <w:rPr>
          <w:rFonts w:hint="eastAsia" w:ascii="宋体" w:hAnsi="宋体" w:cs="宋体"/>
          <w:b/>
          <w:bCs/>
          <w:spacing w:val="-6"/>
          <w:sz w:val="24"/>
          <w:lang w:bidi="ar"/>
        </w:rPr>
      </w:pPr>
    </w:p>
    <w:p w14:paraId="3F34ADA7">
      <w:pPr>
        <w:spacing w:line="288" w:lineRule="auto"/>
        <w:jc w:val="center"/>
        <w:outlineLvl w:val="9"/>
        <w:rPr>
          <w:rFonts w:hint="default" w:ascii="宋体" w:hAnsi="宋体" w:eastAsia="宋体" w:cs="宋体"/>
          <w:b/>
          <w:bCs/>
          <w:spacing w:val="-6"/>
          <w:sz w:val="24"/>
          <w:lang w:val="en-US" w:eastAsia="zh-CN" w:bidi="ar"/>
        </w:rPr>
      </w:pPr>
      <w:r>
        <w:rPr>
          <w:rFonts w:hint="eastAsia" w:ascii="宋体" w:hAnsi="宋体" w:cs="宋体"/>
          <w:b/>
          <w:bCs/>
          <w:spacing w:val="-6"/>
          <w:sz w:val="24"/>
          <w:lang w:val="en-US" w:eastAsia="zh-CN" w:bidi="ar"/>
        </w:rPr>
        <w:t>项目经理资质</w:t>
      </w:r>
    </w:p>
    <w:p w14:paraId="4D7BFAC3">
      <w:pPr>
        <w:spacing w:line="288" w:lineRule="auto"/>
        <w:ind w:firstLine="458" w:firstLineChars="200"/>
        <w:jc w:val="left"/>
        <w:outlineLvl w:val="9"/>
        <w:rPr>
          <w:rFonts w:ascii="宋体" w:hAnsi="宋体" w:cs="宋体"/>
          <w:b/>
          <w:bCs/>
          <w:spacing w:val="-6"/>
          <w:sz w:val="24"/>
          <w:lang w:bidi="ar"/>
        </w:rPr>
      </w:pPr>
    </w:p>
    <w:p w14:paraId="386CF3FC">
      <w:pPr>
        <w:pStyle w:val="13"/>
        <w:rPr>
          <w:rFonts w:hint="eastAsia" w:ascii="宋体" w:hAnsi="宋体" w:cs="宋体"/>
          <w:b/>
          <w:bCs/>
          <w:spacing w:val="-6"/>
          <w:sz w:val="24"/>
          <w:lang w:bidi="ar"/>
        </w:rPr>
      </w:pPr>
    </w:p>
    <w:p w14:paraId="27BF608C">
      <w:pPr>
        <w:pStyle w:val="13"/>
        <w:rPr>
          <w:rFonts w:hint="eastAsia" w:ascii="宋体" w:hAnsi="宋体" w:cs="宋体"/>
          <w:b/>
          <w:bCs/>
          <w:spacing w:val="-6"/>
          <w:sz w:val="24"/>
          <w:lang w:bidi="ar"/>
        </w:rPr>
      </w:pPr>
    </w:p>
    <w:p w14:paraId="3A11EA69">
      <w:pPr>
        <w:pStyle w:val="12"/>
        <w:spacing w:line="360" w:lineRule="auto"/>
        <w:contextualSpacing/>
        <w:jc w:val="center"/>
        <w:rPr>
          <w:rFonts w:hint="eastAsia" w:ascii="宋体" w:hAnsi="宋体" w:cs="宋体"/>
          <w:b/>
          <w:bCs/>
          <w:spacing w:val="-6"/>
          <w:sz w:val="24"/>
          <w:lang w:bidi="ar"/>
        </w:rPr>
      </w:pPr>
      <w:r>
        <w:rPr>
          <w:rFonts w:hint="eastAsia" w:ascii="宋体" w:hAnsi="宋体" w:cs="宋体"/>
          <w:b/>
          <w:bCs/>
          <w:spacing w:val="-6"/>
          <w:sz w:val="24"/>
          <w:lang w:bidi="ar"/>
        </w:rPr>
        <w:br w:type="page"/>
      </w:r>
      <w:r>
        <w:rPr>
          <w:rFonts w:hint="eastAsia" w:ascii="宋体" w:hAnsi="宋体" w:cs="宋体"/>
          <w:b/>
          <w:bCs/>
          <w:spacing w:val="-6"/>
          <w:sz w:val="24"/>
          <w:lang w:bidi="ar"/>
        </w:rPr>
        <w:t>承诺函</w:t>
      </w:r>
    </w:p>
    <w:p w14:paraId="3E185FA5">
      <w:pPr>
        <w:pStyle w:val="12"/>
        <w:spacing w:line="360" w:lineRule="auto"/>
        <w:contextualSpacing/>
        <w:jc w:val="left"/>
        <w:rPr>
          <w:rFonts w:hint="eastAsia" w:ascii="宋体" w:hAnsi="宋体" w:cs="宋体"/>
        </w:rPr>
      </w:pPr>
      <w:r>
        <w:rPr>
          <w:rFonts w:hint="eastAsia" w:ascii="宋体" w:hAnsi="宋体" w:cs="宋体"/>
          <w:spacing w:val="-6"/>
          <w:sz w:val="24"/>
        </w:rPr>
        <w:t>浙商银行股份有限公司</w:t>
      </w:r>
      <w:r>
        <w:rPr>
          <w:rFonts w:hint="eastAsia" w:ascii="宋体" w:hAnsi="宋体" w:cs="宋体"/>
        </w:rPr>
        <w:t>：</w:t>
      </w:r>
    </w:p>
    <w:p w14:paraId="6E274B60">
      <w:pPr>
        <w:autoSpaceDE w:val="0"/>
        <w:autoSpaceDN w:val="0"/>
        <w:spacing w:line="360" w:lineRule="auto"/>
        <w:ind w:firstLine="480" w:firstLineChars="200"/>
        <w:contextualSpacing/>
        <w:jc w:val="left"/>
        <w:rPr>
          <w:rFonts w:hint="eastAsia" w:ascii="宋体" w:hAnsi="宋体" w:cs="宋体"/>
          <w:kern w:val="0"/>
          <w:sz w:val="24"/>
        </w:rPr>
      </w:pPr>
      <w:r>
        <w:rPr>
          <w:rFonts w:hint="eastAsia" w:ascii="宋体" w:hAnsi="宋体" w:cs="宋体"/>
          <w:sz w:val="24"/>
        </w:rPr>
        <w:t>我单位郑重声明：</w:t>
      </w:r>
      <w:r>
        <w:rPr>
          <w:rFonts w:hint="eastAsia" w:ascii="宋体" w:hAnsi="宋体" w:cs="宋体"/>
          <w:kern w:val="0"/>
          <w:sz w:val="24"/>
        </w:rPr>
        <w:t>造价、安全、施工、材料、质检（量）等人员，应满足项目实际需求。</w:t>
      </w:r>
    </w:p>
    <w:p w14:paraId="2A11CA78">
      <w:pPr>
        <w:spacing w:line="500" w:lineRule="exact"/>
        <w:ind w:firstLine="482" w:firstLineChars="200"/>
        <w:contextualSpacing/>
        <w:rPr>
          <w:rFonts w:hint="eastAsia" w:ascii="宋体" w:hAnsi="宋体" w:cs="宋体"/>
          <w:b/>
          <w:sz w:val="24"/>
        </w:rPr>
      </w:pPr>
    </w:p>
    <w:p w14:paraId="5E21FAA9">
      <w:pPr>
        <w:spacing w:line="500" w:lineRule="exact"/>
        <w:ind w:firstLine="482" w:firstLineChars="200"/>
        <w:contextualSpacing/>
        <w:rPr>
          <w:rFonts w:hint="eastAsia" w:ascii="宋体" w:hAnsi="宋体" w:cs="宋体"/>
          <w:b/>
          <w:sz w:val="24"/>
        </w:rPr>
      </w:pPr>
    </w:p>
    <w:p w14:paraId="06ED3049">
      <w:pPr>
        <w:spacing w:line="500" w:lineRule="exact"/>
        <w:ind w:firstLine="480" w:firstLineChars="200"/>
        <w:contextualSpacing/>
        <w:rPr>
          <w:rFonts w:hint="eastAsia" w:ascii="宋体" w:hAnsi="宋体" w:cs="宋体"/>
          <w:sz w:val="24"/>
        </w:rPr>
      </w:pPr>
      <w:r>
        <w:rPr>
          <w:rFonts w:hint="eastAsia" w:ascii="宋体" w:hAnsi="宋体" w:cs="宋体"/>
          <w:sz w:val="24"/>
        </w:rPr>
        <w:t>投标人（盖章）：</w:t>
      </w:r>
    </w:p>
    <w:p w14:paraId="1B2C91FE">
      <w:pPr>
        <w:spacing w:line="500" w:lineRule="exact"/>
        <w:ind w:firstLine="480" w:firstLineChars="200"/>
        <w:contextualSpacing/>
        <w:rPr>
          <w:rFonts w:hint="eastAsia" w:ascii="宋体" w:hAnsi="宋体" w:cs="宋体"/>
          <w:sz w:val="24"/>
        </w:rPr>
      </w:pPr>
      <w:r>
        <w:rPr>
          <w:rFonts w:hint="eastAsia" w:ascii="宋体" w:hAnsi="宋体" w:cs="宋体"/>
          <w:sz w:val="24"/>
        </w:rPr>
        <w:t>法定代表人（负责人）或委托代理人（签字或盖章）：</w:t>
      </w:r>
    </w:p>
    <w:p w14:paraId="47E08328">
      <w:pPr>
        <w:spacing w:line="500" w:lineRule="exact"/>
        <w:ind w:firstLine="480" w:firstLineChars="200"/>
        <w:contextualSpacing/>
        <w:rPr>
          <w:rFonts w:hint="eastAsia"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B3B6602">
      <w:pPr>
        <w:pStyle w:val="14"/>
        <w:spacing w:after="120"/>
        <w:ind w:firstLine="464" w:firstLineChars="200"/>
        <w:contextualSpacing/>
        <w:jc w:val="right"/>
        <w:rPr>
          <w:rFonts w:hint="eastAsia" w:hAnsi="宋体" w:cs="宋体"/>
          <w:sz w:val="24"/>
          <w:szCs w:val="24"/>
        </w:rPr>
      </w:pPr>
    </w:p>
    <w:p w14:paraId="53645401">
      <w:pPr>
        <w:pStyle w:val="12"/>
        <w:spacing w:line="500" w:lineRule="exact"/>
        <w:ind w:firstLine="480" w:firstLineChars="200"/>
        <w:contextualSpacing/>
        <w:jc w:val="left"/>
        <w:rPr>
          <w:rFonts w:hint="eastAsia" w:ascii="宋体" w:hAnsi="宋体" w:cs="宋体"/>
        </w:rPr>
      </w:pPr>
    </w:p>
    <w:p w14:paraId="19B92AA9">
      <w:pPr>
        <w:pStyle w:val="12"/>
        <w:spacing w:line="500" w:lineRule="exact"/>
        <w:ind w:firstLine="482" w:firstLineChars="200"/>
        <w:contextualSpacing/>
        <w:jc w:val="left"/>
        <w:rPr>
          <w:rFonts w:hint="eastAsia" w:ascii="宋体" w:hAnsi="宋体" w:cs="宋体"/>
          <w:b/>
        </w:rPr>
      </w:pPr>
      <w:r>
        <w:rPr>
          <w:rFonts w:hint="eastAsia" w:ascii="宋体" w:hAnsi="宋体" w:cs="宋体"/>
          <w:b/>
        </w:rPr>
        <w:t>注：</w:t>
      </w:r>
    </w:p>
    <w:p w14:paraId="7EB4385A">
      <w:pPr>
        <w:pStyle w:val="12"/>
        <w:spacing w:line="500" w:lineRule="exact"/>
        <w:ind w:firstLine="482" w:firstLineChars="200"/>
        <w:contextualSpacing/>
        <w:jc w:val="left"/>
        <w:rPr>
          <w:rFonts w:hint="eastAsia" w:ascii="宋体" w:hAnsi="宋体" w:cs="宋体"/>
          <w:b/>
        </w:rPr>
      </w:pPr>
      <w:r>
        <w:rPr>
          <w:rFonts w:hint="eastAsia" w:ascii="宋体" w:hAnsi="宋体" w:cs="宋体"/>
          <w:b/>
        </w:rPr>
        <w:t>1.如不提供本</w:t>
      </w:r>
      <w:r>
        <w:rPr>
          <w:rFonts w:hint="eastAsia" w:ascii="宋体" w:hAnsi="宋体" w:cs="宋体"/>
          <w:b/>
          <w:bCs/>
        </w:rPr>
        <w:t>承诺函</w:t>
      </w:r>
      <w:r>
        <w:rPr>
          <w:rFonts w:hint="eastAsia" w:ascii="宋体" w:hAnsi="宋体" w:cs="宋体"/>
          <w:b/>
        </w:rPr>
        <w:t>，将作无效投标处理。</w:t>
      </w:r>
    </w:p>
    <w:p w14:paraId="24B03714">
      <w:pPr>
        <w:pStyle w:val="12"/>
        <w:spacing w:line="500" w:lineRule="exact"/>
        <w:ind w:firstLine="482" w:firstLineChars="200"/>
        <w:contextualSpacing/>
        <w:jc w:val="left"/>
        <w:rPr>
          <w:rFonts w:ascii="宋体" w:hAnsi="宋体" w:cs="宋体"/>
          <w:b/>
        </w:rPr>
      </w:pPr>
      <w:r>
        <w:rPr>
          <w:rFonts w:hint="eastAsia" w:ascii="宋体" w:hAnsi="宋体" w:cs="宋体"/>
          <w:b/>
        </w:rPr>
        <w:t>2.投标人应对其所承诺内容的真实性负责。如投标人所承诺内容不真实，则应承担相应的法律责任。</w:t>
      </w:r>
    </w:p>
    <w:p w14:paraId="126223CA">
      <w:pPr>
        <w:pStyle w:val="13"/>
        <w:rPr>
          <w:rFonts w:hint="eastAsia" w:ascii="宋体" w:hAnsi="宋体" w:cs="宋体"/>
          <w:b/>
          <w:bCs/>
          <w:spacing w:val="-6"/>
          <w:sz w:val="24"/>
          <w:lang w:bidi="ar"/>
        </w:rPr>
      </w:pPr>
    </w:p>
    <w:p w14:paraId="048CB6E4">
      <w:pPr>
        <w:pStyle w:val="13"/>
        <w:rPr>
          <w:rFonts w:hint="eastAsia" w:ascii="宋体" w:hAnsi="宋体" w:cs="宋体"/>
          <w:b/>
          <w:bCs/>
          <w:spacing w:val="-6"/>
          <w:sz w:val="24"/>
          <w:lang w:bidi="ar"/>
        </w:rPr>
      </w:pPr>
    </w:p>
    <w:p w14:paraId="76F0133F">
      <w:pPr>
        <w:spacing w:line="360" w:lineRule="auto"/>
        <w:jc w:val="center"/>
        <w:rPr>
          <w:rFonts w:hint="eastAsia" w:ascii="宋体" w:hAnsi="宋体" w:cs="宋体"/>
          <w:b/>
          <w:bCs/>
          <w:spacing w:val="-6"/>
          <w:sz w:val="24"/>
          <w:lang w:bidi="ar"/>
        </w:rPr>
      </w:pPr>
      <w:r>
        <w:rPr>
          <w:rFonts w:hint="eastAsia" w:ascii="宋体" w:hAnsi="宋体" w:cs="宋体"/>
          <w:b/>
          <w:bCs/>
          <w:spacing w:val="-6"/>
          <w:sz w:val="24"/>
          <w:lang w:bidi="ar"/>
        </w:rPr>
        <w:br w:type="page"/>
      </w:r>
      <w:r>
        <w:rPr>
          <w:rFonts w:hint="eastAsia" w:ascii="宋体" w:hAnsi="宋体" w:cs="宋体"/>
          <w:b/>
          <w:bCs/>
          <w:spacing w:val="-6"/>
          <w:sz w:val="24"/>
          <w:lang w:bidi="ar"/>
        </w:rPr>
        <w:t>承诺函</w:t>
      </w:r>
    </w:p>
    <w:p w14:paraId="0F540866">
      <w:pPr>
        <w:spacing w:line="360" w:lineRule="auto"/>
        <w:rPr>
          <w:rFonts w:hint="eastAsia" w:ascii="宋体" w:hAnsi="宋体" w:cs="宋体"/>
          <w:spacing w:val="-6"/>
          <w:sz w:val="24"/>
        </w:rPr>
      </w:pPr>
      <w:r>
        <w:rPr>
          <w:rFonts w:hint="eastAsia" w:ascii="宋体" w:hAnsi="宋体" w:cs="宋体"/>
          <w:spacing w:val="-6"/>
          <w:sz w:val="24"/>
        </w:rPr>
        <w:t>致：浙商银行股份有限公司：</w:t>
      </w:r>
    </w:p>
    <w:p w14:paraId="2167375F">
      <w:pPr>
        <w:spacing w:line="360" w:lineRule="auto"/>
        <w:ind w:firstLine="456" w:firstLineChars="200"/>
        <w:rPr>
          <w:rFonts w:hint="eastAsia" w:ascii="宋体" w:hAnsi="宋体" w:cs="宋体"/>
          <w:spacing w:val="-6"/>
          <w:sz w:val="24"/>
        </w:rPr>
      </w:pPr>
      <w:r>
        <w:rPr>
          <w:rFonts w:hint="eastAsia" w:ascii="宋体" w:hAnsi="宋体" w:cs="宋体"/>
          <w:spacing w:val="-6"/>
          <w:sz w:val="24"/>
        </w:rPr>
        <w:t>我公司郑重承诺：</w:t>
      </w:r>
      <w:r>
        <w:rPr>
          <w:rFonts w:hint="eastAsia" w:ascii="宋体" w:hAnsi="宋体" w:cs="宋体"/>
          <w:spacing w:val="-6"/>
          <w:sz w:val="24"/>
          <w:lang w:val="en-US" w:eastAsia="zh-CN"/>
        </w:rPr>
        <w:t>本项目</w:t>
      </w:r>
      <w:r>
        <w:rPr>
          <w:rFonts w:hint="eastAsia" w:ascii="宋体" w:hAnsi="宋体" w:cs="宋体"/>
          <w:spacing w:val="-6"/>
          <w:sz w:val="24"/>
        </w:rPr>
        <w:t>不</w:t>
      </w:r>
      <w:r>
        <w:rPr>
          <w:rFonts w:hint="eastAsia" w:ascii="宋体" w:hAnsi="宋体" w:cs="宋体"/>
          <w:spacing w:val="-6"/>
          <w:sz w:val="24"/>
          <w:lang w:val="en-US" w:eastAsia="zh-CN"/>
        </w:rPr>
        <w:t>以</w:t>
      </w:r>
      <w:r>
        <w:rPr>
          <w:rFonts w:hint="eastAsia" w:ascii="宋体" w:hAnsi="宋体" w:cs="宋体"/>
          <w:spacing w:val="-6"/>
          <w:sz w:val="24"/>
        </w:rPr>
        <w:t>联合体投标，</w:t>
      </w:r>
      <w:r>
        <w:rPr>
          <w:rFonts w:hint="eastAsia" w:ascii="宋体" w:hAnsi="宋体" w:cs="宋体"/>
          <w:spacing w:val="-6"/>
          <w:sz w:val="24"/>
          <w:lang w:val="en-US" w:eastAsia="zh-CN"/>
        </w:rPr>
        <w:t>中标后</w:t>
      </w:r>
      <w:r>
        <w:rPr>
          <w:rFonts w:hint="eastAsia" w:ascii="宋体" w:hAnsi="宋体" w:cs="宋体"/>
          <w:spacing w:val="-6"/>
          <w:sz w:val="24"/>
        </w:rPr>
        <w:t>不</w:t>
      </w:r>
      <w:r>
        <w:rPr>
          <w:rFonts w:hint="eastAsia" w:ascii="宋体" w:hAnsi="宋体" w:cs="宋体"/>
          <w:spacing w:val="-6"/>
          <w:sz w:val="24"/>
          <w:lang w:val="en-US" w:eastAsia="zh-CN"/>
        </w:rPr>
        <w:t>进行</w:t>
      </w:r>
      <w:r>
        <w:rPr>
          <w:rFonts w:hint="eastAsia" w:ascii="宋体" w:hAnsi="宋体" w:cs="宋体"/>
          <w:spacing w:val="-6"/>
          <w:sz w:val="24"/>
        </w:rPr>
        <w:t>分包、转包。如有隐瞒，愿承担一切责任。</w:t>
      </w:r>
    </w:p>
    <w:p w14:paraId="5C85C4B7">
      <w:pPr>
        <w:spacing w:line="360" w:lineRule="auto"/>
        <w:ind w:firstLine="456" w:firstLineChars="200"/>
        <w:rPr>
          <w:rFonts w:hint="eastAsia" w:ascii="宋体" w:hAnsi="宋体" w:cs="宋体"/>
          <w:spacing w:val="-6"/>
          <w:sz w:val="24"/>
        </w:rPr>
      </w:pPr>
    </w:p>
    <w:p w14:paraId="61545D76">
      <w:pPr>
        <w:spacing w:line="360" w:lineRule="auto"/>
        <w:ind w:firstLine="456" w:firstLineChars="200"/>
        <w:rPr>
          <w:rFonts w:hint="eastAsia" w:ascii="宋体" w:hAnsi="宋体" w:cs="宋体"/>
          <w:spacing w:val="-6"/>
          <w:sz w:val="24"/>
        </w:rPr>
      </w:pPr>
      <w:r>
        <w:rPr>
          <w:rFonts w:hint="eastAsia" w:ascii="宋体" w:hAnsi="宋体" w:cs="宋体"/>
          <w:spacing w:val="-6"/>
          <w:sz w:val="24"/>
        </w:rPr>
        <w:t>特此承诺！</w:t>
      </w:r>
    </w:p>
    <w:p w14:paraId="4BE146B5">
      <w:pPr>
        <w:widowControl/>
        <w:snapToGrid w:val="0"/>
        <w:spacing w:line="360" w:lineRule="auto"/>
        <w:ind w:firstLine="560" w:firstLineChars="200"/>
        <w:jc w:val="left"/>
        <w:rPr>
          <w:rFonts w:hint="eastAsia" w:ascii="宋体" w:hAnsi="宋体" w:cs="宋体"/>
          <w:kern w:val="0"/>
          <w:szCs w:val="28"/>
        </w:rPr>
      </w:pPr>
    </w:p>
    <w:p w14:paraId="4F966E3D">
      <w:pPr>
        <w:spacing w:line="360" w:lineRule="auto"/>
        <w:ind w:firstLine="456" w:firstLineChars="200"/>
        <w:rPr>
          <w:rFonts w:hint="eastAsia" w:ascii="宋体" w:hAnsi="宋体" w:cs="宋体"/>
          <w:spacing w:val="-6"/>
          <w:sz w:val="24"/>
        </w:rPr>
      </w:pPr>
      <w:r>
        <w:rPr>
          <w:rFonts w:hint="eastAsia" w:ascii="宋体" w:hAnsi="宋体" w:cs="宋体"/>
          <w:spacing w:val="-6"/>
          <w:sz w:val="24"/>
        </w:rPr>
        <w:t>投标人名称（盖章）：</w:t>
      </w:r>
    </w:p>
    <w:p w14:paraId="36DB527A">
      <w:pPr>
        <w:spacing w:line="288" w:lineRule="auto"/>
        <w:ind w:firstLine="456" w:firstLineChars="200"/>
        <w:jc w:val="left"/>
        <w:outlineLvl w:val="9"/>
        <w:rPr>
          <w:rFonts w:hint="eastAsia" w:ascii="宋体" w:hAnsi="宋体" w:cs="宋体"/>
          <w:bCs/>
          <w:spacing w:val="-6"/>
          <w:sz w:val="24"/>
        </w:rPr>
      </w:pPr>
      <w:r>
        <w:rPr>
          <w:rFonts w:hint="eastAsia" w:ascii="宋体" w:hAnsi="宋体" w:cs="宋体"/>
          <w:bCs/>
          <w:spacing w:val="-6"/>
          <w:sz w:val="24"/>
        </w:rPr>
        <w:t>日期：     年   月   日</w:t>
      </w:r>
    </w:p>
    <w:p w14:paraId="42590EC8">
      <w:pPr>
        <w:spacing w:line="360" w:lineRule="auto"/>
        <w:jc w:val="center"/>
        <w:outlineLvl w:val="1"/>
        <w:rPr>
          <w:rFonts w:hint="eastAsia" w:ascii="宋体" w:hAnsi="宋体"/>
          <w:spacing w:val="-6"/>
          <w:sz w:val="24"/>
        </w:rPr>
      </w:pPr>
      <w:r>
        <w:rPr>
          <w:rFonts w:hint="eastAsia" w:ascii="宋体" w:hAnsi="宋体"/>
          <w:b/>
          <w:spacing w:val="-6"/>
          <w:sz w:val="32"/>
          <w:szCs w:val="32"/>
        </w:rPr>
        <w:br w:type="page"/>
      </w:r>
      <w:r>
        <w:rPr>
          <w:rFonts w:hint="eastAsia" w:ascii="宋体" w:hAnsi="宋体"/>
          <w:bCs/>
          <w:spacing w:val="-6"/>
          <w:sz w:val="24"/>
        </w:rPr>
        <w:t>商务技术文件</w:t>
      </w:r>
      <w:r>
        <w:rPr>
          <w:rFonts w:hint="eastAsia" w:ascii="宋体" w:hAnsi="宋体"/>
          <w:spacing w:val="-6"/>
          <w:sz w:val="24"/>
        </w:rPr>
        <w:t>封面</w:t>
      </w:r>
    </w:p>
    <w:p w14:paraId="7E416895">
      <w:pPr>
        <w:spacing w:line="360" w:lineRule="auto"/>
        <w:rPr>
          <w:rFonts w:hint="eastAsia" w:ascii="宋体" w:hAnsi="宋体"/>
          <w:spacing w:val="-6"/>
          <w:sz w:val="24"/>
        </w:rPr>
      </w:pPr>
    </w:p>
    <w:p w14:paraId="26EED3BB">
      <w:pPr>
        <w:pStyle w:val="23"/>
        <w:rPr>
          <w:rFonts w:hint="eastAsia"/>
        </w:rPr>
      </w:pPr>
    </w:p>
    <w:p w14:paraId="484B168F">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28515EBB">
      <w:pPr>
        <w:spacing w:line="360" w:lineRule="auto"/>
        <w:jc w:val="center"/>
        <w:rPr>
          <w:rFonts w:hint="eastAsia" w:ascii="宋体" w:hAnsi="宋体"/>
          <w:b/>
          <w:bCs/>
          <w:spacing w:val="-6"/>
          <w:sz w:val="24"/>
        </w:rPr>
      </w:pPr>
      <w:r>
        <w:rPr>
          <w:rFonts w:hint="eastAsia" w:ascii="宋体" w:hAnsi="宋体"/>
          <w:b/>
          <w:bCs/>
          <w:spacing w:val="-6"/>
          <w:sz w:val="24"/>
        </w:rPr>
        <w:t>商务技术文件</w:t>
      </w:r>
    </w:p>
    <w:p w14:paraId="45ACF711">
      <w:pPr>
        <w:spacing w:line="360" w:lineRule="auto"/>
        <w:rPr>
          <w:rFonts w:hint="eastAsia" w:ascii="宋体" w:hAnsi="宋体"/>
          <w:bCs/>
          <w:spacing w:val="-6"/>
          <w:sz w:val="24"/>
        </w:rPr>
      </w:pPr>
    </w:p>
    <w:p w14:paraId="06B02DB5">
      <w:pPr>
        <w:spacing w:line="360" w:lineRule="auto"/>
        <w:rPr>
          <w:rFonts w:hint="eastAsia" w:ascii="宋体" w:hAnsi="宋体"/>
          <w:bCs/>
          <w:spacing w:val="-6"/>
          <w:sz w:val="24"/>
        </w:rPr>
      </w:pPr>
      <w:r>
        <w:rPr>
          <w:rFonts w:hint="eastAsia" w:ascii="宋体" w:hAnsi="宋体"/>
          <w:bCs/>
          <w:spacing w:val="-6"/>
          <w:sz w:val="24"/>
        </w:rPr>
        <w:t>招 标 人：XXXX</w:t>
      </w:r>
    </w:p>
    <w:p w14:paraId="61B3A578">
      <w:pPr>
        <w:spacing w:line="360" w:lineRule="auto"/>
        <w:rPr>
          <w:rFonts w:hint="eastAsia" w:ascii="宋体" w:hAnsi="宋体"/>
          <w:bCs/>
          <w:spacing w:val="-6"/>
          <w:sz w:val="24"/>
        </w:rPr>
      </w:pPr>
      <w:r>
        <w:rPr>
          <w:rFonts w:hint="eastAsia" w:ascii="宋体" w:hAnsi="宋体"/>
          <w:bCs/>
          <w:spacing w:val="-6"/>
          <w:sz w:val="24"/>
        </w:rPr>
        <w:t>项目名称：XXXX</w:t>
      </w:r>
    </w:p>
    <w:p w14:paraId="1DB3E9CB">
      <w:pPr>
        <w:spacing w:line="360" w:lineRule="auto"/>
        <w:rPr>
          <w:rFonts w:hint="eastAsia" w:ascii="宋体" w:hAnsi="宋体"/>
          <w:bCs/>
          <w:spacing w:val="-6"/>
          <w:sz w:val="24"/>
        </w:rPr>
      </w:pPr>
      <w:r>
        <w:rPr>
          <w:rFonts w:hint="eastAsia" w:ascii="宋体" w:hAnsi="宋体"/>
          <w:bCs/>
          <w:spacing w:val="-6"/>
          <w:sz w:val="24"/>
        </w:rPr>
        <w:t>项目编号：XXXX</w:t>
      </w:r>
    </w:p>
    <w:p w14:paraId="27AE1F3B">
      <w:pPr>
        <w:spacing w:line="360" w:lineRule="auto"/>
        <w:rPr>
          <w:rFonts w:hint="eastAsia" w:ascii="宋体" w:hAnsi="宋体"/>
          <w:bCs/>
          <w:spacing w:val="-6"/>
          <w:sz w:val="24"/>
        </w:rPr>
      </w:pPr>
      <w:r>
        <w:rPr>
          <w:rFonts w:hint="eastAsia" w:ascii="宋体" w:hAnsi="宋体"/>
          <w:bCs/>
          <w:spacing w:val="-6"/>
          <w:sz w:val="24"/>
        </w:rPr>
        <w:t>投标人名称（盖章）：</w:t>
      </w:r>
    </w:p>
    <w:p w14:paraId="4526300F">
      <w:pPr>
        <w:spacing w:line="360" w:lineRule="auto"/>
        <w:rPr>
          <w:rFonts w:hint="eastAsia" w:ascii="宋体" w:hAnsi="宋体"/>
          <w:bCs/>
          <w:spacing w:val="-6"/>
          <w:sz w:val="24"/>
        </w:rPr>
      </w:pPr>
      <w:r>
        <w:rPr>
          <w:rFonts w:hint="eastAsia" w:ascii="宋体" w:hAnsi="宋体"/>
          <w:bCs/>
          <w:spacing w:val="-6"/>
          <w:sz w:val="24"/>
        </w:rPr>
        <w:t>投标人地址：</w:t>
      </w:r>
    </w:p>
    <w:p w14:paraId="3B96ED04">
      <w:pPr>
        <w:spacing w:line="360" w:lineRule="auto"/>
        <w:rPr>
          <w:rFonts w:hint="eastAsia" w:ascii="宋体" w:hAnsi="宋体"/>
          <w:bCs/>
          <w:spacing w:val="-6"/>
          <w:sz w:val="24"/>
        </w:rPr>
      </w:pPr>
    </w:p>
    <w:p w14:paraId="096316F5">
      <w:pPr>
        <w:spacing w:line="360" w:lineRule="auto"/>
        <w:rPr>
          <w:rFonts w:hint="eastAsia" w:ascii="宋体" w:hAnsi="宋体"/>
          <w:bCs/>
          <w:spacing w:val="-6"/>
          <w:sz w:val="24"/>
        </w:rPr>
      </w:pPr>
      <w:r>
        <w:rPr>
          <w:rFonts w:hint="eastAsia" w:ascii="宋体" w:hAnsi="宋体"/>
          <w:bCs/>
          <w:spacing w:val="-6"/>
          <w:sz w:val="24"/>
        </w:rPr>
        <w:t>日期：     年   月   日</w:t>
      </w:r>
    </w:p>
    <w:p w14:paraId="2CCFCDFD">
      <w:pPr>
        <w:tabs>
          <w:tab w:val="center" w:pos="4706"/>
          <w:tab w:val="left" w:pos="6222"/>
        </w:tabs>
        <w:spacing w:line="360" w:lineRule="auto"/>
        <w:jc w:val="center"/>
        <w:outlineLvl w:val="1"/>
        <w:rPr>
          <w:rFonts w:hint="eastAsia" w:ascii="宋体" w:hAnsi="宋体"/>
          <w:b/>
          <w:bCs/>
          <w:spacing w:val="-6"/>
          <w:sz w:val="24"/>
        </w:rPr>
      </w:pPr>
      <w:r>
        <w:rPr>
          <w:rFonts w:hint="eastAsia" w:ascii="宋体" w:hAnsi="宋体"/>
          <w:b/>
          <w:spacing w:val="-6"/>
          <w:sz w:val="52"/>
          <w:szCs w:val="52"/>
        </w:rPr>
        <w:br w:type="page"/>
      </w:r>
      <w:r>
        <w:rPr>
          <w:rFonts w:hint="eastAsia" w:ascii="宋体" w:hAnsi="宋体"/>
          <w:b/>
          <w:bCs/>
          <w:spacing w:val="-6"/>
          <w:sz w:val="24"/>
        </w:rPr>
        <w:t>评分索引表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971"/>
        <w:gridCol w:w="669"/>
        <w:gridCol w:w="3611"/>
        <w:gridCol w:w="912"/>
        <w:gridCol w:w="1162"/>
        <w:gridCol w:w="661"/>
      </w:tblGrid>
      <w:tr w14:paraId="4BA2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6FCD31CF">
            <w:pPr>
              <w:jc w:val="center"/>
              <w:rPr>
                <w:rFonts w:hint="eastAsia"/>
                <w:b/>
                <w:bCs/>
                <w:sz w:val="21"/>
                <w:szCs w:val="21"/>
              </w:rPr>
            </w:pPr>
            <w:r>
              <w:rPr>
                <w:rFonts w:hint="eastAsia"/>
                <w:b/>
                <w:bCs/>
                <w:sz w:val="21"/>
                <w:szCs w:val="21"/>
              </w:rPr>
              <w:t>序号</w:t>
            </w:r>
          </w:p>
        </w:tc>
        <w:tc>
          <w:tcPr>
            <w:tcW w:w="1971" w:type="dxa"/>
            <w:noWrap w:val="0"/>
            <w:vAlign w:val="center"/>
          </w:tcPr>
          <w:p w14:paraId="608F82DE">
            <w:pPr>
              <w:jc w:val="center"/>
              <w:rPr>
                <w:rFonts w:hint="eastAsia"/>
                <w:b/>
                <w:bCs/>
                <w:sz w:val="21"/>
                <w:szCs w:val="21"/>
              </w:rPr>
            </w:pPr>
            <w:r>
              <w:rPr>
                <w:rFonts w:hint="eastAsia"/>
                <w:b/>
                <w:bCs/>
                <w:sz w:val="21"/>
                <w:szCs w:val="21"/>
              </w:rPr>
              <w:t>评审因素</w:t>
            </w:r>
          </w:p>
        </w:tc>
        <w:tc>
          <w:tcPr>
            <w:tcW w:w="669" w:type="dxa"/>
            <w:noWrap w:val="0"/>
            <w:vAlign w:val="center"/>
          </w:tcPr>
          <w:p w14:paraId="0C15B1E1">
            <w:pPr>
              <w:jc w:val="center"/>
              <w:rPr>
                <w:rFonts w:hint="eastAsia"/>
                <w:b/>
                <w:bCs/>
                <w:sz w:val="21"/>
                <w:szCs w:val="21"/>
              </w:rPr>
            </w:pPr>
            <w:r>
              <w:rPr>
                <w:rFonts w:hint="eastAsia"/>
                <w:b/>
                <w:bCs/>
                <w:sz w:val="21"/>
                <w:szCs w:val="21"/>
              </w:rPr>
              <w:t>分值</w:t>
            </w:r>
          </w:p>
        </w:tc>
        <w:tc>
          <w:tcPr>
            <w:tcW w:w="3611" w:type="dxa"/>
            <w:noWrap w:val="0"/>
            <w:vAlign w:val="center"/>
          </w:tcPr>
          <w:p w14:paraId="79CDC05C">
            <w:pPr>
              <w:jc w:val="center"/>
              <w:rPr>
                <w:b/>
                <w:bCs/>
                <w:sz w:val="21"/>
                <w:szCs w:val="21"/>
              </w:rPr>
            </w:pPr>
            <w:r>
              <w:rPr>
                <w:b/>
                <w:bCs/>
                <w:sz w:val="21"/>
                <w:szCs w:val="21"/>
              </w:rPr>
              <w:t>评分细则</w:t>
            </w:r>
          </w:p>
        </w:tc>
        <w:tc>
          <w:tcPr>
            <w:tcW w:w="912" w:type="dxa"/>
            <w:noWrap w:val="0"/>
            <w:vAlign w:val="center"/>
          </w:tcPr>
          <w:p w14:paraId="1DFB6B20">
            <w:pPr>
              <w:jc w:val="center"/>
              <w:rPr>
                <w:b/>
                <w:bCs/>
                <w:sz w:val="21"/>
                <w:szCs w:val="21"/>
              </w:rPr>
            </w:pPr>
            <w:r>
              <w:rPr>
                <w:b/>
                <w:bCs/>
                <w:sz w:val="21"/>
                <w:szCs w:val="21"/>
              </w:rPr>
              <w:t>自评分</w:t>
            </w:r>
          </w:p>
        </w:tc>
        <w:tc>
          <w:tcPr>
            <w:tcW w:w="1162" w:type="dxa"/>
            <w:noWrap w:val="0"/>
            <w:vAlign w:val="center"/>
          </w:tcPr>
          <w:p w14:paraId="4128127A">
            <w:pPr>
              <w:jc w:val="center"/>
              <w:rPr>
                <w:b/>
                <w:bCs/>
                <w:sz w:val="21"/>
                <w:szCs w:val="21"/>
              </w:rPr>
            </w:pPr>
            <w:r>
              <w:rPr>
                <w:b/>
                <w:bCs/>
                <w:sz w:val="21"/>
                <w:szCs w:val="21"/>
              </w:rPr>
              <w:t>自评依据</w:t>
            </w:r>
          </w:p>
        </w:tc>
        <w:tc>
          <w:tcPr>
            <w:tcW w:w="661" w:type="dxa"/>
            <w:noWrap w:val="0"/>
            <w:vAlign w:val="center"/>
          </w:tcPr>
          <w:p w14:paraId="52FA319A">
            <w:pPr>
              <w:jc w:val="center"/>
              <w:rPr>
                <w:b/>
                <w:bCs/>
                <w:sz w:val="21"/>
                <w:szCs w:val="21"/>
              </w:rPr>
            </w:pPr>
            <w:r>
              <w:rPr>
                <w:b/>
                <w:bCs/>
                <w:sz w:val="21"/>
                <w:szCs w:val="21"/>
              </w:rPr>
              <w:t>页码</w:t>
            </w:r>
          </w:p>
        </w:tc>
      </w:tr>
      <w:tr w14:paraId="6323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8" w:type="dxa"/>
            <w:gridSpan w:val="7"/>
            <w:noWrap w:val="0"/>
            <w:vAlign w:val="center"/>
          </w:tcPr>
          <w:p w14:paraId="0DC42299">
            <w:pPr>
              <w:jc w:val="center"/>
              <w:rPr>
                <w:b/>
                <w:bCs/>
                <w:sz w:val="21"/>
                <w:szCs w:val="21"/>
              </w:rPr>
            </w:pPr>
            <w:r>
              <w:rPr>
                <w:rFonts w:hint="eastAsia"/>
                <w:b/>
                <w:bCs/>
                <w:sz w:val="21"/>
                <w:szCs w:val="21"/>
              </w:rPr>
              <w:t>资信技术</w:t>
            </w:r>
            <w:r>
              <w:rPr>
                <w:b/>
                <w:bCs/>
                <w:sz w:val="21"/>
                <w:szCs w:val="21"/>
              </w:rPr>
              <w:t>分</w:t>
            </w:r>
          </w:p>
        </w:tc>
      </w:tr>
      <w:tr w14:paraId="329E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54CE64D9">
            <w:pPr>
              <w:jc w:val="center"/>
              <w:rPr>
                <w:rFonts w:hint="eastAsia"/>
                <w:b/>
                <w:bCs/>
                <w:sz w:val="21"/>
                <w:szCs w:val="21"/>
              </w:rPr>
            </w:pPr>
          </w:p>
        </w:tc>
        <w:tc>
          <w:tcPr>
            <w:tcW w:w="1971" w:type="dxa"/>
            <w:noWrap w:val="0"/>
            <w:vAlign w:val="center"/>
          </w:tcPr>
          <w:p w14:paraId="553FDEEA">
            <w:pPr>
              <w:jc w:val="center"/>
              <w:rPr>
                <w:rFonts w:hint="eastAsia"/>
                <w:b/>
                <w:bCs/>
                <w:sz w:val="21"/>
                <w:szCs w:val="21"/>
              </w:rPr>
            </w:pPr>
          </w:p>
        </w:tc>
        <w:tc>
          <w:tcPr>
            <w:tcW w:w="669" w:type="dxa"/>
            <w:noWrap w:val="0"/>
            <w:vAlign w:val="center"/>
          </w:tcPr>
          <w:p w14:paraId="27FD0C3C">
            <w:pPr>
              <w:jc w:val="center"/>
              <w:rPr>
                <w:rFonts w:hint="eastAsia"/>
                <w:b/>
                <w:bCs/>
                <w:sz w:val="21"/>
                <w:szCs w:val="21"/>
              </w:rPr>
            </w:pPr>
          </w:p>
        </w:tc>
        <w:tc>
          <w:tcPr>
            <w:tcW w:w="3611" w:type="dxa"/>
            <w:noWrap w:val="0"/>
            <w:vAlign w:val="center"/>
          </w:tcPr>
          <w:p w14:paraId="4D694920">
            <w:pPr>
              <w:jc w:val="center"/>
              <w:rPr>
                <w:rFonts w:hint="eastAsia"/>
                <w:b/>
                <w:bCs/>
                <w:sz w:val="21"/>
                <w:szCs w:val="21"/>
              </w:rPr>
            </w:pPr>
          </w:p>
        </w:tc>
        <w:tc>
          <w:tcPr>
            <w:tcW w:w="912" w:type="dxa"/>
            <w:noWrap w:val="0"/>
            <w:vAlign w:val="center"/>
          </w:tcPr>
          <w:p w14:paraId="565710CE">
            <w:pPr>
              <w:jc w:val="center"/>
              <w:rPr>
                <w:rFonts w:hint="eastAsia"/>
                <w:b/>
                <w:bCs/>
                <w:sz w:val="21"/>
                <w:szCs w:val="21"/>
              </w:rPr>
            </w:pPr>
          </w:p>
        </w:tc>
        <w:tc>
          <w:tcPr>
            <w:tcW w:w="1162" w:type="dxa"/>
            <w:noWrap w:val="0"/>
            <w:vAlign w:val="center"/>
          </w:tcPr>
          <w:p w14:paraId="0EDE8840">
            <w:pPr>
              <w:jc w:val="center"/>
              <w:rPr>
                <w:rFonts w:hint="eastAsia"/>
                <w:b/>
                <w:bCs/>
                <w:sz w:val="21"/>
                <w:szCs w:val="21"/>
              </w:rPr>
            </w:pPr>
          </w:p>
        </w:tc>
        <w:tc>
          <w:tcPr>
            <w:tcW w:w="661" w:type="dxa"/>
            <w:noWrap w:val="0"/>
            <w:vAlign w:val="top"/>
          </w:tcPr>
          <w:p w14:paraId="19B6F02B">
            <w:pPr>
              <w:jc w:val="center"/>
              <w:rPr>
                <w:rFonts w:hint="eastAsia"/>
                <w:b/>
                <w:bCs/>
                <w:sz w:val="21"/>
                <w:szCs w:val="21"/>
              </w:rPr>
            </w:pPr>
          </w:p>
        </w:tc>
      </w:tr>
      <w:tr w14:paraId="2A4B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6DA49AAE">
            <w:pPr>
              <w:jc w:val="center"/>
              <w:rPr>
                <w:rFonts w:hint="eastAsia"/>
                <w:b/>
                <w:bCs/>
                <w:sz w:val="21"/>
                <w:szCs w:val="21"/>
              </w:rPr>
            </w:pPr>
          </w:p>
        </w:tc>
        <w:tc>
          <w:tcPr>
            <w:tcW w:w="1971" w:type="dxa"/>
            <w:noWrap w:val="0"/>
            <w:vAlign w:val="center"/>
          </w:tcPr>
          <w:p w14:paraId="1508C6F8">
            <w:pPr>
              <w:jc w:val="center"/>
              <w:rPr>
                <w:rFonts w:hint="eastAsia"/>
                <w:b/>
                <w:bCs/>
                <w:sz w:val="21"/>
                <w:szCs w:val="21"/>
              </w:rPr>
            </w:pPr>
          </w:p>
        </w:tc>
        <w:tc>
          <w:tcPr>
            <w:tcW w:w="669" w:type="dxa"/>
            <w:noWrap w:val="0"/>
            <w:vAlign w:val="center"/>
          </w:tcPr>
          <w:p w14:paraId="27F171DA">
            <w:pPr>
              <w:jc w:val="center"/>
              <w:rPr>
                <w:b/>
                <w:bCs/>
                <w:sz w:val="21"/>
                <w:szCs w:val="21"/>
              </w:rPr>
            </w:pPr>
          </w:p>
        </w:tc>
        <w:tc>
          <w:tcPr>
            <w:tcW w:w="3611" w:type="dxa"/>
            <w:noWrap w:val="0"/>
            <w:vAlign w:val="center"/>
          </w:tcPr>
          <w:p w14:paraId="47E19459">
            <w:pPr>
              <w:jc w:val="center"/>
              <w:rPr>
                <w:rFonts w:hint="eastAsia"/>
                <w:b/>
                <w:bCs/>
                <w:sz w:val="21"/>
                <w:szCs w:val="21"/>
              </w:rPr>
            </w:pPr>
          </w:p>
        </w:tc>
        <w:tc>
          <w:tcPr>
            <w:tcW w:w="912" w:type="dxa"/>
            <w:noWrap w:val="0"/>
            <w:vAlign w:val="center"/>
          </w:tcPr>
          <w:p w14:paraId="62DC1800">
            <w:pPr>
              <w:jc w:val="center"/>
              <w:rPr>
                <w:rFonts w:hint="eastAsia"/>
                <w:b/>
                <w:bCs/>
                <w:sz w:val="21"/>
                <w:szCs w:val="21"/>
              </w:rPr>
            </w:pPr>
          </w:p>
        </w:tc>
        <w:tc>
          <w:tcPr>
            <w:tcW w:w="1162" w:type="dxa"/>
            <w:noWrap w:val="0"/>
            <w:vAlign w:val="center"/>
          </w:tcPr>
          <w:p w14:paraId="1AE4353B">
            <w:pPr>
              <w:jc w:val="center"/>
              <w:rPr>
                <w:rFonts w:hint="eastAsia"/>
                <w:b/>
                <w:bCs/>
                <w:sz w:val="21"/>
                <w:szCs w:val="21"/>
              </w:rPr>
            </w:pPr>
          </w:p>
        </w:tc>
        <w:tc>
          <w:tcPr>
            <w:tcW w:w="661" w:type="dxa"/>
            <w:noWrap w:val="0"/>
            <w:vAlign w:val="top"/>
          </w:tcPr>
          <w:p w14:paraId="7FBE2EB8">
            <w:pPr>
              <w:jc w:val="center"/>
              <w:rPr>
                <w:rFonts w:hint="eastAsia"/>
                <w:b/>
                <w:bCs/>
                <w:sz w:val="21"/>
                <w:szCs w:val="21"/>
              </w:rPr>
            </w:pPr>
          </w:p>
        </w:tc>
      </w:tr>
      <w:tr w14:paraId="2906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2E6833BC">
            <w:pPr>
              <w:jc w:val="center"/>
              <w:rPr>
                <w:rFonts w:hint="eastAsia"/>
                <w:b/>
                <w:bCs/>
                <w:sz w:val="21"/>
                <w:szCs w:val="21"/>
              </w:rPr>
            </w:pPr>
          </w:p>
        </w:tc>
        <w:tc>
          <w:tcPr>
            <w:tcW w:w="1971" w:type="dxa"/>
            <w:noWrap w:val="0"/>
            <w:vAlign w:val="center"/>
          </w:tcPr>
          <w:p w14:paraId="209E772D">
            <w:pPr>
              <w:jc w:val="center"/>
              <w:rPr>
                <w:rFonts w:hint="eastAsia"/>
                <w:b/>
                <w:bCs/>
                <w:sz w:val="21"/>
                <w:szCs w:val="21"/>
              </w:rPr>
            </w:pPr>
          </w:p>
        </w:tc>
        <w:tc>
          <w:tcPr>
            <w:tcW w:w="669" w:type="dxa"/>
            <w:noWrap w:val="0"/>
            <w:vAlign w:val="center"/>
          </w:tcPr>
          <w:p w14:paraId="1275AAD5">
            <w:pPr>
              <w:jc w:val="center"/>
              <w:rPr>
                <w:rFonts w:hint="eastAsia"/>
                <w:b/>
                <w:bCs/>
                <w:sz w:val="21"/>
                <w:szCs w:val="21"/>
              </w:rPr>
            </w:pPr>
          </w:p>
        </w:tc>
        <w:tc>
          <w:tcPr>
            <w:tcW w:w="3611" w:type="dxa"/>
            <w:noWrap w:val="0"/>
            <w:vAlign w:val="center"/>
          </w:tcPr>
          <w:p w14:paraId="402C9823">
            <w:pPr>
              <w:jc w:val="center"/>
              <w:rPr>
                <w:rFonts w:hint="eastAsia"/>
                <w:b/>
                <w:bCs/>
                <w:sz w:val="21"/>
                <w:szCs w:val="21"/>
              </w:rPr>
            </w:pPr>
          </w:p>
        </w:tc>
        <w:tc>
          <w:tcPr>
            <w:tcW w:w="912" w:type="dxa"/>
            <w:noWrap w:val="0"/>
            <w:vAlign w:val="center"/>
          </w:tcPr>
          <w:p w14:paraId="11015214">
            <w:pPr>
              <w:jc w:val="center"/>
              <w:rPr>
                <w:rFonts w:hint="eastAsia"/>
                <w:b/>
                <w:bCs/>
                <w:sz w:val="21"/>
                <w:szCs w:val="21"/>
              </w:rPr>
            </w:pPr>
          </w:p>
        </w:tc>
        <w:tc>
          <w:tcPr>
            <w:tcW w:w="1162" w:type="dxa"/>
            <w:noWrap w:val="0"/>
            <w:vAlign w:val="center"/>
          </w:tcPr>
          <w:p w14:paraId="270F0116">
            <w:pPr>
              <w:jc w:val="center"/>
              <w:rPr>
                <w:rFonts w:hint="eastAsia"/>
                <w:b/>
                <w:bCs/>
                <w:sz w:val="21"/>
                <w:szCs w:val="21"/>
              </w:rPr>
            </w:pPr>
          </w:p>
        </w:tc>
        <w:tc>
          <w:tcPr>
            <w:tcW w:w="661" w:type="dxa"/>
            <w:noWrap w:val="0"/>
            <w:vAlign w:val="top"/>
          </w:tcPr>
          <w:p w14:paraId="6E20A493">
            <w:pPr>
              <w:jc w:val="center"/>
              <w:rPr>
                <w:rFonts w:hint="eastAsia"/>
                <w:b/>
                <w:bCs/>
                <w:sz w:val="21"/>
                <w:szCs w:val="21"/>
              </w:rPr>
            </w:pPr>
          </w:p>
        </w:tc>
      </w:tr>
      <w:tr w14:paraId="7593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46D074DB">
            <w:pPr>
              <w:jc w:val="center"/>
              <w:rPr>
                <w:rFonts w:hint="eastAsia"/>
                <w:b/>
                <w:bCs/>
                <w:sz w:val="21"/>
                <w:szCs w:val="21"/>
              </w:rPr>
            </w:pPr>
          </w:p>
        </w:tc>
        <w:tc>
          <w:tcPr>
            <w:tcW w:w="1971" w:type="dxa"/>
            <w:noWrap w:val="0"/>
            <w:vAlign w:val="center"/>
          </w:tcPr>
          <w:p w14:paraId="688EBBEF">
            <w:pPr>
              <w:jc w:val="center"/>
              <w:rPr>
                <w:rFonts w:hint="eastAsia"/>
                <w:b/>
                <w:bCs/>
                <w:sz w:val="21"/>
                <w:szCs w:val="21"/>
              </w:rPr>
            </w:pPr>
          </w:p>
        </w:tc>
        <w:tc>
          <w:tcPr>
            <w:tcW w:w="669" w:type="dxa"/>
            <w:noWrap w:val="0"/>
            <w:vAlign w:val="center"/>
          </w:tcPr>
          <w:p w14:paraId="0D7B7AD4">
            <w:pPr>
              <w:jc w:val="center"/>
              <w:rPr>
                <w:rFonts w:hint="eastAsia"/>
                <w:b/>
                <w:bCs/>
                <w:sz w:val="21"/>
                <w:szCs w:val="21"/>
              </w:rPr>
            </w:pPr>
          </w:p>
        </w:tc>
        <w:tc>
          <w:tcPr>
            <w:tcW w:w="3611" w:type="dxa"/>
            <w:noWrap w:val="0"/>
            <w:vAlign w:val="center"/>
          </w:tcPr>
          <w:p w14:paraId="58ECE2BE">
            <w:pPr>
              <w:jc w:val="center"/>
              <w:rPr>
                <w:rFonts w:hint="eastAsia"/>
                <w:b/>
                <w:bCs/>
                <w:sz w:val="21"/>
                <w:szCs w:val="21"/>
              </w:rPr>
            </w:pPr>
          </w:p>
        </w:tc>
        <w:tc>
          <w:tcPr>
            <w:tcW w:w="912" w:type="dxa"/>
            <w:noWrap w:val="0"/>
            <w:vAlign w:val="center"/>
          </w:tcPr>
          <w:p w14:paraId="68BFEF08">
            <w:pPr>
              <w:jc w:val="center"/>
              <w:rPr>
                <w:rFonts w:hint="eastAsia"/>
                <w:b/>
                <w:bCs/>
                <w:sz w:val="21"/>
                <w:szCs w:val="21"/>
              </w:rPr>
            </w:pPr>
          </w:p>
        </w:tc>
        <w:tc>
          <w:tcPr>
            <w:tcW w:w="1162" w:type="dxa"/>
            <w:noWrap w:val="0"/>
            <w:vAlign w:val="center"/>
          </w:tcPr>
          <w:p w14:paraId="5DD96CDD">
            <w:pPr>
              <w:jc w:val="center"/>
              <w:rPr>
                <w:rFonts w:hint="eastAsia"/>
                <w:b/>
                <w:bCs/>
                <w:sz w:val="21"/>
                <w:szCs w:val="21"/>
              </w:rPr>
            </w:pPr>
          </w:p>
        </w:tc>
        <w:tc>
          <w:tcPr>
            <w:tcW w:w="661" w:type="dxa"/>
            <w:noWrap w:val="0"/>
            <w:vAlign w:val="top"/>
          </w:tcPr>
          <w:p w14:paraId="5DF894E5">
            <w:pPr>
              <w:jc w:val="center"/>
              <w:rPr>
                <w:rFonts w:hint="eastAsia"/>
                <w:b/>
                <w:bCs/>
                <w:sz w:val="21"/>
                <w:szCs w:val="21"/>
              </w:rPr>
            </w:pPr>
          </w:p>
        </w:tc>
      </w:tr>
      <w:tr w14:paraId="2BEB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7848A8BD">
            <w:pPr>
              <w:jc w:val="center"/>
              <w:rPr>
                <w:rFonts w:hint="eastAsia"/>
                <w:b/>
                <w:bCs/>
                <w:sz w:val="21"/>
                <w:szCs w:val="21"/>
              </w:rPr>
            </w:pPr>
          </w:p>
        </w:tc>
        <w:tc>
          <w:tcPr>
            <w:tcW w:w="1971" w:type="dxa"/>
            <w:noWrap w:val="0"/>
            <w:vAlign w:val="center"/>
          </w:tcPr>
          <w:p w14:paraId="1D60E1B0">
            <w:pPr>
              <w:jc w:val="center"/>
              <w:rPr>
                <w:rFonts w:hint="eastAsia"/>
                <w:b/>
                <w:bCs/>
                <w:sz w:val="21"/>
                <w:szCs w:val="21"/>
              </w:rPr>
            </w:pPr>
          </w:p>
        </w:tc>
        <w:tc>
          <w:tcPr>
            <w:tcW w:w="669" w:type="dxa"/>
            <w:noWrap w:val="0"/>
            <w:vAlign w:val="center"/>
          </w:tcPr>
          <w:p w14:paraId="11B6D806">
            <w:pPr>
              <w:jc w:val="center"/>
              <w:rPr>
                <w:b/>
                <w:bCs/>
                <w:sz w:val="21"/>
                <w:szCs w:val="21"/>
              </w:rPr>
            </w:pPr>
          </w:p>
        </w:tc>
        <w:tc>
          <w:tcPr>
            <w:tcW w:w="3611" w:type="dxa"/>
            <w:noWrap w:val="0"/>
            <w:vAlign w:val="center"/>
          </w:tcPr>
          <w:p w14:paraId="63C9A1FF">
            <w:pPr>
              <w:jc w:val="center"/>
              <w:rPr>
                <w:rFonts w:hint="eastAsia"/>
                <w:b/>
                <w:bCs/>
                <w:sz w:val="21"/>
                <w:szCs w:val="21"/>
              </w:rPr>
            </w:pPr>
          </w:p>
        </w:tc>
        <w:tc>
          <w:tcPr>
            <w:tcW w:w="912" w:type="dxa"/>
            <w:noWrap w:val="0"/>
            <w:vAlign w:val="center"/>
          </w:tcPr>
          <w:p w14:paraId="6BED81F1">
            <w:pPr>
              <w:jc w:val="center"/>
              <w:rPr>
                <w:rFonts w:hint="eastAsia"/>
                <w:b/>
                <w:bCs/>
                <w:sz w:val="21"/>
                <w:szCs w:val="21"/>
              </w:rPr>
            </w:pPr>
          </w:p>
        </w:tc>
        <w:tc>
          <w:tcPr>
            <w:tcW w:w="1162" w:type="dxa"/>
            <w:noWrap w:val="0"/>
            <w:vAlign w:val="center"/>
          </w:tcPr>
          <w:p w14:paraId="44786160">
            <w:pPr>
              <w:jc w:val="center"/>
              <w:rPr>
                <w:rFonts w:hint="eastAsia"/>
                <w:b/>
                <w:bCs/>
                <w:sz w:val="21"/>
                <w:szCs w:val="21"/>
              </w:rPr>
            </w:pPr>
          </w:p>
        </w:tc>
        <w:tc>
          <w:tcPr>
            <w:tcW w:w="661" w:type="dxa"/>
            <w:noWrap w:val="0"/>
            <w:vAlign w:val="top"/>
          </w:tcPr>
          <w:p w14:paraId="52DC6102">
            <w:pPr>
              <w:jc w:val="center"/>
              <w:rPr>
                <w:rFonts w:hint="eastAsia"/>
                <w:b/>
                <w:bCs/>
                <w:sz w:val="21"/>
                <w:szCs w:val="21"/>
              </w:rPr>
            </w:pPr>
          </w:p>
        </w:tc>
      </w:tr>
      <w:tr w14:paraId="40FD5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2FEC7119">
            <w:pPr>
              <w:jc w:val="center"/>
              <w:rPr>
                <w:rFonts w:hint="eastAsia"/>
                <w:b/>
                <w:bCs/>
                <w:sz w:val="21"/>
                <w:szCs w:val="21"/>
              </w:rPr>
            </w:pPr>
          </w:p>
        </w:tc>
        <w:tc>
          <w:tcPr>
            <w:tcW w:w="1971" w:type="dxa"/>
            <w:noWrap w:val="0"/>
            <w:vAlign w:val="center"/>
          </w:tcPr>
          <w:p w14:paraId="56F532A5">
            <w:pPr>
              <w:jc w:val="center"/>
              <w:rPr>
                <w:rFonts w:hint="eastAsia"/>
                <w:b/>
                <w:bCs/>
                <w:sz w:val="21"/>
                <w:szCs w:val="21"/>
              </w:rPr>
            </w:pPr>
          </w:p>
        </w:tc>
        <w:tc>
          <w:tcPr>
            <w:tcW w:w="669" w:type="dxa"/>
            <w:noWrap w:val="0"/>
            <w:vAlign w:val="center"/>
          </w:tcPr>
          <w:p w14:paraId="786536EB">
            <w:pPr>
              <w:jc w:val="center"/>
              <w:rPr>
                <w:b/>
                <w:bCs/>
                <w:sz w:val="21"/>
                <w:szCs w:val="21"/>
              </w:rPr>
            </w:pPr>
          </w:p>
        </w:tc>
        <w:tc>
          <w:tcPr>
            <w:tcW w:w="3611" w:type="dxa"/>
            <w:noWrap w:val="0"/>
            <w:vAlign w:val="center"/>
          </w:tcPr>
          <w:p w14:paraId="436C8638">
            <w:pPr>
              <w:jc w:val="center"/>
              <w:rPr>
                <w:rFonts w:hint="eastAsia"/>
                <w:b/>
                <w:bCs/>
                <w:sz w:val="21"/>
                <w:szCs w:val="21"/>
              </w:rPr>
            </w:pPr>
          </w:p>
        </w:tc>
        <w:tc>
          <w:tcPr>
            <w:tcW w:w="912" w:type="dxa"/>
            <w:noWrap w:val="0"/>
            <w:vAlign w:val="center"/>
          </w:tcPr>
          <w:p w14:paraId="55E3D0F1">
            <w:pPr>
              <w:jc w:val="center"/>
              <w:rPr>
                <w:rFonts w:hint="eastAsia"/>
                <w:b/>
                <w:bCs/>
                <w:sz w:val="21"/>
                <w:szCs w:val="21"/>
              </w:rPr>
            </w:pPr>
          </w:p>
        </w:tc>
        <w:tc>
          <w:tcPr>
            <w:tcW w:w="1162" w:type="dxa"/>
            <w:noWrap w:val="0"/>
            <w:vAlign w:val="center"/>
          </w:tcPr>
          <w:p w14:paraId="59C070DE">
            <w:pPr>
              <w:jc w:val="center"/>
              <w:rPr>
                <w:rFonts w:hint="eastAsia"/>
                <w:b/>
                <w:bCs/>
                <w:sz w:val="21"/>
                <w:szCs w:val="21"/>
              </w:rPr>
            </w:pPr>
          </w:p>
        </w:tc>
        <w:tc>
          <w:tcPr>
            <w:tcW w:w="661" w:type="dxa"/>
            <w:noWrap w:val="0"/>
            <w:vAlign w:val="top"/>
          </w:tcPr>
          <w:p w14:paraId="76F171D6">
            <w:pPr>
              <w:jc w:val="center"/>
              <w:rPr>
                <w:rFonts w:hint="eastAsia"/>
                <w:b/>
                <w:bCs/>
                <w:sz w:val="21"/>
                <w:szCs w:val="21"/>
              </w:rPr>
            </w:pPr>
          </w:p>
        </w:tc>
      </w:tr>
      <w:tr w14:paraId="344B1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0761861A">
            <w:pPr>
              <w:rPr>
                <w:b/>
                <w:bCs/>
                <w:sz w:val="21"/>
                <w:szCs w:val="21"/>
              </w:rPr>
            </w:pPr>
          </w:p>
        </w:tc>
        <w:tc>
          <w:tcPr>
            <w:tcW w:w="1971" w:type="dxa"/>
            <w:noWrap w:val="0"/>
            <w:vAlign w:val="center"/>
          </w:tcPr>
          <w:p w14:paraId="7CC32D54">
            <w:pPr>
              <w:rPr>
                <w:b/>
                <w:bCs/>
                <w:sz w:val="21"/>
                <w:szCs w:val="21"/>
              </w:rPr>
            </w:pPr>
          </w:p>
        </w:tc>
        <w:tc>
          <w:tcPr>
            <w:tcW w:w="669" w:type="dxa"/>
            <w:noWrap w:val="0"/>
            <w:vAlign w:val="center"/>
          </w:tcPr>
          <w:p w14:paraId="0AC5AB3E">
            <w:pPr>
              <w:rPr>
                <w:rFonts w:hint="eastAsia"/>
                <w:b/>
                <w:bCs/>
                <w:sz w:val="21"/>
                <w:szCs w:val="21"/>
              </w:rPr>
            </w:pPr>
          </w:p>
        </w:tc>
        <w:tc>
          <w:tcPr>
            <w:tcW w:w="3611" w:type="dxa"/>
            <w:noWrap w:val="0"/>
            <w:vAlign w:val="center"/>
          </w:tcPr>
          <w:p w14:paraId="1C61FB2D">
            <w:pPr>
              <w:rPr>
                <w:b/>
                <w:bCs/>
                <w:sz w:val="21"/>
                <w:szCs w:val="21"/>
              </w:rPr>
            </w:pPr>
          </w:p>
        </w:tc>
        <w:tc>
          <w:tcPr>
            <w:tcW w:w="912" w:type="dxa"/>
            <w:noWrap w:val="0"/>
            <w:vAlign w:val="center"/>
          </w:tcPr>
          <w:p w14:paraId="04336E89">
            <w:pPr>
              <w:rPr>
                <w:rFonts w:hint="eastAsia"/>
                <w:b/>
                <w:bCs/>
                <w:sz w:val="21"/>
                <w:szCs w:val="21"/>
              </w:rPr>
            </w:pPr>
          </w:p>
        </w:tc>
        <w:tc>
          <w:tcPr>
            <w:tcW w:w="1162" w:type="dxa"/>
            <w:noWrap w:val="0"/>
            <w:vAlign w:val="center"/>
          </w:tcPr>
          <w:p w14:paraId="29F52FE0">
            <w:pPr>
              <w:rPr>
                <w:rFonts w:hint="eastAsia"/>
                <w:b/>
                <w:bCs/>
                <w:sz w:val="21"/>
                <w:szCs w:val="21"/>
              </w:rPr>
            </w:pPr>
          </w:p>
        </w:tc>
        <w:tc>
          <w:tcPr>
            <w:tcW w:w="661" w:type="dxa"/>
            <w:noWrap w:val="0"/>
            <w:vAlign w:val="top"/>
          </w:tcPr>
          <w:p w14:paraId="22C0C9A7">
            <w:pPr>
              <w:rPr>
                <w:rFonts w:hint="eastAsia"/>
                <w:b/>
                <w:bCs/>
                <w:sz w:val="21"/>
                <w:szCs w:val="21"/>
              </w:rPr>
            </w:pPr>
          </w:p>
        </w:tc>
      </w:tr>
      <w:tr w14:paraId="124C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4B950A09">
            <w:pPr>
              <w:rPr>
                <w:rFonts w:hint="eastAsia"/>
                <w:b/>
                <w:bCs/>
                <w:sz w:val="21"/>
                <w:szCs w:val="21"/>
              </w:rPr>
            </w:pPr>
          </w:p>
        </w:tc>
        <w:tc>
          <w:tcPr>
            <w:tcW w:w="1971" w:type="dxa"/>
            <w:noWrap w:val="0"/>
            <w:vAlign w:val="center"/>
          </w:tcPr>
          <w:p w14:paraId="6CB8E8F2">
            <w:pPr>
              <w:rPr>
                <w:rFonts w:hint="eastAsia"/>
                <w:b/>
                <w:bCs/>
                <w:sz w:val="21"/>
                <w:szCs w:val="21"/>
              </w:rPr>
            </w:pPr>
          </w:p>
        </w:tc>
        <w:tc>
          <w:tcPr>
            <w:tcW w:w="669" w:type="dxa"/>
            <w:noWrap w:val="0"/>
            <w:vAlign w:val="center"/>
          </w:tcPr>
          <w:p w14:paraId="04E5DC85">
            <w:pPr>
              <w:rPr>
                <w:rFonts w:hint="eastAsia"/>
                <w:b/>
                <w:bCs/>
                <w:sz w:val="21"/>
                <w:szCs w:val="21"/>
              </w:rPr>
            </w:pPr>
          </w:p>
        </w:tc>
        <w:tc>
          <w:tcPr>
            <w:tcW w:w="3611" w:type="dxa"/>
            <w:noWrap w:val="0"/>
            <w:vAlign w:val="center"/>
          </w:tcPr>
          <w:p w14:paraId="6F77272C">
            <w:pPr>
              <w:rPr>
                <w:rFonts w:hint="eastAsia"/>
                <w:b/>
                <w:bCs/>
                <w:sz w:val="21"/>
                <w:szCs w:val="21"/>
              </w:rPr>
            </w:pPr>
          </w:p>
        </w:tc>
        <w:tc>
          <w:tcPr>
            <w:tcW w:w="912" w:type="dxa"/>
            <w:noWrap w:val="0"/>
            <w:vAlign w:val="center"/>
          </w:tcPr>
          <w:p w14:paraId="3FBFB8F0">
            <w:pPr>
              <w:rPr>
                <w:rFonts w:hint="eastAsia"/>
                <w:b/>
                <w:bCs/>
                <w:sz w:val="21"/>
                <w:szCs w:val="21"/>
              </w:rPr>
            </w:pPr>
          </w:p>
        </w:tc>
        <w:tc>
          <w:tcPr>
            <w:tcW w:w="1162" w:type="dxa"/>
            <w:noWrap w:val="0"/>
            <w:vAlign w:val="center"/>
          </w:tcPr>
          <w:p w14:paraId="7F2465B2">
            <w:pPr>
              <w:rPr>
                <w:rFonts w:hint="eastAsia"/>
                <w:b/>
                <w:bCs/>
                <w:sz w:val="21"/>
                <w:szCs w:val="21"/>
              </w:rPr>
            </w:pPr>
          </w:p>
        </w:tc>
        <w:tc>
          <w:tcPr>
            <w:tcW w:w="661" w:type="dxa"/>
            <w:noWrap w:val="0"/>
            <w:vAlign w:val="top"/>
          </w:tcPr>
          <w:p w14:paraId="20C2E04B">
            <w:pPr>
              <w:rPr>
                <w:rFonts w:hint="eastAsia"/>
                <w:b/>
                <w:bCs/>
                <w:sz w:val="21"/>
                <w:szCs w:val="21"/>
              </w:rPr>
            </w:pPr>
          </w:p>
        </w:tc>
      </w:tr>
      <w:tr w14:paraId="05E82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54F1D655">
            <w:pPr>
              <w:rPr>
                <w:rFonts w:hint="eastAsia"/>
                <w:b/>
                <w:bCs/>
                <w:sz w:val="21"/>
                <w:szCs w:val="21"/>
              </w:rPr>
            </w:pPr>
          </w:p>
        </w:tc>
        <w:tc>
          <w:tcPr>
            <w:tcW w:w="1971" w:type="dxa"/>
            <w:noWrap w:val="0"/>
            <w:vAlign w:val="center"/>
          </w:tcPr>
          <w:p w14:paraId="5412F3B9">
            <w:pPr>
              <w:rPr>
                <w:rFonts w:hint="eastAsia"/>
                <w:b/>
                <w:bCs/>
                <w:sz w:val="21"/>
                <w:szCs w:val="21"/>
              </w:rPr>
            </w:pPr>
          </w:p>
        </w:tc>
        <w:tc>
          <w:tcPr>
            <w:tcW w:w="669" w:type="dxa"/>
            <w:noWrap w:val="0"/>
            <w:vAlign w:val="center"/>
          </w:tcPr>
          <w:p w14:paraId="7CDDF04F">
            <w:pPr>
              <w:rPr>
                <w:rFonts w:hint="eastAsia"/>
                <w:b/>
                <w:bCs/>
                <w:sz w:val="21"/>
                <w:szCs w:val="21"/>
              </w:rPr>
            </w:pPr>
          </w:p>
        </w:tc>
        <w:tc>
          <w:tcPr>
            <w:tcW w:w="3611" w:type="dxa"/>
            <w:noWrap w:val="0"/>
            <w:vAlign w:val="center"/>
          </w:tcPr>
          <w:p w14:paraId="7826442A">
            <w:pPr>
              <w:rPr>
                <w:rFonts w:hint="eastAsia"/>
                <w:b/>
                <w:bCs/>
                <w:sz w:val="21"/>
                <w:szCs w:val="21"/>
              </w:rPr>
            </w:pPr>
          </w:p>
        </w:tc>
        <w:tc>
          <w:tcPr>
            <w:tcW w:w="912" w:type="dxa"/>
            <w:noWrap w:val="0"/>
            <w:vAlign w:val="center"/>
          </w:tcPr>
          <w:p w14:paraId="3E55C292">
            <w:pPr>
              <w:rPr>
                <w:rFonts w:hint="eastAsia"/>
                <w:b/>
                <w:bCs/>
                <w:sz w:val="21"/>
                <w:szCs w:val="21"/>
              </w:rPr>
            </w:pPr>
          </w:p>
        </w:tc>
        <w:tc>
          <w:tcPr>
            <w:tcW w:w="1162" w:type="dxa"/>
            <w:noWrap w:val="0"/>
            <w:vAlign w:val="center"/>
          </w:tcPr>
          <w:p w14:paraId="6788E6EE">
            <w:pPr>
              <w:rPr>
                <w:rFonts w:hint="eastAsia"/>
                <w:b/>
                <w:bCs/>
                <w:sz w:val="21"/>
                <w:szCs w:val="21"/>
              </w:rPr>
            </w:pPr>
          </w:p>
        </w:tc>
        <w:tc>
          <w:tcPr>
            <w:tcW w:w="661" w:type="dxa"/>
            <w:noWrap w:val="0"/>
            <w:vAlign w:val="top"/>
          </w:tcPr>
          <w:p w14:paraId="0152D56F">
            <w:pPr>
              <w:rPr>
                <w:rFonts w:hint="eastAsia"/>
                <w:b/>
                <w:bCs/>
                <w:sz w:val="21"/>
                <w:szCs w:val="21"/>
              </w:rPr>
            </w:pPr>
          </w:p>
        </w:tc>
      </w:tr>
      <w:tr w14:paraId="36B8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273157A6">
            <w:pPr>
              <w:rPr>
                <w:rFonts w:hint="eastAsia"/>
                <w:b/>
                <w:bCs/>
                <w:sz w:val="21"/>
                <w:szCs w:val="21"/>
              </w:rPr>
            </w:pPr>
          </w:p>
        </w:tc>
        <w:tc>
          <w:tcPr>
            <w:tcW w:w="1971" w:type="dxa"/>
            <w:noWrap w:val="0"/>
            <w:vAlign w:val="center"/>
          </w:tcPr>
          <w:p w14:paraId="45E42F0F">
            <w:pPr>
              <w:rPr>
                <w:rFonts w:hint="eastAsia"/>
                <w:b/>
                <w:bCs/>
                <w:sz w:val="21"/>
                <w:szCs w:val="21"/>
              </w:rPr>
            </w:pPr>
          </w:p>
        </w:tc>
        <w:tc>
          <w:tcPr>
            <w:tcW w:w="669" w:type="dxa"/>
            <w:noWrap w:val="0"/>
            <w:vAlign w:val="center"/>
          </w:tcPr>
          <w:p w14:paraId="7B37BD0C">
            <w:pPr>
              <w:rPr>
                <w:rFonts w:hint="eastAsia"/>
                <w:b/>
                <w:bCs/>
                <w:sz w:val="21"/>
                <w:szCs w:val="21"/>
              </w:rPr>
            </w:pPr>
          </w:p>
        </w:tc>
        <w:tc>
          <w:tcPr>
            <w:tcW w:w="3611" w:type="dxa"/>
            <w:noWrap w:val="0"/>
            <w:vAlign w:val="center"/>
          </w:tcPr>
          <w:p w14:paraId="3B54B2DD">
            <w:pPr>
              <w:rPr>
                <w:rFonts w:hint="eastAsia"/>
                <w:b/>
                <w:bCs/>
                <w:sz w:val="21"/>
                <w:szCs w:val="21"/>
              </w:rPr>
            </w:pPr>
          </w:p>
        </w:tc>
        <w:tc>
          <w:tcPr>
            <w:tcW w:w="912" w:type="dxa"/>
            <w:noWrap w:val="0"/>
            <w:vAlign w:val="center"/>
          </w:tcPr>
          <w:p w14:paraId="4950F9F6">
            <w:pPr>
              <w:rPr>
                <w:rFonts w:hint="eastAsia"/>
                <w:b/>
                <w:bCs/>
                <w:sz w:val="21"/>
                <w:szCs w:val="21"/>
              </w:rPr>
            </w:pPr>
          </w:p>
        </w:tc>
        <w:tc>
          <w:tcPr>
            <w:tcW w:w="1162" w:type="dxa"/>
            <w:noWrap w:val="0"/>
            <w:vAlign w:val="center"/>
          </w:tcPr>
          <w:p w14:paraId="4F8E34D5">
            <w:pPr>
              <w:rPr>
                <w:rFonts w:hint="eastAsia"/>
                <w:b/>
                <w:bCs/>
                <w:sz w:val="21"/>
                <w:szCs w:val="21"/>
              </w:rPr>
            </w:pPr>
          </w:p>
        </w:tc>
        <w:tc>
          <w:tcPr>
            <w:tcW w:w="661" w:type="dxa"/>
            <w:noWrap w:val="0"/>
            <w:vAlign w:val="top"/>
          </w:tcPr>
          <w:p w14:paraId="3098CF19">
            <w:pPr>
              <w:rPr>
                <w:rFonts w:hint="eastAsia"/>
                <w:b/>
                <w:bCs/>
                <w:sz w:val="21"/>
                <w:szCs w:val="21"/>
              </w:rPr>
            </w:pPr>
          </w:p>
        </w:tc>
      </w:tr>
      <w:tr w14:paraId="0CC34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32AE23C8">
            <w:pPr>
              <w:rPr>
                <w:rFonts w:hint="eastAsia"/>
                <w:b/>
                <w:bCs/>
                <w:sz w:val="21"/>
                <w:szCs w:val="21"/>
              </w:rPr>
            </w:pPr>
          </w:p>
        </w:tc>
        <w:tc>
          <w:tcPr>
            <w:tcW w:w="1971" w:type="dxa"/>
            <w:noWrap w:val="0"/>
            <w:vAlign w:val="center"/>
          </w:tcPr>
          <w:p w14:paraId="0097D132">
            <w:pPr>
              <w:rPr>
                <w:rFonts w:hint="eastAsia"/>
                <w:b/>
                <w:bCs/>
                <w:sz w:val="21"/>
                <w:szCs w:val="21"/>
              </w:rPr>
            </w:pPr>
          </w:p>
        </w:tc>
        <w:tc>
          <w:tcPr>
            <w:tcW w:w="669" w:type="dxa"/>
            <w:noWrap w:val="0"/>
            <w:vAlign w:val="center"/>
          </w:tcPr>
          <w:p w14:paraId="61CD92FC">
            <w:pPr>
              <w:rPr>
                <w:rFonts w:hint="eastAsia"/>
                <w:b/>
                <w:bCs/>
                <w:sz w:val="21"/>
                <w:szCs w:val="21"/>
              </w:rPr>
            </w:pPr>
          </w:p>
        </w:tc>
        <w:tc>
          <w:tcPr>
            <w:tcW w:w="3611" w:type="dxa"/>
            <w:noWrap w:val="0"/>
            <w:vAlign w:val="center"/>
          </w:tcPr>
          <w:p w14:paraId="714E4D4A">
            <w:pPr>
              <w:rPr>
                <w:rFonts w:hint="eastAsia"/>
                <w:b/>
                <w:bCs/>
                <w:sz w:val="21"/>
                <w:szCs w:val="21"/>
              </w:rPr>
            </w:pPr>
          </w:p>
        </w:tc>
        <w:tc>
          <w:tcPr>
            <w:tcW w:w="912" w:type="dxa"/>
            <w:noWrap w:val="0"/>
            <w:vAlign w:val="center"/>
          </w:tcPr>
          <w:p w14:paraId="268246EB">
            <w:pPr>
              <w:rPr>
                <w:rFonts w:hint="eastAsia"/>
                <w:b/>
                <w:bCs/>
                <w:sz w:val="21"/>
                <w:szCs w:val="21"/>
              </w:rPr>
            </w:pPr>
          </w:p>
        </w:tc>
        <w:tc>
          <w:tcPr>
            <w:tcW w:w="1162" w:type="dxa"/>
            <w:noWrap w:val="0"/>
            <w:vAlign w:val="center"/>
          </w:tcPr>
          <w:p w14:paraId="5D7A1FA9">
            <w:pPr>
              <w:rPr>
                <w:rFonts w:hint="eastAsia"/>
                <w:b/>
                <w:bCs/>
                <w:sz w:val="21"/>
                <w:szCs w:val="21"/>
              </w:rPr>
            </w:pPr>
          </w:p>
        </w:tc>
        <w:tc>
          <w:tcPr>
            <w:tcW w:w="661" w:type="dxa"/>
            <w:noWrap w:val="0"/>
            <w:vAlign w:val="top"/>
          </w:tcPr>
          <w:p w14:paraId="3472DD64">
            <w:pPr>
              <w:rPr>
                <w:rFonts w:hint="eastAsia"/>
                <w:b/>
                <w:bCs/>
                <w:sz w:val="21"/>
                <w:szCs w:val="21"/>
              </w:rPr>
            </w:pPr>
          </w:p>
        </w:tc>
      </w:tr>
    </w:tbl>
    <w:p w14:paraId="22B36C3B">
      <w:pPr>
        <w:spacing w:line="360" w:lineRule="auto"/>
        <w:rPr>
          <w:rFonts w:hint="eastAsia" w:ascii="宋体" w:hAnsi="宋体"/>
          <w:spacing w:val="-6"/>
          <w:sz w:val="21"/>
          <w:szCs w:val="21"/>
        </w:rPr>
      </w:pPr>
    </w:p>
    <w:p w14:paraId="56125F3E">
      <w:pPr>
        <w:spacing w:line="360" w:lineRule="auto"/>
        <w:rPr>
          <w:rFonts w:ascii="宋体" w:hAnsi="宋体"/>
          <w:b/>
          <w:bCs/>
          <w:spacing w:val="-6"/>
          <w:sz w:val="21"/>
          <w:szCs w:val="21"/>
        </w:rPr>
      </w:pPr>
      <w:r>
        <w:rPr>
          <w:rFonts w:hint="eastAsia" w:ascii="宋体" w:hAnsi="宋体"/>
          <w:b/>
          <w:bCs/>
          <w:spacing w:val="-6"/>
          <w:sz w:val="21"/>
          <w:szCs w:val="21"/>
        </w:rPr>
        <w:t>备注：本表仅为方便评标委员会评审使用，不作为判别投标文件是否有效的依据。</w:t>
      </w:r>
    </w:p>
    <w:p w14:paraId="1CB294D5">
      <w:pPr>
        <w:autoSpaceDE w:val="0"/>
        <w:autoSpaceDN w:val="0"/>
        <w:adjustRightInd w:val="0"/>
        <w:snapToGrid w:val="0"/>
        <w:spacing w:before="10" w:after="120" w:afterLines="50"/>
        <w:ind w:left="140" w:leftChars="50" w:right="360"/>
        <w:rPr>
          <w:rFonts w:hint="eastAsia" w:ascii="仿宋_GB2312" w:hAnsi="仿宋_GB2312" w:eastAsia="仿宋_GB2312" w:cs="仿宋_GB2312"/>
          <w:b/>
        </w:rPr>
      </w:pPr>
    </w:p>
    <w:p w14:paraId="60600AFB">
      <w:pPr>
        <w:spacing w:line="360" w:lineRule="auto"/>
        <w:rPr>
          <w:rFonts w:ascii="宋体" w:hAnsi="宋体"/>
          <w:b/>
          <w:bCs/>
          <w:spacing w:val="-6"/>
          <w:sz w:val="21"/>
          <w:szCs w:val="21"/>
        </w:rPr>
      </w:pPr>
    </w:p>
    <w:p w14:paraId="34DCD72D">
      <w:pPr>
        <w:spacing w:line="360" w:lineRule="auto"/>
        <w:jc w:val="center"/>
        <w:outlineLvl w:val="1"/>
        <w:rPr>
          <w:rFonts w:hint="eastAsia" w:ascii="宋体" w:hAnsi="宋体"/>
          <w:bCs/>
          <w:spacing w:val="-6"/>
          <w:sz w:val="24"/>
        </w:rPr>
      </w:pPr>
      <w:r>
        <w:rPr>
          <w:rFonts w:hint="eastAsia" w:ascii="宋体" w:hAnsi="宋体"/>
          <w:b/>
          <w:spacing w:val="-6"/>
          <w:sz w:val="52"/>
          <w:szCs w:val="52"/>
        </w:rPr>
        <w:br w:type="page"/>
      </w:r>
      <w:r>
        <w:rPr>
          <w:rFonts w:hint="eastAsia" w:ascii="宋体" w:hAnsi="宋体"/>
          <w:b/>
          <w:spacing w:val="-6"/>
          <w:sz w:val="52"/>
          <w:szCs w:val="52"/>
        </w:rPr>
        <w:t>商务文件</w:t>
      </w:r>
    </w:p>
    <w:p w14:paraId="0FA4A19F">
      <w:pPr>
        <w:spacing w:line="360" w:lineRule="auto"/>
        <w:jc w:val="center"/>
        <w:outlineLvl w:val="2"/>
        <w:rPr>
          <w:rFonts w:hint="eastAsia" w:ascii="宋体" w:hAnsi="宋体"/>
          <w:b/>
          <w:spacing w:val="-6"/>
          <w:sz w:val="24"/>
        </w:rPr>
      </w:pPr>
      <w:r>
        <w:rPr>
          <w:rFonts w:hint="eastAsia" w:ascii="宋体" w:hAnsi="宋体"/>
          <w:b/>
          <w:spacing w:val="-6"/>
          <w:sz w:val="24"/>
        </w:rPr>
        <w:t>投标函</w:t>
      </w:r>
    </w:p>
    <w:p w14:paraId="3DED7CF3">
      <w:pPr>
        <w:spacing w:line="360" w:lineRule="auto"/>
        <w:rPr>
          <w:rFonts w:hint="eastAsia" w:ascii="宋体" w:hAnsi="宋体"/>
          <w:spacing w:val="-6"/>
          <w:sz w:val="21"/>
          <w:szCs w:val="21"/>
        </w:rPr>
      </w:pPr>
      <w:r>
        <w:rPr>
          <w:rFonts w:hint="eastAsia" w:ascii="宋体" w:hAnsi="宋体"/>
          <w:spacing w:val="-6"/>
          <w:sz w:val="21"/>
          <w:szCs w:val="21"/>
        </w:rPr>
        <w:t>致：</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p>
    <w:p w14:paraId="2DEF40A4">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根据贵方为</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r>
        <w:rPr>
          <w:rFonts w:hint="eastAsia" w:ascii="宋体" w:hAnsi="宋体"/>
          <w:bCs/>
          <w:spacing w:val="-6"/>
          <w:sz w:val="21"/>
          <w:szCs w:val="21"/>
        </w:rPr>
        <w:t>XXXXXX项目</w:t>
      </w:r>
      <w:r>
        <w:rPr>
          <w:rFonts w:hint="eastAsia" w:ascii="宋体" w:hAnsi="宋体"/>
          <w:spacing w:val="-6"/>
          <w:sz w:val="21"/>
          <w:szCs w:val="21"/>
        </w:rPr>
        <w:t>的投标邀请【项目编号</w:t>
      </w:r>
      <w:r>
        <w:rPr>
          <w:rFonts w:hint="eastAsia" w:ascii="宋体" w:hAnsi="宋体"/>
          <w:bCs/>
          <w:spacing w:val="-6"/>
          <w:sz w:val="21"/>
          <w:szCs w:val="21"/>
        </w:rPr>
        <w:t>：XXXXXX】</w:t>
      </w:r>
      <w:r>
        <w:rPr>
          <w:rFonts w:hint="eastAsia" w:ascii="宋体" w:hAnsi="宋体"/>
          <w:spacing w:val="-6"/>
          <w:sz w:val="21"/>
          <w:szCs w:val="21"/>
        </w:rPr>
        <w:t>，签字代表</w:t>
      </w:r>
      <w:r>
        <w:rPr>
          <w:rFonts w:hint="eastAsia" w:ascii="宋体" w:hAnsi="宋体"/>
          <w:bCs/>
          <w:spacing w:val="-6"/>
          <w:sz w:val="21"/>
          <w:szCs w:val="21"/>
        </w:rPr>
        <w:t>____________</w:t>
      </w:r>
      <w:r>
        <w:rPr>
          <w:rFonts w:hint="eastAsia" w:ascii="宋体" w:hAnsi="宋体"/>
          <w:spacing w:val="-6"/>
          <w:sz w:val="21"/>
          <w:szCs w:val="21"/>
        </w:rPr>
        <w:t>（全名）经正式授权并代表投标人</w:t>
      </w:r>
      <w:r>
        <w:rPr>
          <w:rFonts w:hint="eastAsia" w:ascii="宋体" w:hAnsi="宋体"/>
          <w:bCs/>
          <w:spacing w:val="-6"/>
          <w:sz w:val="21"/>
          <w:szCs w:val="21"/>
        </w:rPr>
        <w:t>____________________（</w:t>
      </w:r>
      <w:r>
        <w:rPr>
          <w:rFonts w:hint="eastAsia" w:ascii="宋体" w:hAnsi="宋体"/>
          <w:spacing w:val="-6"/>
          <w:sz w:val="21"/>
          <w:szCs w:val="21"/>
        </w:rPr>
        <w:t>投标人名称）提交投标文件正本一份、副本___份。</w:t>
      </w:r>
    </w:p>
    <w:p w14:paraId="6E2CC75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据此函，签字代表宣布同意如下：</w:t>
      </w:r>
    </w:p>
    <w:p w14:paraId="39192A9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投标人已详细审查全部“招标文件”，包括修改文件（如有）以及全部参考资料和有关附件，已经了解我方对于招标文件、招标过程、中标结果有依法进行询问、异议的权利及相关渠道和要求。</w:t>
      </w:r>
    </w:p>
    <w:p w14:paraId="73FF0BFE">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投标人在投标之前已经与贵方进行了充分的沟通，完全理解并接受招标文件的各项规定和要求，对招标文件的合理性、合法性不再有异议。</w:t>
      </w:r>
    </w:p>
    <w:p w14:paraId="4087DD8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投标有效期自提交投标文件的截止之日起</w:t>
      </w:r>
      <w:r>
        <w:rPr>
          <w:rFonts w:hint="eastAsia" w:ascii="宋体" w:hAnsi="宋体"/>
          <w:bCs/>
          <w:spacing w:val="-6"/>
          <w:sz w:val="21"/>
          <w:szCs w:val="21"/>
          <w:u w:val="single"/>
        </w:rPr>
        <w:t xml:space="preserve"> 90</w:t>
      </w:r>
      <w:r>
        <w:rPr>
          <w:rFonts w:ascii="宋体" w:hAnsi="宋体"/>
          <w:bCs/>
          <w:spacing w:val="-6"/>
          <w:sz w:val="21"/>
          <w:szCs w:val="21"/>
          <w:u w:val="single"/>
        </w:rPr>
        <w:t xml:space="preserve"> </w:t>
      </w:r>
      <w:r>
        <w:rPr>
          <w:rFonts w:hint="eastAsia" w:ascii="宋体" w:hAnsi="宋体"/>
          <w:spacing w:val="-6"/>
          <w:sz w:val="21"/>
          <w:szCs w:val="21"/>
        </w:rPr>
        <w:t>天。</w:t>
      </w:r>
    </w:p>
    <w:p w14:paraId="597AC1E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如中标，本投标文件至本项目合同履行完毕止均保持有效，本投标人将按“招标文件”及相关法律、法规的规定履行合同责任和义务。</w:t>
      </w:r>
    </w:p>
    <w:p w14:paraId="71B7EA7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5</w:t>
      </w:r>
      <w:r>
        <w:rPr>
          <w:rFonts w:ascii="宋体" w:hAnsi="宋体"/>
          <w:spacing w:val="-6"/>
          <w:sz w:val="21"/>
          <w:szCs w:val="21"/>
        </w:rPr>
        <w:t>.</w:t>
      </w:r>
      <w:r>
        <w:rPr>
          <w:rFonts w:hint="eastAsia" w:ascii="宋体" w:hAnsi="宋体"/>
          <w:spacing w:val="-6"/>
          <w:sz w:val="21"/>
          <w:szCs w:val="21"/>
        </w:rPr>
        <w:t>投标人同意按照贵方要求提供与投标有关的一切数据或资料，绝无任何虚假、伪造和夸大的成份，并接受招标文件提出的核查要求，否则，愿承担相应的后果和法律责任。</w:t>
      </w:r>
    </w:p>
    <w:p w14:paraId="4271F4D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6</w:t>
      </w:r>
      <w:r>
        <w:rPr>
          <w:rFonts w:ascii="宋体" w:hAnsi="宋体"/>
          <w:spacing w:val="-6"/>
          <w:sz w:val="21"/>
          <w:szCs w:val="21"/>
        </w:rPr>
        <w:t>.</w:t>
      </w:r>
      <w:r>
        <w:rPr>
          <w:rFonts w:hint="eastAsia" w:ascii="宋体" w:hAnsi="宋体"/>
          <w:spacing w:val="-6"/>
          <w:sz w:val="21"/>
          <w:szCs w:val="21"/>
        </w:rPr>
        <w:t>与本投标有关的一切正式往来信函请寄：</w:t>
      </w:r>
    </w:p>
    <w:p w14:paraId="526BB23C">
      <w:pPr>
        <w:spacing w:line="360" w:lineRule="auto"/>
        <w:ind w:firstLine="396" w:firstLineChars="200"/>
        <w:rPr>
          <w:rFonts w:ascii="宋体" w:hAnsi="宋体"/>
          <w:spacing w:val="-6"/>
          <w:sz w:val="21"/>
          <w:szCs w:val="21"/>
        </w:rPr>
      </w:pPr>
      <w:r>
        <w:rPr>
          <w:rFonts w:hint="eastAsia" w:ascii="宋体" w:hAnsi="宋体"/>
          <w:spacing w:val="-6"/>
          <w:sz w:val="21"/>
          <w:szCs w:val="21"/>
        </w:rPr>
        <w:t xml:space="preserve">地址：                         </w:t>
      </w:r>
      <w:r>
        <w:rPr>
          <w:rFonts w:ascii="宋体" w:hAnsi="宋体"/>
          <w:spacing w:val="-6"/>
          <w:sz w:val="21"/>
          <w:szCs w:val="21"/>
        </w:rPr>
        <w:t xml:space="preserve">     </w:t>
      </w:r>
      <w:r>
        <w:rPr>
          <w:rFonts w:hint="eastAsia" w:ascii="宋体" w:hAnsi="宋体"/>
          <w:spacing w:val="-6"/>
          <w:sz w:val="21"/>
          <w:szCs w:val="21"/>
        </w:rPr>
        <w:t>邮编：</w:t>
      </w:r>
      <w:r>
        <w:rPr>
          <w:rFonts w:hint="eastAsia" w:ascii="宋体" w:hAnsi="宋体"/>
          <w:spacing w:val="-6"/>
          <w:sz w:val="21"/>
          <w:szCs w:val="21"/>
          <w:u w:val="single"/>
        </w:rPr>
        <w:t xml:space="preserve">                         </w:t>
      </w:r>
    </w:p>
    <w:p w14:paraId="66A3B1E7">
      <w:pPr>
        <w:spacing w:line="360" w:lineRule="auto"/>
        <w:ind w:firstLine="396" w:firstLineChars="200"/>
        <w:rPr>
          <w:rFonts w:hint="eastAsia" w:ascii="宋体" w:hAnsi="宋体"/>
          <w:spacing w:val="-6"/>
          <w:sz w:val="21"/>
          <w:szCs w:val="21"/>
          <w:u w:val="single"/>
        </w:rPr>
      </w:pPr>
      <w:r>
        <w:rPr>
          <w:rFonts w:hint="eastAsia" w:ascii="宋体" w:hAnsi="宋体"/>
          <w:spacing w:val="-6"/>
          <w:sz w:val="21"/>
          <w:szCs w:val="21"/>
        </w:rPr>
        <w:t xml:space="preserve">电话：                         </w:t>
      </w:r>
      <w:r>
        <w:rPr>
          <w:rFonts w:ascii="宋体" w:hAnsi="宋体"/>
          <w:spacing w:val="-6"/>
          <w:sz w:val="21"/>
          <w:szCs w:val="21"/>
        </w:rPr>
        <w:t xml:space="preserve">     </w:t>
      </w:r>
      <w:r>
        <w:rPr>
          <w:rFonts w:hint="eastAsia" w:ascii="宋体" w:hAnsi="宋体"/>
          <w:spacing w:val="-6"/>
          <w:sz w:val="21"/>
          <w:szCs w:val="21"/>
        </w:rPr>
        <w:t xml:space="preserve">传真：                         </w:t>
      </w:r>
    </w:p>
    <w:p w14:paraId="41191BEE">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 xml:space="preserve">投标人代表姓名：               </w:t>
      </w:r>
      <w:r>
        <w:rPr>
          <w:rFonts w:ascii="宋体" w:hAnsi="宋体"/>
          <w:spacing w:val="-6"/>
          <w:sz w:val="21"/>
          <w:szCs w:val="21"/>
        </w:rPr>
        <w:t xml:space="preserve">     </w:t>
      </w:r>
      <w:r>
        <w:rPr>
          <w:rFonts w:hint="eastAsia" w:ascii="宋体" w:hAnsi="宋体"/>
          <w:spacing w:val="-6"/>
          <w:sz w:val="21"/>
          <w:szCs w:val="21"/>
        </w:rPr>
        <w:t xml:space="preserve">职务：                        </w:t>
      </w:r>
    </w:p>
    <w:p w14:paraId="23B4925D">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开户银行：</w:t>
      </w:r>
    </w:p>
    <w:p w14:paraId="01CF283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银行账号：</w:t>
      </w:r>
    </w:p>
    <w:p w14:paraId="193C1AF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户名：</w:t>
      </w:r>
    </w:p>
    <w:p w14:paraId="58137ADD">
      <w:pPr>
        <w:spacing w:line="360" w:lineRule="auto"/>
        <w:rPr>
          <w:rFonts w:hint="eastAsia" w:ascii="宋体" w:hAnsi="宋体"/>
          <w:spacing w:val="-6"/>
          <w:sz w:val="21"/>
          <w:szCs w:val="21"/>
        </w:rPr>
      </w:pPr>
    </w:p>
    <w:p w14:paraId="7E2DE51B">
      <w:pPr>
        <w:spacing w:line="360" w:lineRule="auto"/>
        <w:rPr>
          <w:rFonts w:hint="eastAsia" w:ascii="宋体" w:hAnsi="宋体"/>
          <w:spacing w:val="-6"/>
          <w:sz w:val="21"/>
          <w:szCs w:val="21"/>
        </w:rPr>
      </w:pPr>
    </w:p>
    <w:p w14:paraId="693A9316">
      <w:pPr>
        <w:spacing w:line="360" w:lineRule="auto"/>
        <w:rPr>
          <w:rFonts w:hint="eastAsia" w:ascii="宋体" w:hAnsi="宋体"/>
          <w:spacing w:val="-6"/>
          <w:sz w:val="21"/>
          <w:szCs w:val="21"/>
        </w:rPr>
      </w:pPr>
      <w:r>
        <w:rPr>
          <w:rFonts w:hint="eastAsia" w:ascii="宋体" w:hAnsi="宋体"/>
          <w:spacing w:val="-6"/>
          <w:sz w:val="21"/>
          <w:szCs w:val="21"/>
        </w:rPr>
        <w:t>投标人名称（盖章）：</w:t>
      </w:r>
    </w:p>
    <w:p w14:paraId="6ED1CA49">
      <w:pPr>
        <w:spacing w:line="360" w:lineRule="auto"/>
        <w:rPr>
          <w:rFonts w:hint="eastAsia"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324F890F">
      <w:pPr>
        <w:spacing w:line="360" w:lineRule="auto"/>
        <w:jc w:val="center"/>
        <w:outlineLvl w:val="2"/>
        <w:rPr>
          <w:rFonts w:hint="eastAsia" w:ascii="宋体" w:hAnsi="宋体"/>
          <w:bCs/>
          <w:spacing w:val="-6"/>
          <w:sz w:val="24"/>
        </w:rPr>
      </w:pPr>
      <w:r>
        <w:rPr>
          <w:rFonts w:hint="eastAsia" w:ascii="宋体" w:hAnsi="宋体"/>
          <w:bCs/>
          <w:spacing w:val="-6"/>
          <w:sz w:val="24"/>
        </w:rPr>
        <w:br w:type="page"/>
      </w:r>
      <w:r>
        <w:rPr>
          <w:rFonts w:hint="eastAsia" w:ascii="宋体" w:hAnsi="宋体"/>
          <w:b/>
          <w:spacing w:val="-6"/>
          <w:sz w:val="24"/>
        </w:rPr>
        <w:t>承诺函</w:t>
      </w:r>
    </w:p>
    <w:p w14:paraId="5749DFF9">
      <w:pPr>
        <w:spacing w:line="360" w:lineRule="auto"/>
        <w:rPr>
          <w:rFonts w:hint="eastAsia" w:ascii="宋体" w:hAnsi="宋体"/>
          <w:spacing w:val="-6"/>
          <w:sz w:val="21"/>
          <w:szCs w:val="21"/>
        </w:rPr>
      </w:pPr>
      <w:r>
        <w:rPr>
          <w:rFonts w:hint="eastAsia" w:ascii="宋体" w:hAnsi="宋体"/>
          <w:spacing w:val="-6"/>
          <w:sz w:val="21"/>
          <w:szCs w:val="21"/>
        </w:rPr>
        <w:t>致：</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p>
    <w:p w14:paraId="50CCE61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我方了解了本次公开招标的条件、要求以及办法后，愿意参加贵方的XXXXXX项目的投标，并按公开招标文件要求提出相应的投标方案。</w:t>
      </w:r>
    </w:p>
    <w:p w14:paraId="2299197A">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我方一旦中标，在签订正式合同文本之前，本投标文件、应贵方要求的补充应答（或澄清说明）、连同贵方的招标文件应成为约束我方的文件。</w:t>
      </w:r>
    </w:p>
    <w:p w14:paraId="3B7702B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我方在投标过程中所了解的XXXXXXX项目相关的任何信息资料，不论是何种载体或以何种方式传递的信息，仅限于本次投标所用，我方承诺不会将此类信息用于任何与本次投标无关的用途。</w:t>
      </w:r>
    </w:p>
    <w:p w14:paraId="6CFD8DE1">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我方对本次投标所提供的全部信息的真实、准确负责。</w:t>
      </w:r>
    </w:p>
    <w:p w14:paraId="1B39E6F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我方也完全理解，贵方有权选择任何贵方可能收到的投标方案。</w:t>
      </w:r>
    </w:p>
    <w:p w14:paraId="697DFFDE">
      <w:pPr>
        <w:spacing w:line="360" w:lineRule="auto"/>
        <w:rPr>
          <w:rFonts w:hint="eastAsia" w:ascii="华文楷体" w:hAnsi="华文楷体" w:eastAsia="华文楷体"/>
          <w:sz w:val="21"/>
          <w:szCs w:val="21"/>
        </w:rPr>
      </w:pPr>
    </w:p>
    <w:p w14:paraId="410F53EA">
      <w:pPr>
        <w:spacing w:line="360" w:lineRule="auto"/>
        <w:rPr>
          <w:rFonts w:hint="eastAsia" w:ascii="华文楷体" w:hAnsi="华文楷体" w:eastAsia="华文楷体"/>
          <w:sz w:val="21"/>
          <w:szCs w:val="21"/>
        </w:rPr>
      </w:pPr>
    </w:p>
    <w:p w14:paraId="0F8E8FD1">
      <w:pPr>
        <w:spacing w:line="360" w:lineRule="auto"/>
        <w:rPr>
          <w:rFonts w:hint="eastAsia" w:ascii="华文楷体" w:hAnsi="华文楷体" w:eastAsia="华文楷体"/>
          <w:sz w:val="21"/>
          <w:szCs w:val="21"/>
        </w:rPr>
      </w:pPr>
    </w:p>
    <w:p w14:paraId="60E315B0">
      <w:pPr>
        <w:spacing w:line="360" w:lineRule="auto"/>
        <w:rPr>
          <w:rFonts w:hint="eastAsia" w:ascii="宋体" w:hAnsi="宋体"/>
          <w:spacing w:val="-6"/>
          <w:sz w:val="21"/>
          <w:szCs w:val="21"/>
        </w:rPr>
      </w:pPr>
      <w:r>
        <w:rPr>
          <w:rFonts w:hint="eastAsia" w:ascii="宋体" w:hAnsi="宋体"/>
          <w:spacing w:val="-6"/>
          <w:sz w:val="21"/>
          <w:szCs w:val="21"/>
        </w:rPr>
        <w:t>投标人名称（盖章）：</w:t>
      </w:r>
    </w:p>
    <w:p w14:paraId="490F37C2">
      <w:pPr>
        <w:spacing w:line="360" w:lineRule="auto"/>
        <w:rPr>
          <w:rFonts w:hint="eastAsia" w:ascii="宋体" w:hAnsi="宋体"/>
          <w:bCs/>
          <w:spacing w:val="-6"/>
          <w:sz w:val="21"/>
          <w:szCs w:val="21"/>
        </w:rPr>
      </w:pPr>
    </w:p>
    <w:p w14:paraId="2A51EFB4">
      <w:pPr>
        <w:spacing w:line="360" w:lineRule="auto"/>
        <w:rPr>
          <w:rFonts w:hint="eastAsia"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6B0F1140">
      <w:pPr>
        <w:ind w:firstLine="480" w:firstLineChars="200"/>
        <w:rPr>
          <w:rFonts w:ascii="华文楷体" w:hAnsi="华文楷体" w:eastAsia="华文楷体"/>
          <w:sz w:val="24"/>
        </w:rPr>
      </w:pPr>
    </w:p>
    <w:p w14:paraId="33DA54DC">
      <w:pPr>
        <w:spacing w:line="360" w:lineRule="auto"/>
        <w:jc w:val="center"/>
        <w:outlineLvl w:val="2"/>
        <w:rPr>
          <w:rFonts w:hint="eastAsia" w:ascii="宋体" w:hAnsi="宋体"/>
          <w:b/>
          <w:spacing w:val="-6"/>
          <w:sz w:val="24"/>
        </w:rPr>
      </w:pPr>
      <w:r>
        <w:rPr>
          <w:rFonts w:ascii="宋体" w:hAnsi="宋体"/>
          <w:b/>
          <w:spacing w:val="-6"/>
          <w:sz w:val="24"/>
        </w:rPr>
        <w:br w:type="page"/>
      </w:r>
      <w:r>
        <w:rPr>
          <w:rFonts w:hint="eastAsia" w:ascii="宋体" w:hAnsi="宋体"/>
          <w:b/>
          <w:spacing w:val="-6"/>
          <w:sz w:val="24"/>
        </w:rPr>
        <w:t>法定代表人资格证明书</w:t>
      </w:r>
    </w:p>
    <w:p w14:paraId="61BBFA1D">
      <w:pPr>
        <w:spacing w:line="360" w:lineRule="auto"/>
        <w:rPr>
          <w:rFonts w:hint="eastAsia" w:ascii="宋体" w:hAnsi="宋体" w:eastAsia="宋体"/>
          <w:bCs/>
          <w:spacing w:val="-6"/>
          <w:sz w:val="21"/>
          <w:szCs w:val="21"/>
          <w:lang w:eastAsia="zh-CN"/>
        </w:rPr>
      </w:pPr>
      <w:r>
        <w:rPr>
          <w:rFonts w:hint="eastAsia" w:ascii="宋体" w:hAnsi="宋体"/>
          <w:bCs/>
          <w:spacing w:val="-6"/>
          <w:sz w:val="21"/>
          <w:szCs w:val="21"/>
        </w:rPr>
        <w:t>致：浙商银行股份有限公司</w:t>
      </w:r>
      <w:r>
        <w:rPr>
          <w:rFonts w:hint="eastAsia" w:ascii="宋体" w:hAnsi="宋体"/>
          <w:bCs/>
          <w:spacing w:val="-6"/>
          <w:sz w:val="21"/>
          <w:szCs w:val="21"/>
          <w:lang w:val="en-US" w:eastAsia="zh-CN"/>
        </w:rPr>
        <w:t>济南分行</w:t>
      </w:r>
      <w:r>
        <w:rPr>
          <w:rFonts w:hint="eastAsia" w:ascii="宋体" w:hAnsi="宋体"/>
          <w:bCs/>
          <w:spacing w:val="-6"/>
          <w:sz w:val="21"/>
          <w:szCs w:val="21"/>
        </w:rPr>
        <w:t>、</w:t>
      </w:r>
      <w:r>
        <w:rPr>
          <w:rFonts w:hint="eastAsia" w:ascii="宋体" w:hAnsi="宋体"/>
          <w:bCs/>
          <w:spacing w:val="-6"/>
          <w:sz w:val="21"/>
          <w:szCs w:val="21"/>
          <w:lang w:val="en-US" w:eastAsia="zh-CN"/>
        </w:rPr>
        <w:t>公诚管理咨询有限公司</w:t>
      </w:r>
    </w:p>
    <w:p w14:paraId="4B29CC9F">
      <w:pPr>
        <w:spacing w:line="360" w:lineRule="auto"/>
        <w:ind w:firstLine="396" w:firstLineChars="200"/>
        <w:rPr>
          <w:rFonts w:hint="eastAsia" w:ascii="宋体" w:hAnsi="宋体"/>
          <w:bCs/>
          <w:spacing w:val="-6"/>
          <w:sz w:val="21"/>
          <w:szCs w:val="21"/>
        </w:rPr>
      </w:pPr>
      <w:r>
        <w:rPr>
          <w:rFonts w:hint="eastAsia" w:ascii="宋体" w:hAnsi="宋体"/>
          <w:bCs/>
          <w:spacing w:val="-6"/>
          <w:sz w:val="21"/>
          <w:szCs w:val="21"/>
        </w:rPr>
        <w:t>我</w:t>
      </w:r>
      <w:r>
        <w:rPr>
          <w:rFonts w:ascii="宋体" w:hAnsi="宋体"/>
          <w:spacing w:val="-6"/>
          <w:sz w:val="21"/>
          <w:szCs w:val="21"/>
        </w:rPr>
        <w:t>________________</w:t>
      </w:r>
      <w:r>
        <w:rPr>
          <w:rFonts w:ascii="宋体" w:hAnsi="宋体"/>
          <w:bCs/>
          <w:spacing w:val="-6"/>
          <w:sz w:val="21"/>
          <w:szCs w:val="21"/>
        </w:rPr>
        <w:t>（姓名）系</w:t>
      </w:r>
      <w:r>
        <w:rPr>
          <w:rFonts w:hint="eastAsia" w:ascii="宋体" w:hAnsi="宋体"/>
          <w:bCs/>
          <w:spacing w:val="-6"/>
          <w:sz w:val="21"/>
          <w:szCs w:val="21"/>
        </w:rPr>
        <w:t>_________________________（投标人名称）</w:t>
      </w:r>
      <w:r>
        <w:rPr>
          <w:rFonts w:ascii="宋体" w:hAnsi="宋体"/>
          <w:bCs/>
          <w:spacing w:val="-6"/>
          <w:sz w:val="21"/>
          <w:szCs w:val="21"/>
        </w:rPr>
        <w:t>的</w:t>
      </w:r>
      <w:r>
        <w:rPr>
          <w:rFonts w:hint="eastAsia" w:ascii="宋体" w:hAnsi="宋体"/>
          <w:bCs/>
          <w:spacing w:val="-6"/>
          <w:sz w:val="21"/>
          <w:szCs w:val="21"/>
        </w:rPr>
        <w:t>法定代表人</w:t>
      </w:r>
      <w:r>
        <w:rPr>
          <w:rFonts w:ascii="宋体" w:hAnsi="宋体"/>
          <w:bCs/>
          <w:spacing w:val="-6"/>
          <w:sz w:val="21"/>
          <w:szCs w:val="21"/>
        </w:rPr>
        <w:t>，身份证</w:t>
      </w:r>
      <w:r>
        <w:rPr>
          <w:rFonts w:hint="eastAsia" w:ascii="宋体" w:hAnsi="宋体"/>
          <w:bCs/>
          <w:spacing w:val="-6"/>
          <w:sz w:val="21"/>
          <w:szCs w:val="21"/>
        </w:rPr>
        <w:t>号码：_________________________________。</w:t>
      </w:r>
    </w:p>
    <w:p w14:paraId="13103C91">
      <w:pPr>
        <w:spacing w:line="360" w:lineRule="auto"/>
        <w:ind w:firstLine="396" w:firstLineChars="200"/>
        <w:rPr>
          <w:rFonts w:hint="eastAsia" w:ascii="宋体" w:hAnsi="宋体"/>
          <w:bCs/>
          <w:spacing w:val="-6"/>
          <w:sz w:val="21"/>
          <w:szCs w:val="21"/>
        </w:rPr>
      </w:pPr>
      <w:r>
        <w:rPr>
          <w:rFonts w:ascii="宋体" w:hAnsi="宋体"/>
          <w:bCs/>
          <w:spacing w:val="-6"/>
          <w:sz w:val="21"/>
          <w:szCs w:val="21"/>
        </w:rPr>
        <w:t>特此证明。</w:t>
      </w:r>
    </w:p>
    <w:p w14:paraId="686E92D0">
      <w:pPr>
        <w:spacing w:line="360" w:lineRule="auto"/>
        <w:rPr>
          <w:rFonts w:hint="eastAsia" w:ascii="宋体" w:hAnsi="宋体"/>
          <w:bCs/>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14:paraId="4F659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9628" w:type="dxa"/>
            <w:noWrap w:val="0"/>
            <w:vAlign w:val="center"/>
          </w:tcPr>
          <w:p w14:paraId="2328484E">
            <w:pPr>
              <w:spacing w:line="360" w:lineRule="auto"/>
              <w:jc w:val="center"/>
              <w:rPr>
                <w:rFonts w:hint="eastAsia" w:ascii="新宋体" w:hAnsi="新宋体" w:eastAsia="新宋体"/>
                <w:sz w:val="21"/>
                <w:szCs w:val="21"/>
              </w:rPr>
            </w:pPr>
            <w:r>
              <w:rPr>
                <w:rFonts w:hint="eastAsia" w:ascii="新宋体" w:hAnsi="新宋体" w:eastAsia="新宋体"/>
                <w:sz w:val="21"/>
                <w:szCs w:val="21"/>
              </w:rPr>
              <w:t>法定代表人身份证复印件粘贴处</w:t>
            </w:r>
          </w:p>
          <w:p w14:paraId="5151F39D">
            <w:pPr>
              <w:spacing w:line="360" w:lineRule="auto"/>
              <w:jc w:val="center"/>
              <w:rPr>
                <w:rFonts w:hint="eastAsia" w:ascii="宋体" w:hAnsi="宋体"/>
                <w:sz w:val="21"/>
                <w:szCs w:val="21"/>
              </w:rPr>
            </w:pPr>
            <w:r>
              <w:rPr>
                <w:rFonts w:hint="eastAsia" w:ascii="新宋体" w:hAnsi="新宋体" w:eastAsia="新宋体"/>
                <w:sz w:val="21"/>
                <w:szCs w:val="21"/>
              </w:rPr>
              <w:t>（正面）                                  （反面）</w:t>
            </w:r>
          </w:p>
        </w:tc>
      </w:tr>
    </w:tbl>
    <w:p w14:paraId="44CF47B0">
      <w:pPr>
        <w:spacing w:line="360" w:lineRule="auto"/>
        <w:rPr>
          <w:rFonts w:hint="eastAsia" w:ascii="宋体" w:hAnsi="宋体"/>
          <w:bCs/>
          <w:spacing w:val="-6"/>
          <w:sz w:val="21"/>
          <w:szCs w:val="21"/>
        </w:rPr>
      </w:pPr>
    </w:p>
    <w:p w14:paraId="171AE8B5">
      <w:pPr>
        <w:spacing w:line="360" w:lineRule="auto"/>
        <w:rPr>
          <w:rFonts w:hint="eastAsia" w:ascii="宋体" w:hAnsi="宋体"/>
          <w:b/>
          <w:bCs/>
          <w:spacing w:val="-6"/>
          <w:sz w:val="21"/>
          <w:szCs w:val="21"/>
        </w:rPr>
      </w:pPr>
    </w:p>
    <w:p w14:paraId="10FEB213">
      <w:pPr>
        <w:spacing w:line="360" w:lineRule="auto"/>
        <w:rPr>
          <w:rFonts w:ascii="宋体" w:hAnsi="宋体"/>
          <w:b/>
          <w:bCs/>
          <w:spacing w:val="-6"/>
          <w:sz w:val="21"/>
          <w:szCs w:val="21"/>
        </w:rPr>
      </w:pPr>
    </w:p>
    <w:p w14:paraId="7CD45AC8">
      <w:pPr>
        <w:spacing w:line="360" w:lineRule="auto"/>
        <w:rPr>
          <w:rFonts w:ascii="宋体" w:hAnsi="宋体"/>
          <w:spacing w:val="-6"/>
          <w:sz w:val="21"/>
          <w:szCs w:val="21"/>
        </w:rPr>
      </w:pPr>
      <w:r>
        <w:rPr>
          <w:rFonts w:hint="eastAsia" w:ascii="宋体" w:hAnsi="宋体"/>
          <w:spacing w:val="-6"/>
          <w:sz w:val="21"/>
          <w:szCs w:val="21"/>
        </w:rPr>
        <w:t>投标人名称（盖章）：</w:t>
      </w:r>
    </w:p>
    <w:p w14:paraId="267B0CB0">
      <w:pPr>
        <w:spacing w:line="360" w:lineRule="auto"/>
        <w:rPr>
          <w:rFonts w:hint="eastAsia" w:ascii="宋体" w:hAnsi="宋体"/>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58788C16">
      <w:pPr>
        <w:spacing w:line="360" w:lineRule="auto"/>
        <w:jc w:val="center"/>
        <w:outlineLvl w:val="2"/>
        <w:rPr>
          <w:rFonts w:hint="eastAsia" w:ascii="宋体" w:hAnsi="宋体"/>
          <w:b/>
          <w:spacing w:val="-6"/>
          <w:sz w:val="24"/>
        </w:rPr>
      </w:pPr>
      <w:r>
        <w:rPr>
          <w:rFonts w:ascii="宋体" w:hAnsi="宋体"/>
          <w:b/>
          <w:spacing w:val="-6"/>
          <w:sz w:val="24"/>
        </w:rPr>
        <w:br w:type="page"/>
      </w:r>
      <w:r>
        <w:rPr>
          <w:rFonts w:hint="eastAsia" w:ascii="宋体" w:hAnsi="宋体"/>
          <w:b/>
          <w:spacing w:val="-6"/>
          <w:sz w:val="24"/>
        </w:rPr>
        <w:t>法定代表人授权委托书</w:t>
      </w:r>
    </w:p>
    <w:p w14:paraId="108E4DEE">
      <w:pPr>
        <w:spacing w:line="360" w:lineRule="auto"/>
        <w:rPr>
          <w:rFonts w:hint="eastAsia" w:ascii="宋体" w:hAnsi="宋体" w:eastAsia="宋体" w:cs="宋体"/>
          <w:b/>
          <w:bCs/>
          <w:spacing w:val="-6"/>
          <w:sz w:val="21"/>
          <w:szCs w:val="21"/>
          <w:lang w:eastAsia="zh-CN"/>
        </w:rPr>
      </w:pPr>
      <w:r>
        <w:rPr>
          <w:rFonts w:hint="eastAsia" w:ascii="宋体" w:hAnsi="宋体" w:cs="宋体"/>
          <w:bCs/>
          <w:spacing w:val="-6"/>
          <w:sz w:val="21"/>
          <w:szCs w:val="21"/>
        </w:rPr>
        <w:t>致：</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r>
        <w:rPr>
          <w:rFonts w:hint="eastAsia" w:ascii="宋体" w:hAnsi="宋体"/>
          <w:bCs/>
          <w:spacing w:val="-6"/>
          <w:sz w:val="21"/>
          <w:szCs w:val="21"/>
        </w:rPr>
        <w:t>、</w:t>
      </w:r>
      <w:r>
        <w:rPr>
          <w:rFonts w:hint="eastAsia" w:ascii="宋体" w:hAnsi="宋体"/>
          <w:bCs/>
          <w:spacing w:val="-6"/>
          <w:sz w:val="21"/>
          <w:szCs w:val="21"/>
          <w:lang w:val="en-US" w:eastAsia="zh-CN"/>
        </w:rPr>
        <w:t>公诚管理咨询有限公司</w:t>
      </w:r>
    </w:p>
    <w:p w14:paraId="2C0C6A47">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本授权书声明：</w:t>
      </w:r>
      <w:r>
        <w:rPr>
          <w:rFonts w:hint="eastAsia" w:ascii="宋体" w:hAnsi="宋体" w:cs="宋体"/>
          <w:spacing w:val="-6"/>
          <w:sz w:val="21"/>
          <w:szCs w:val="21"/>
          <w:u w:val="single"/>
        </w:rPr>
        <w:t>（投标人名称）</w:t>
      </w:r>
      <w:r>
        <w:rPr>
          <w:rFonts w:hint="eastAsia" w:ascii="宋体" w:hAnsi="宋体" w:cs="宋体"/>
          <w:spacing w:val="-6"/>
          <w:sz w:val="21"/>
          <w:szCs w:val="21"/>
        </w:rPr>
        <w:t>，由法定代表人</w:t>
      </w:r>
      <w:r>
        <w:rPr>
          <w:rFonts w:hint="eastAsia" w:ascii="宋体" w:hAnsi="宋体" w:cs="宋体"/>
          <w:spacing w:val="-6"/>
          <w:sz w:val="21"/>
          <w:szCs w:val="21"/>
          <w:u w:val="single"/>
        </w:rPr>
        <w:t>（法定代表人姓名）</w:t>
      </w:r>
      <w:r>
        <w:rPr>
          <w:rFonts w:hint="eastAsia" w:ascii="宋体" w:hAnsi="宋体" w:cs="宋体"/>
          <w:spacing w:val="-6"/>
          <w:sz w:val="21"/>
          <w:szCs w:val="21"/>
        </w:rPr>
        <w:t>代表本公司授权</w:t>
      </w:r>
      <w:r>
        <w:rPr>
          <w:rFonts w:hint="eastAsia" w:ascii="宋体" w:hAnsi="宋体" w:cs="宋体"/>
          <w:spacing w:val="-6"/>
          <w:sz w:val="21"/>
          <w:szCs w:val="21"/>
          <w:u w:val="single"/>
        </w:rPr>
        <w:t>（授权代表姓名）</w:t>
      </w:r>
      <w:r>
        <w:rPr>
          <w:rFonts w:hint="eastAsia" w:ascii="宋体" w:hAnsi="宋体" w:cs="宋体"/>
          <w:spacing w:val="-6"/>
          <w:sz w:val="21"/>
          <w:szCs w:val="21"/>
        </w:rPr>
        <w:t>为本公司的合法代理人，就浙商银行股份有限公司</w:t>
      </w:r>
      <w:r>
        <w:rPr>
          <w:rFonts w:hint="eastAsia" w:ascii="宋体" w:hAnsi="宋体" w:cs="宋体"/>
          <w:spacing w:val="-6"/>
          <w:sz w:val="21"/>
          <w:szCs w:val="21"/>
          <w:u w:val="single"/>
        </w:rPr>
        <w:t xml:space="preserve">        </w:t>
      </w:r>
      <w:r>
        <w:rPr>
          <w:rFonts w:hint="eastAsia" w:ascii="宋体" w:hAnsi="宋体" w:cs="宋体"/>
          <w:spacing w:val="-6"/>
          <w:sz w:val="21"/>
          <w:szCs w:val="21"/>
        </w:rPr>
        <w:t>项目的投标，授权代表有权代表本公司以本公司名义处理一切与之有关的事务。</w:t>
      </w:r>
    </w:p>
    <w:p w14:paraId="7D60ADEF">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本授权书于    年   月   日签字生效，特此申明。</w:t>
      </w:r>
    </w:p>
    <w:p w14:paraId="5CC219D2">
      <w:pPr>
        <w:spacing w:line="360" w:lineRule="auto"/>
        <w:ind w:firstLine="396" w:firstLineChars="200"/>
        <w:rPr>
          <w:rFonts w:hint="eastAsia" w:ascii="宋体" w:hAnsi="宋体" w:cs="宋体"/>
          <w:spacing w:val="-6"/>
          <w:sz w:val="21"/>
          <w:szCs w:val="21"/>
        </w:rPr>
      </w:pPr>
    </w:p>
    <w:p w14:paraId="4A6B9C7A">
      <w:pPr>
        <w:spacing w:line="360" w:lineRule="auto"/>
        <w:ind w:firstLine="398" w:firstLineChars="200"/>
        <w:rPr>
          <w:rFonts w:hint="eastAsia" w:ascii="宋体" w:hAnsi="宋体" w:cs="宋体"/>
          <w:spacing w:val="-6"/>
          <w:sz w:val="21"/>
          <w:szCs w:val="21"/>
          <w:u w:val="single"/>
        </w:rPr>
      </w:pPr>
      <w:r>
        <w:rPr>
          <w:rFonts w:hint="eastAsia" w:ascii="宋体" w:hAnsi="宋体" w:cs="宋体"/>
          <w:b/>
          <w:bCs/>
          <w:spacing w:val="-6"/>
          <w:sz w:val="21"/>
          <w:szCs w:val="21"/>
        </w:rPr>
        <w:t>法定代表人签字或盖章：</w:t>
      </w:r>
      <w:r>
        <w:rPr>
          <w:rFonts w:hint="eastAsia" w:ascii="宋体" w:hAnsi="宋体" w:cs="宋体"/>
          <w:spacing w:val="-6"/>
          <w:sz w:val="21"/>
          <w:szCs w:val="21"/>
        </w:rPr>
        <w:t xml:space="preserve">          </w:t>
      </w:r>
      <w:r>
        <w:rPr>
          <w:rFonts w:hint="eastAsia" w:ascii="宋体" w:hAnsi="宋体" w:cs="宋体"/>
          <w:spacing w:val="-6"/>
          <w:sz w:val="21"/>
          <w:szCs w:val="21"/>
          <w:u w:val="single"/>
        </w:rPr>
        <w:t xml:space="preserve">    </w:t>
      </w:r>
    </w:p>
    <w:p w14:paraId="7436A70F">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法定代表人身份证号码：</w:t>
      </w:r>
    </w:p>
    <w:p w14:paraId="5D7B0552">
      <w:pPr>
        <w:spacing w:line="360" w:lineRule="auto"/>
        <w:ind w:firstLine="396" w:firstLineChars="200"/>
        <w:rPr>
          <w:rFonts w:hint="eastAsia" w:ascii="宋体" w:hAnsi="宋体" w:cs="宋体"/>
          <w:spacing w:val="-6"/>
          <w:sz w:val="21"/>
          <w:szCs w:val="21"/>
        </w:rPr>
      </w:pPr>
    </w:p>
    <w:p w14:paraId="32DAA0BC">
      <w:pPr>
        <w:spacing w:line="360" w:lineRule="auto"/>
        <w:ind w:firstLine="398" w:firstLineChars="200"/>
        <w:rPr>
          <w:rFonts w:hint="eastAsia" w:ascii="宋体" w:hAnsi="宋体" w:cs="宋体"/>
          <w:spacing w:val="-6"/>
          <w:sz w:val="21"/>
          <w:szCs w:val="21"/>
          <w:u w:val="single"/>
        </w:rPr>
      </w:pPr>
      <w:r>
        <w:rPr>
          <w:rFonts w:hint="eastAsia" w:ascii="宋体" w:hAnsi="宋体" w:cs="宋体"/>
          <w:b/>
          <w:bCs/>
          <w:spacing w:val="-6"/>
          <w:sz w:val="21"/>
          <w:szCs w:val="21"/>
        </w:rPr>
        <w:t>授权代表签字或盖章：</w:t>
      </w:r>
      <w:r>
        <w:rPr>
          <w:rFonts w:hint="eastAsia" w:ascii="宋体" w:hAnsi="宋体" w:cs="宋体"/>
          <w:b/>
          <w:bCs/>
          <w:spacing w:val="-6"/>
          <w:sz w:val="21"/>
          <w:szCs w:val="21"/>
          <w:u w:val="single"/>
        </w:rPr>
        <w:t xml:space="preserve"> </w:t>
      </w:r>
      <w:r>
        <w:rPr>
          <w:rFonts w:hint="eastAsia" w:ascii="宋体" w:hAnsi="宋体" w:cs="宋体"/>
          <w:spacing w:val="-6"/>
          <w:sz w:val="21"/>
          <w:szCs w:val="21"/>
          <w:u w:val="single"/>
        </w:rPr>
        <w:t xml:space="preserve">    </w:t>
      </w:r>
    </w:p>
    <w:p w14:paraId="2A671852">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授权代表身份证号码：</w:t>
      </w:r>
    </w:p>
    <w:p w14:paraId="7329A82C">
      <w:pPr>
        <w:spacing w:line="360" w:lineRule="auto"/>
        <w:ind w:firstLine="368" w:firstLineChars="186"/>
        <w:rPr>
          <w:rFonts w:hint="eastAsia" w:ascii="宋体" w:hAnsi="宋体" w:cs="宋体"/>
          <w:spacing w:val="-6"/>
          <w:sz w:val="21"/>
          <w:szCs w:val="21"/>
        </w:rPr>
      </w:pPr>
    </w:p>
    <w:p w14:paraId="31046DA2">
      <w:pPr>
        <w:spacing w:line="360" w:lineRule="auto"/>
        <w:rPr>
          <w:rFonts w:hint="eastAsia" w:ascii="宋体" w:hAnsi="宋体" w:cs="宋体"/>
          <w:spacing w:val="-6"/>
          <w:sz w:val="21"/>
          <w:szCs w:val="21"/>
        </w:rPr>
      </w:pPr>
      <w:r>
        <w:rPr>
          <w:rFonts w:hint="eastAsia" w:ascii="宋体" w:hAnsi="宋体" w:cs="宋体"/>
          <w:spacing w:val="-6"/>
          <w:sz w:val="21"/>
          <w:szCs w:val="21"/>
        </w:rPr>
        <w:t>投标人名称（盖章）：</w:t>
      </w:r>
    </w:p>
    <w:p w14:paraId="7E0278C8">
      <w:pPr>
        <w:spacing w:line="360" w:lineRule="auto"/>
        <w:rPr>
          <w:rFonts w:hint="eastAsia" w:ascii="宋体" w:hAnsi="宋体" w:cs="宋体"/>
          <w:bCs/>
          <w:spacing w:val="-6"/>
          <w:sz w:val="21"/>
          <w:szCs w:val="21"/>
        </w:rPr>
      </w:pPr>
      <w:r>
        <w:rPr>
          <w:rFonts w:hint="eastAsia" w:ascii="宋体" w:hAnsi="宋体" w:cs="宋体"/>
          <w:bCs/>
          <w:spacing w:val="-6"/>
          <w:sz w:val="21"/>
          <w:szCs w:val="21"/>
        </w:rPr>
        <w:t>日期：     年   月   日</w:t>
      </w:r>
    </w:p>
    <w:tbl>
      <w:tblPr>
        <w:tblStyle w:val="3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0"/>
      </w:tblGrid>
      <w:tr w14:paraId="30F1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jc w:val="center"/>
        </w:trPr>
        <w:tc>
          <w:tcPr>
            <w:tcW w:w="9680" w:type="dxa"/>
            <w:noWrap w:val="0"/>
            <w:vAlign w:val="center"/>
          </w:tcPr>
          <w:p w14:paraId="4A1BB974">
            <w:pPr>
              <w:spacing w:line="360" w:lineRule="auto"/>
              <w:jc w:val="center"/>
              <w:rPr>
                <w:rFonts w:hint="eastAsia" w:ascii="宋体" w:hAnsi="宋体" w:cs="宋体"/>
                <w:sz w:val="21"/>
                <w:szCs w:val="21"/>
              </w:rPr>
            </w:pPr>
            <w:r>
              <w:rPr>
                <w:rFonts w:hint="eastAsia" w:ascii="宋体" w:hAnsi="宋体" w:cs="宋体"/>
                <w:sz w:val="21"/>
                <w:szCs w:val="21"/>
              </w:rPr>
              <w:t>法定代表人身份证复印件粘贴处</w:t>
            </w:r>
          </w:p>
          <w:p w14:paraId="0A4EC3AC">
            <w:pPr>
              <w:spacing w:line="360" w:lineRule="auto"/>
              <w:jc w:val="center"/>
              <w:rPr>
                <w:rFonts w:hint="eastAsia" w:ascii="宋体" w:hAnsi="宋体" w:cs="宋体"/>
                <w:sz w:val="21"/>
                <w:szCs w:val="21"/>
              </w:rPr>
            </w:pPr>
            <w:r>
              <w:rPr>
                <w:rFonts w:hint="eastAsia" w:ascii="宋体" w:hAnsi="宋体" w:cs="宋体"/>
                <w:sz w:val="21"/>
                <w:szCs w:val="21"/>
              </w:rPr>
              <w:t>（正面）                                  （反面）</w:t>
            </w:r>
          </w:p>
        </w:tc>
      </w:tr>
    </w:tbl>
    <w:p w14:paraId="3E49B83E">
      <w:pPr>
        <w:spacing w:line="360" w:lineRule="auto"/>
        <w:rPr>
          <w:rFonts w:hint="eastAsia" w:ascii="宋体" w:hAnsi="宋体" w:cs="宋体"/>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0"/>
      </w:tblGrid>
      <w:tr w14:paraId="2A93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9600" w:type="dxa"/>
            <w:noWrap w:val="0"/>
            <w:vAlign w:val="center"/>
          </w:tcPr>
          <w:p w14:paraId="260CD8D7">
            <w:pPr>
              <w:spacing w:line="360" w:lineRule="auto"/>
              <w:jc w:val="center"/>
              <w:rPr>
                <w:rFonts w:hint="eastAsia" w:ascii="宋体" w:hAnsi="宋体" w:cs="宋体"/>
                <w:sz w:val="21"/>
                <w:szCs w:val="21"/>
              </w:rPr>
            </w:pPr>
            <w:r>
              <w:rPr>
                <w:rFonts w:hint="eastAsia" w:ascii="宋体" w:hAnsi="宋体" w:cs="宋体"/>
                <w:spacing w:val="-6"/>
                <w:sz w:val="21"/>
                <w:szCs w:val="21"/>
              </w:rPr>
              <w:t>授权代表</w:t>
            </w:r>
            <w:r>
              <w:rPr>
                <w:rFonts w:hint="eastAsia" w:ascii="宋体" w:hAnsi="宋体" w:cs="宋体"/>
                <w:sz w:val="21"/>
                <w:szCs w:val="21"/>
              </w:rPr>
              <w:t>身份证复印件粘贴处</w:t>
            </w:r>
          </w:p>
          <w:p w14:paraId="5DCCB875">
            <w:pPr>
              <w:spacing w:line="360" w:lineRule="auto"/>
              <w:jc w:val="center"/>
              <w:rPr>
                <w:rFonts w:hint="eastAsia" w:ascii="宋体" w:hAnsi="宋体" w:cs="宋体"/>
                <w:sz w:val="21"/>
                <w:szCs w:val="21"/>
              </w:rPr>
            </w:pPr>
            <w:r>
              <w:rPr>
                <w:rFonts w:hint="eastAsia" w:ascii="宋体" w:hAnsi="宋体" w:cs="宋体"/>
                <w:sz w:val="21"/>
                <w:szCs w:val="21"/>
              </w:rPr>
              <w:t>（正面）                                  （反面）</w:t>
            </w:r>
          </w:p>
        </w:tc>
      </w:tr>
    </w:tbl>
    <w:p w14:paraId="2B5BAAE8">
      <w:pPr>
        <w:pStyle w:val="17"/>
        <w:spacing w:before="0" w:beforeLines="0" w:after="0" w:afterLines="0" w:line="360" w:lineRule="auto"/>
        <w:rPr>
          <w:rFonts w:hint="eastAsia" w:hAnsi="宋体" w:cs="宋体"/>
          <w:b/>
          <w:spacing w:val="-6"/>
          <w:sz w:val="21"/>
          <w:szCs w:val="21"/>
        </w:rPr>
      </w:pPr>
    </w:p>
    <w:p w14:paraId="625CA0F7">
      <w:pPr>
        <w:spacing w:line="360" w:lineRule="auto"/>
        <w:rPr>
          <w:rFonts w:hint="eastAsia" w:ascii="宋体" w:hAnsi="宋体" w:cs="宋体"/>
          <w:b/>
          <w:bCs/>
          <w:spacing w:val="-6"/>
          <w:sz w:val="21"/>
          <w:szCs w:val="21"/>
        </w:rPr>
      </w:pPr>
      <w:r>
        <w:rPr>
          <w:rFonts w:hint="eastAsia" w:ascii="宋体" w:hAnsi="宋体" w:cs="宋体"/>
          <w:b/>
          <w:bCs/>
          <w:spacing w:val="-6"/>
          <w:sz w:val="21"/>
          <w:szCs w:val="21"/>
        </w:rPr>
        <w:t>说明：</w:t>
      </w:r>
    </w:p>
    <w:p w14:paraId="75202CE3">
      <w:pPr>
        <w:spacing w:line="360" w:lineRule="auto"/>
        <w:rPr>
          <w:rFonts w:hint="eastAsia" w:ascii="宋体" w:hAnsi="宋体" w:cs="宋体"/>
          <w:b/>
          <w:bCs/>
          <w:spacing w:val="-6"/>
          <w:sz w:val="21"/>
          <w:szCs w:val="21"/>
        </w:rPr>
      </w:pPr>
      <w:r>
        <w:rPr>
          <w:rFonts w:hint="eastAsia" w:ascii="宋体" w:hAnsi="宋体" w:cs="宋体"/>
          <w:b/>
          <w:bCs/>
          <w:spacing w:val="-6"/>
          <w:sz w:val="21"/>
          <w:szCs w:val="21"/>
        </w:rPr>
        <w:t>1.投标人的法定代表人参加投标，须在投标文件中提供：法定代表人资格证明书；</w:t>
      </w:r>
    </w:p>
    <w:p w14:paraId="4C597AD2">
      <w:pPr>
        <w:spacing w:line="360" w:lineRule="auto"/>
        <w:rPr>
          <w:rFonts w:hint="eastAsia" w:ascii="宋体" w:hAnsi="宋体" w:cs="宋体"/>
          <w:spacing w:val="-6"/>
          <w:sz w:val="21"/>
          <w:szCs w:val="21"/>
        </w:rPr>
      </w:pPr>
      <w:r>
        <w:rPr>
          <w:rFonts w:hint="eastAsia" w:ascii="宋体" w:hAnsi="宋体" w:cs="宋体"/>
          <w:b/>
          <w:bCs/>
          <w:spacing w:val="-6"/>
          <w:sz w:val="21"/>
          <w:szCs w:val="21"/>
        </w:rPr>
        <w:t>2.投标人的法定代表人委托授权代表参加投标，须在投标文件中提供：法定代表人资格证明书和法定代表人授权委托书。</w:t>
      </w:r>
    </w:p>
    <w:p w14:paraId="63EAEE4D">
      <w:pPr>
        <w:pStyle w:val="26"/>
        <w:spacing w:line="360" w:lineRule="auto"/>
        <w:ind w:left="0" w:firstLine="0" w:firstLineChars="0"/>
        <w:jc w:val="center"/>
        <w:outlineLvl w:val="9"/>
        <w:rPr>
          <w:rFonts w:hint="eastAsia" w:ascii="宋体" w:hAnsi="宋体"/>
          <w:b/>
          <w:spacing w:val="-6"/>
          <w:sz w:val="24"/>
        </w:rPr>
      </w:pPr>
    </w:p>
    <w:p w14:paraId="37C43EB2">
      <w:pPr>
        <w:pStyle w:val="26"/>
        <w:spacing w:line="360" w:lineRule="auto"/>
        <w:ind w:left="0" w:firstLine="0" w:firstLineChars="0"/>
        <w:jc w:val="center"/>
        <w:outlineLvl w:val="9"/>
        <w:rPr>
          <w:rFonts w:hint="eastAsia" w:ascii="宋体" w:hAnsi="宋体"/>
          <w:b/>
          <w:spacing w:val="-6"/>
          <w:sz w:val="24"/>
        </w:rPr>
      </w:pPr>
    </w:p>
    <w:p w14:paraId="3DC4BC95">
      <w:pPr>
        <w:pStyle w:val="26"/>
        <w:spacing w:line="360" w:lineRule="auto"/>
        <w:ind w:left="0" w:firstLine="0" w:firstLineChars="0"/>
        <w:jc w:val="center"/>
        <w:outlineLvl w:val="9"/>
        <w:rPr>
          <w:rFonts w:hint="eastAsia" w:ascii="宋体" w:hAnsi="宋体"/>
          <w:b/>
          <w:spacing w:val="-6"/>
          <w:sz w:val="24"/>
          <w:szCs w:val="20"/>
        </w:rPr>
      </w:pPr>
      <w:r>
        <w:rPr>
          <w:rFonts w:hint="eastAsia" w:ascii="宋体" w:hAnsi="宋体"/>
          <w:b/>
          <w:spacing w:val="-6"/>
          <w:sz w:val="24"/>
        </w:rPr>
        <w:t>【    年   月】至今任意一月的</w:t>
      </w:r>
      <w:r>
        <w:rPr>
          <w:rFonts w:hint="eastAsia" w:ascii="宋体" w:hAnsi="宋体"/>
          <w:b/>
          <w:spacing w:val="-6"/>
          <w:sz w:val="24"/>
          <w:szCs w:val="20"/>
        </w:rPr>
        <w:t>投标授权代表的社保缴纳证明</w:t>
      </w:r>
    </w:p>
    <w:p w14:paraId="4F5A6029">
      <w:pPr>
        <w:pStyle w:val="26"/>
        <w:spacing w:line="360" w:lineRule="auto"/>
        <w:ind w:left="0" w:firstLine="0" w:firstLineChars="0"/>
        <w:jc w:val="center"/>
        <w:rPr>
          <w:rFonts w:hint="eastAsia" w:ascii="宋体" w:hAnsi="宋体"/>
          <w:b/>
          <w:spacing w:val="-6"/>
          <w:sz w:val="21"/>
          <w:szCs w:val="21"/>
        </w:rPr>
      </w:pPr>
      <w:r>
        <w:rPr>
          <w:rFonts w:hint="eastAsia" w:ascii="宋体" w:hAnsi="宋体"/>
          <w:b/>
          <w:spacing w:val="-6"/>
          <w:sz w:val="21"/>
          <w:szCs w:val="21"/>
        </w:rPr>
        <w:t>（授权代表为法定代表人可不提供）</w:t>
      </w:r>
    </w:p>
    <w:p w14:paraId="59639FA3">
      <w:pPr>
        <w:pStyle w:val="26"/>
        <w:spacing w:line="360" w:lineRule="auto"/>
        <w:ind w:left="0" w:firstLine="0" w:firstLineChars="0"/>
        <w:jc w:val="center"/>
        <w:outlineLvl w:val="2"/>
        <w:rPr>
          <w:rFonts w:hint="eastAsia" w:ascii="宋体" w:hAnsi="宋体"/>
          <w:b/>
          <w:spacing w:val="-6"/>
          <w:sz w:val="21"/>
          <w:szCs w:val="21"/>
        </w:rPr>
      </w:pPr>
      <w:r>
        <w:rPr>
          <w:rFonts w:hint="eastAsia" w:ascii="宋体" w:hAnsi="宋体"/>
          <w:b/>
          <w:spacing w:val="-6"/>
          <w:sz w:val="21"/>
          <w:szCs w:val="21"/>
        </w:rPr>
        <w:br w:type="page"/>
      </w:r>
      <w:r>
        <w:rPr>
          <w:rFonts w:hint="eastAsia" w:ascii="宋体" w:hAnsi="宋体"/>
          <w:b/>
          <w:spacing w:val="-6"/>
          <w:sz w:val="24"/>
          <w:szCs w:val="22"/>
        </w:rPr>
        <w:t>投标人情况简介</w:t>
      </w:r>
    </w:p>
    <w:p w14:paraId="5FD18976">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一、名称和概况</w:t>
      </w:r>
    </w:p>
    <w:p w14:paraId="080AE126">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（一）投标人名称：</w:t>
      </w:r>
    </w:p>
    <w:p w14:paraId="38033971">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（二）地址：                                邮编：</w:t>
      </w:r>
    </w:p>
    <w:p w14:paraId="3DFB474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（三）电话/传真：                           所属集团（如有）：</w:t>
      </w:r>
    </w:p>
    <w:p w14:paraId="2A59B19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（四）成立日期或注册日期：</w:t>
      </w:r>
    </w:p>
    <w:p w14:paraId="3BEB1A3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（五）法定代表人或主要负责人姓名：</w:t>
      </w:r>
    </w:p>
    <w:p w14:paraId="3E90704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（六）是否上市：</w:t>
      </w:r>
    </w:p>
    <w:p w14:paraId="37D46D71">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二、财务数据</w:t>
      </w:r>
    </w:p>
    <w:p w14:paraId="6B417B4C">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（一）注册资本：</w:t>
      </w:r>
    </w:p>
    <w:p w14:paraId="1545144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（二）近3年资产负债表【主要包括以下指标，需提供经审计的资产负债表】</w:t>
      </w:r>
    </w:p>
    <w:p w14:paraId="3D5AAB15">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1951"/>
        <w:gridCol w:w="2383"/>
        <w:gridCol w:w="2383"/>
      </w:tblGrid>
      <w:tr w14:paraId="2BF7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65942580">
            <w:pPr>
              <w:jc w:val="center"/>
              <w:rPr>
                <w:rFonts w:hint="eastAsia"/>
                <w:sz w:val="21"/>
                <w:szCs w:val="21"/>
              </w:rPr>
            </w:pPr>
            <w:r>
              <w:rPr>
                <w:rFonts w:hint="eastAsia"/>
                <w:sz w:val="21"/>
                <w:szCs w:val="21"/>
              </w:rPr>
              <w:t>年份（年末数据）</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7CB5C2A1">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14:paraId="1B297DD4">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14:paraId="31344870">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r>
      <w:tr w14:paraId="7B96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20451862">
            <w:pPr>
              <w:jc w:val="center"/>
              <w:rPr>
                <w:rFonts w:hint="eastAsia"/>
                <w:sz w:val="21"/>
                <w:szCs w:val="21"/>
              </w:rPr>
            </w:pPr>
            <w:r>
              <w:rPr>
                <w:rFonts w:hint="eastAsia"/>
                <w:sz w:val="21"/>
                <w:szCs w:val="21"/>
              </w:rPr>
              <w:t>资产总计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6CC2473A">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5C345FBA">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7C3699EF">
            <w:pPr>
              <w:jc w:val="center"/>
              <w:rPr>
                <w:rFonts w:hint="eastAsia"/>
                <w:sz w:val="21"/>
                <w:szCs w:val="21"/>
              </w:rPr>
            </w:pPr>
          </w:p>
        </w:tc>
      </w:tr>
      <w:tr w14:paraId="22E9D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0EE78191">
            <w:pPr>
              <w:jc w:val="center"/>
              <w:rPr>
                <w:rFonts w:hint="eastAsia"/>
                <w:sz w:val="21"/>
                <w:szCs w:val="21"/>
              </w:rPr>
            </w:pPr>
            <w:r>
              <w:rPr>
                <w:rFonts w:hint="eastAsia"/>
                <w:sz w:val="21"/>
                <w:szCs w:val="21"/>
              </w:rPr>
              <w:t>负债合计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096395E5">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20A24E85">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59DD03DB">
            <w:pPr>
              <w:jc w:val="center"/>
              <w:rPr>
                <w:rFonts w:hint="eastAsia"/>
                <w:sz w:val="21"/>
                <w:szCs w:val="21"/>
              </w:rPr>
            </w:pPr>
          </w:p>
        </w:tc>
      </w:tr>
      <w:tr w14:paraId="0B3C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44DAEFFE">
            <w:pPr>
              <w:jc w:val="center"/>
              <w:rPr>
                <w:rFonts w:hint="eastAsia"/>
                <w:sz w:val="21"/>
                <w:szCs w:val="21"/>
              </w:rPr>
            </w:pPr>
            <w:r>
              <w:rPr>
                <w:rFonts w:hint="eastAsia"/>
                <w:sz w:val="21"/>
                <w:szCs w:val="21"/>
              </w:rPr>
              <w:t>所有者权益合计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0DA1831D">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154D3ED1">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574021CD">
            <w:pPr>
              <w:jc w:val="center"/>
              <w:rPr>
                <w:rFonts w:hint="eastAsia"/>
                <w:sz w:val="21"/>
                <w:szCs w:val="21"/>
              </w:rPr>
            </w:pPr>
          </w:p>
        </w:tc>
      </w:tr>
    </w:tbl>
    <w:p w14:paraId="20F7AF40">
      <w:pPr>
        <w:spacing w:line="360" w:lineRule="auto"/>
        <w:ind w:firstLine="396" w:firstLineChars="200"/>
        <w:rPr>
          <w:rFonts w:hint="eastAsia" w:ascii="宋体" w:hAnsi="宋体"/>
          <w:spacing w:val="-6"/>
          <w:sz w:val="21"/>
          <w:szCs w:val="21"/>
        </w:rPr>
      </w:pPr>
    </w:p>
    <w:p w14:paraId="32C6FDF4">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（三）近3年利润及利润分配表（主要包括以下指标，需提供经审计的利润及利润分配表）</w:t>
      </w:r>
    </w:p>
    <w:p w14:paraId="442CBF0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033"/>
        <w:gridCol w:w="1663"/>
        <w:gridCol w:w="1663"/>
        <w:gridCol w:w="1663"/>
        <w:gridCol w:w="727"/>
      </w:tblGrid>
      <w:tr w14:paraId="72A45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noWrap w:val="0"/>
            <w:vAlign w:val="center"/>
          </w:tcPr>
          <w:p w14:paraId="4040170E">
            <w:pPr>
              <w:jc w:val="center"/>
              <w:rPr>
                <w:rFonts w:hint="eastAsia" w:ascii="宋体" w:hAnsi="宋体" w:cs="宋体"/>
                <w:b/>
                <w:bCs/>
                <w:sz w:val="21"/>
                <w:szCs w:val="21"/>
              </w:rPr>
            </w:pPr>
            <w:r>
              <w:rPr>
                <w:rFonts w:hint="eastAsia" w:ascii="宋体" w:hAnsi="宋体" w:cs="宋体"/>
                <w:b/>
                <w:bCs/>
                <w:sz w:val="21"/>
                <w:szCs w:val="21"/>
              </w:rPr>
              <w:t>序号</w:t>
            </w:r>
          </w:p>
        </w:tc>
        <w:tc>
          <w:tcPr>
            <w:tcW w:w="3033" w:type="dxa"/>
            <w:vMerge w:val="restart"/>
            <w:noWrap w:val="0"/>
            <w:vAlign w:val="center"/>
          </w:tcPr>
          <w:p w14:paraId="0F12DD2B">
            <w:pPr>
              <w:jc w:val="center"/>
              <w:rPr>
                <w:rFonts w:hint="eastAsia" w:ascii="宋体" w:hAnsi="宋体" w:cs="宋体"/>
                <w:b/>
                <w:bCs/>
                <w:sz w:val="21"/>
                <w:szCs w:val="21"/>
              </w:rPr>
            </w:pPr>
            <w:r>
              <w:rPr>
                <w:rFonts w:hint="eastAsia" w:ascii="宋体" w:hAnsi="宋体" w:cs="宋体"/>
                <w:b/>
                <w:bCs/>
                <w:sz w:val="21"/>
                <w:szCs w:val="21"/>
              </w:rPr>
              <w:t>科目</w:t>
            </w:r>
          </w:p>
        </w:tc>
        <w:tc>
          <w:tcPr>
            <w:tcW w:w="4989" w:type="dxa"/>
            <w:gridSpan w:val="3"/>
            <w:noWrap w:val="0"/>
            <w:vAlign w:val="center"/>
          </w:tcPr>
          <w:p w14:paraId="0A2C1A22">
            <w:pPr>
              <w:jc w:val="center"/>
              <w:rPr>
                <w:rFonts w:hint="eastAsia" w:ascii="宋体" w:hAnsi="宋体" w:cs="宋体"/>
                <w:b/>
                <w:bCs/>
                <w:sz w:val="21"/>
                <w:szCs w:val="21"/>
              </w:rPr>
            </w:pPr>
            <w:r>
              <w:rPr>
                <w:rFonts w:hint="eastAsia" w:ascii="宋体" w:hAnsi="宋体" w:cs="宋体"/>
                <w:b/>
                <w:bCs/>
                <w:sz w:val="21"/>
                <w:szCs w:val="21"/>
              </w:rPr>
              <w:t>单位：人民币元</w:t>
            </w:r>
          </w:p>
        </w:tc>
        <w:tc>
          <w:tcPr>
            <w:tcW w:w="727" w:type="dxa"/>
            <w:vMerge w:val="restart"/>
            <w:noWrap w:val="0"/>
            <w:vAlign w:val="center"/>
          </w:tcPr>
          <w:p w14:paraId="5F02B08C">
            <w:pPr>
              <w:jc w:val="center"/>
              <w:rPr>
                <w:rFonts w:hint="eastAsia" w:ascii="宋体" w:hAnsi="宋体" w:cs="宋体"/>
                <w:sz w:val="21"/>
                <w:szCs w:val="21"/>
              </w:rPr>
            </w:pPr>
            <w:r>
              <w:rPr>
                <w:rFonts w:hint="eastAsia" w:ascii="宋体" w:hAnsi="宋体" w:cs="宋体"/>
                <w:b/>
                <w:bCs/>
                <w:sz w:val="21"/>
                <w:szCs w:val="21"/>
              </w:rPr>
              <w:t>备注</w:t>
            </w:r>
          </w:p>
        </w:tc>
      </w:tr>
      <w:tr w14:paraId="56BD8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noWrap w:val="0"/>
            <w:vAlign w:val="center"/>
          </w:tcPr>
          <w:p w14:paraId="25F6D4B4">
            <w:pPr>
              <w:jc w:val="center"/>
              <w:rPr>
                <w:rFonts w:hint="eastAsia" w:ascii="宋体" w:hAnsi="宋体" w:cs="宋体"/>
                <w:b/>
                <w:bCs/>
                <w:sz w:val="21"/>
                <w:szCs w:val="21"/>
              </w:rPr>
            </w:pPr>
          </w:p>
        </w:tc>
        <w:tc>
          <w:tcPr>
            <w:tcW w:w="3033" w:type="dxa"/>
            <w:vMerge w:val="continue"/>
            <w:noWrap w:val="0"/>
            <w:vAlign w:val="center"/>
          </w:tcPr>
          <w:p w14:paraId="24D36054">
            <w:pPr>
              <w:jc w:val="center"/>
              <w:rPr>
                <w:rFonts w:hint="eastAsia" w:ascii="宋体" w:hAnsi="宋体" w:cs="宋体"/>
                <w:b/>
                <w:bCs/>
                <w:sz w:val="21"/>
                <w:szCs w:val="21"/>
              </w:rPr>
            </w:pPr>
          </w:p>
        </w:tc>
        <w:tc>
          <w:tcPr>
            <w:tcW w:w="1663" w:type="dxa"/>
            <w:noWrap w:val="0"/>
            <w:vAlign w:val="center"/>
          </w:tcPr>
          <w:p w14:paraId="6E9D6186">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noWrap w:val="0"/>
            <w:vAlign w:val="center"/>
          </w:tcPr>
          <w:p w14:paraId="52C43E1B">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noWrap w:val="0"/>
            <w:vAlign w:val="center"/>
          </w:tcPr>
          <w:p w14:paraId="69741103">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727" w:type="dxa"/>
            <w:vMerge w:val="continue"/>
            <w:noWrap w:val="0"/>
            <w:vAlign w:val="center"/>
          </w:tcPr>
          <w:p w14:paraId="38ABA794">
            <w:pPr>
              <w:jc w:val="center"/>
              <w:rPr>
                <w:rFonts w:hint="eastAsia" w:ascii="宋体" w:hAnsi="宋体" w:cs="宋体"/>
                <w:sz w:val="21"/>
                <w:szCs w:val="21"/>
              </w:rPr>
            </w:pPr>
          </w:p>
        </w:tc>
      </w:tr>
      <w:tr w14:paraId="071DB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14:paraId="046338BE">
            <w:pPr>
              <w:jc w:val="center"/>
              <w:rPr>
                <w:rFonts w:hint="eastAsia" w:ascii="宋体" w:hAnsi="宋体" w:cs="宋体"/>
                <w:sz w:val="21"/>
                <w:szCs w:val="21"/>
              </w:rPr>
            </w:pPr>
            <w:r>
              <w:rPr>
                <w:rFonts w:hint="eastAsia" w:ascii="宋体" w:hAnsi="宋体" w:cs="宋体"/>
                <w:sz w:val="21"/>
                <w:szCs w:val="21"/>
              </w:rPr>
              <w:t>1</w:t>
            </w:r>
          </w:p>
        </w:tc>
        <w:tc>
          <w:tcPr>
            <w:tcW w:w="3033" w:type="dxa"/>
            <w:noWrap w:val="0"/>
            <w:vAlign w:val="center"/>
          </w:tcPr>
          <w:p w14:paraId="63739FBD">
            <w:pPr>
              <w:jc w:val="center"/>
              <w:rPr>
                <w:rFonts w:hint="eastAsia" w:ascii="宋体" w:hAnsi="宋体" w:cs="宋体"/>
                <w:sz w:val="21"/>
                <w:szCs w:val="21"/>
              </w:rPr>
            </w:pPr>
            <w:r>
              <w:rPr>
                <w:rFonts w:hint="eastAsia" w:ascii="宋体" w:hAnsi="宋体" w:cs="宋体"/>
                <w:sz w:val="21"/>
                <w:szCs w:val="21"/>
              </w:rPr>
              <w:t>营业收入</w:t>
            </w:r>
          </w:p>
        </w:tc>
        <w:tc>
          <w:tcPr>
            <w:tcW w:w="1663" w:type="dxa"/>
            <w:noWrap w:val="0"/>
            <w:vAlign w:val="center"/>
          </w:tcPr>
          <w:p w14:paraId="09BDDC94">
            <w:pPr>
              <w:jc w:val="center"/>
              <w:rPr>
                <w:rFonts w:hint="eastAsia" w:ascii="宋体" w:hAnsi="宋体" w:cs="宋体"/>
                <w:sz w:val="21"/>
                <w:szCs w:val="21"/>
              </w:rPr>
            </w:pPr>
          </w:p>
        </w:tc>
        <w:tc>
          <w:tcPr>
            <w:tcW w:w="1663" w:type="dxa"/>
            <w:noWrap w:val="0"/>
            <w:vAlign w:val="center"/>
          </w:tcPr>
          <w:p w14:paraId="0725CB9B">
            <w:pPr>
              <w:jc w:val="center"/>
              <w:rPr>
                <w:rFonts w:hint="eastAsia" w:ascii="宋体" w:hAnsi="宋体" w:cs="宋体"/>
                <w:sz w:val="21"/>
                <w:szCs w:val="21"/>
              </w:rPr>
            </w:pPr>
          </w:p>
        </w:tc>
        <w:tc>
          <w:tcPr>
            <w:tcW w:w="1663" w:type="dxa"/>
            <w:noWrap w:val="0"/>
            <w:vAlign w:val="center"/>
          </w:tcPr>
          <w:p w14:paraId="35B19F93">
            <w:pPr>
              <w:jc w:val="center"/>
              <w:rPr>
                <w:rFonts w:hint="eastAsia" w:ascii="宋体" w:hAnsi="宋体" w:cs="宋体"/>
                <w:sz w:val="21"/>
                <w:szCs w:val="21"/>
              </w:rPr>
            </w:pPr>
          </w:p>
        </w:tc>
        <w:tc>
          <w:tcPr>
            <w:tcW w:w="727" w:type="dxa"/>
            <w:noWrap w:val="0"/>
            <w:vAlign w:val="center"/>
          </w:tcPr>
          <w:p w14:paraId="543E3B1B">
            <w:pPr>
              <w:jc w:val="center"/>
              <w:rPr>
                <w:rFonts w:hint="eastAsia" w:ascii="宋体" w:hAnsi="宋体" w:cs="宋体"/>
                <w:sz w:val="21"/>
                <w:szCs w:val="21"/>
              </w:rPr>
            </w:pPr>
          </w:p>
        </w:tc>
      </w:tr>
      <w:tr w14:paraId="427E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14:paraId="6283BA09">
            <w:pPr>
              <w:jc w:val="center"/>
              <w:rPr>
                <w:rFonts w:hint="eastAsia" w:ascii="宋体" w:hAnsi="宋体" w:cs="宋体"/>
                <w:sz w:val="21"/>
                <w:szCs w:val="21"/>
              </w:rPr>
            </w:pPr>
            <w:r>
              <w:rPr>
                <w:rFonts w:hint="eastAsia" w:ascii="宋体" w:hAnsi="宋体" w:cs="宋体"/>
                <w:sz w:val="21"/>
                <w:szCs w:val="21"/>
              </w:rPr>
              <w:t>2</w:t>
            </w:r>
          </w:p>
        </w:tc>
        <w:tc>
          <w:tcPr>
            <w:tcW w:w="3033" w:type="dxa"/>
            <w:noWrap w:val="0"/>
            <w:vAlign w:val="center"/>
          </w:tcPr>
          <w:p w14:paraId="6F49AF7D">
            <w:pPr>
              <w:jc w:val="center"/>
              <w:rPr>
                <w:rFonts w:hint="eastAsia" w:ascii="宋体" w:hAnsi="宋体" w:cs="宋体"/>
                <w:sz w:val="21"/>
                <w:szCs w:val="21"/>
              </w:rPr>
            </w:pPr>
            <w:r>
              <w:rPr>
                <w:rFonts w:hint="eastAsia" w:ascii="宋体" w:hAnsi="宋体" w:cs="宋体"/>
                <w:sz w:val="21"/>
                <w:szCs w:val="21"/>
              </w:rPr>
              <w:t>主营业务利润</w:t>
            </w:r>
          </w:p>
        </w:tc>
        <w:tc>
          <w:tcPr>
            <w:tcW w:w="1663" w:type="dxa"/>
            <w:noWrap w:val="0"/>
            <w:vAlign w:val="center"/>
          </w:tcPr>
          <w:p w14:paraId="1DF6111C">
            <w:pPr>
              <w:jc w:val="center"/>
              <w:rPr>
                <w:rFonts w:hint="eastAsia" w:ascii="宋体" w:hAnsi="宋体" w:cs="宋体"/>
                <w:sz w:val="21"/>
                <w:szCs w:val="21"/>
              </w:rPr>
            </w:pPr>
          </w:p>
        </w:tc>
        <w:tc>
          <w:tcPr>
            <w:tcW w:w="1663" w:type="dxa"/>
            <w:noWrap w:val="0"/>
            <w:vAlign w:val="center"/>
          </w:tcPr>
          <w:p w14:paraId="7AF774AF">
            <w:pPr>
              <w:jc w:val="center"/>
              <w:rPr>
                <w:rFonts w:hint="eastAsia" w:ascii="宋体" w:hAnsi="宋体" w:cs="宋体"/>
                <w:sz w:val="21"/>
                <w:szCs w:val="21"/>
              </w:rPr>
            </w:pPr>
          </w:p>
        </w:tc>
        <w:tc>
          <w:tcPr>
            <w:tcW w:w="1663" w:type="dxa"/>
            <w:noWrap w:val="0"/>
            <w:vAlign w:val="center"/>
          </w:tcPr>
          <w:p w14:paraId="105F8ECD">
            <w:pPr>
              <w:jc w:val="center"/>
              <w:rPr>
                <w:rFonts w:hint="eastAsia" w:ascii="宋体" w:hAnsi="宋体" w:cs="宋体"/>
                <w:sz w:val="21"/>
                <w:szCs w:val="21"/>
              </w:rPr>
            </w:pPr>
          </w:p>
        </w:tc>
        <w:tc>
          <w:tcPr>
            <w:tcW w:w="727" w:type="dxa"/>
            <w:noWrap w:val="0"/>
            <w:vAlign w:val="center"/>
          </w:tcPr>
          <w:p w14:paraId="12833A1F">
            <w:pPr>
              <w:jc w:val="center"/>
              <w:rPr>
                <w:rFonts w:hint="eastAsia" w:ascii="宋体" w:hAnsi="宋体" w:cs="宋体"/>
                <w:sz w:val="21"/>
                <w:szCs w:val="21"/>
              </w:rPr>
            </w:pPr>
          </w:p>
        </w:tc>
      </w:tr>
    </w:tbl>
    <w:p w14:paraId="615EA85D">
      <w:pPr>
        <w:ind w:firstLine="396" w:firstLineChars="200"/>
      </w:pPr>
      <w:r>
        <w:rPr>
          <w:rFonts w:hint="eastAsia" w:ascii="宋体" w:hAnsi="宋体"/>
          <w:spacing w:val="-6"/>
          <w:sz w:val="21"/>
          <w:szCs w:val="21"/>
        </w:rPr>
        <w:t>三、组织架构及相关机制</w:t>
      </w:r>
    </w:p>
    <w:p w14:paraId="4E94C4F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（一）资信等级（如有）</w:t>
      </w:r>
    </w:p>
    <w:p w14:paraId="7484C01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（二）股权情况介绍</w:t>
      </w:r>
    </w:p>
    <w:p w14:paraId="1B5E02D3">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主要股权和公司高管变动情况，主要股东及其持股比例，提供股权架构图，并简要说明股东背景。</w:t>
      </w:r>
    </w:p>
    <w:p w14:paraId="0FDC3EDA">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（三）高管人员简介及分工</w:t>
      </w:r>
    </w:p>
    <w:p w14:paraId="10B249FC">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（四）组织结构</w:t>
      </w:r>
    </w:p>
    <w:p w14:paraId="25473C3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（五）风险管理机制及处罚情况</w:t>
      </w:r>
    </w:p>
    <w:p w14:paraId="1D2F88DC">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（六）公司风险管理组织架构、风险管理流程、制定的政策制度</w:t>
      </w:r>
    </w:p>
    <w:p w14:paraId="0F54912E">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四、提供产品或服务的情况：</w:t>
      </w:r>
    </w:p>
    <w:p w14:paraId="57F7AB5D">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五、本次投标产品或服务的应用情况（本次招标类似业务及系统对接案例）：</w:t>
      </w:r>
    </w:p>
    <w:p w14:paraId="584E5043">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六、投标人金融机构客户服务经验及优势：</w:t>
      </w:r>
    </w:p>
    <w:p w14:paraId="4F92D4BA">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七、其它需补充说明的事项：</w:t>
      </w:r>
    </w:p>
    <w:p w14:paraId="49236CE7">
      <w:pPr>
        <w:spacing w:line="360" w:lineRule="auto"/>
        <w:ind w:firstLine="396" w:firstLineChars="200"/>
        <w:jc w:val="center"/>
        <w:outlineLvl w:val="2"/>
        <w:rPr>
          <w:rFonts w:hint="eastAsia" w:ascii="宋体" w:hAnsi="宋体"/>
          <w:b/>
          <w:bCs/>
          <w:iCs/>
          <w:spacing w:val="-6"/>
          <w:sz w:val="24"/>
        </w:rPr>
      </w:pPr>
      <w:r>
        <w:rPr>
          <w:rFonts w:hint="eastAsia" w:ascii="宋体" w:hAnsi="宋体"/>
          <w:spacing w:val="-6"/>
          <w:sz w:val="21"/>
          <w:szCs w:val="21"/>
        </w:rPr>
        <w:br w:type="page"/>
      </w:r>
      <w:r>
        <w:rPr>
          <w:rFonts w:hint="eastAsia" w:ascii="宋体" w:hAnsi="宋体"/>
          <w:b/>
          <w:bCs/>
          <w:iCs/>
          <w:spacing w:val="-6"/>
          <w:sz w:val="24"/>
        </w:rPr>
        <w:t>招标</w:t>
      </w:r>
      <w:r>
        <w:rPr>
          <w:rFonts w:ascii="宋体" w:hAnsi="宋体"/>
          <w:b/>
          <w:bCs/>
          <w:iCs/>
          <w:spacing w:val="-6"/>
          <w:sz w:val="24"/>
        </w:rPr>
        <w:t>需求</w:t>
      </w:r>
      <w:r>
        <w:rPr>
          <w:rFonts w:hint="eastAsia" w:ascii="宋体" w:hAnsi="宋体"/>
          <w:b/>
          <w:bCs/>
          <w:iCs/>
          <w:spacing w:val="-6"/>
          <w:sz w:val="24"/>
        </w:rPr>
        <w:t>偏离表</w:t>
      </w:r>
    </w:p>
    <w:p w14:paraId="3E4310ED">
      <w:pPr>
        <w:spacing w:line="360" w:lineRule="auto"/>
        <w:rPr>
          <w:rFonts w:hint="eastAsia" w:ascii="宋体" w:hAnsi="宋体"/>
          <w:bCs/>
          <w:spacing w:val="-6"/>
          <w:sz w:val="24"/>
        </w:rPr>
      </w:pPr>
      <w:r>
        <w:rPr>
          <w:rFonts w:hint="eastAsia" w:ascii="宋体" w:hAnsi="宋体"/>
          <w:bCs/>
          <w:spacing w:val="-6"/>
          <w:sz w:val="24"/>
        </w:rPr>
        <w:t>招 标 人：XXXXX</w:t>
      </w:r>
    </w:p>
    <w:p w14:paraId="3336C8D1">
      <w:pPr>
        <w:spacing w:line="360" w:lineRule="auto"/>
        <w:rPr>
          <w:rFonts w:hint="eastAsia" w:ascii="宋体" w:hAnsi="宋体"/>
          <w:bCs/>
          <w:spacing w:val="-6"/>
          <w:sz w:val="24"/>
        </w:rPr>
      </w:pPr>
      <w:r>
        <w:rPr>
          <w:rFonts w:hint="eastAsia" w:ascii="宋体" w:hAnsi="宋体"/>
          <w:bCs/>
          <w:spacing w:val="-6"/>
          <w:sz w:val="24"/>
        </w:rPr>
        <w:t>项目名称：XXXXX</w:t>
      </w:r>
    </w:p>
    <w:p w14:paraId="619100E5">
      <w:pPr>
        <w:spacing w:line="360" w:lineRule="auto"/>
        <w:rPr>
          <w:rFonts w:hint="eastAsia" w:ascii="宋体" w:hAnsi="宋体"/>
          <w:bCs/>
          <w:spacing w:val="-6"/>
          <w:sz w:val="24"/>
        </w:rPr>
      </w:pPr>
      <w:r>
        <w:rPr>
          <w:rFonts w:hint="eastAsia" w:ascii="宋体" w:hAnsi="宋体"/>
          <w:bCs/>
          <w:spacing w:val="-6"/>
          <w:sz w:val="24"/>
        </w:rPr>
        <w:t>项目编号：XXXX</w:t>
      </w:r>
    </w:p>
    <w:p w14:paraId="4AD05C33">
      <w:pPr>
        <w:spacing w:line="360" w:lineRule="auto"/>
        <w:rPr>
          <w:rFonts w:hint="eastAsia" w:ascii="宋体" w:hAnsi="宋体"/>
          <w:bCs/>
          <w:spacing w:val="-6"/>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3553"/>
        <w:gridCol w:w="2365"/>
        <w:gridCol w:w="2960"/>
      </w:tblGrid>
      <w:tr w14:paraId="0E5A3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4C8EDA6A">
            <w:pPr>
              <w:jc w:val="center"/>
              <w:rPr>
                <w:rFonts w:hint="eastAsia" w:ascii="宋体" w:hAnsi="宋体" w:cs="宋体"/>
                <w:b/>
                <w:bCs/>
                <w:sz w:val="21"/>
                <w:szCs w:val="21"/>
              </w:rPr>
            </w:pPr>
            <w:r>
              <w:rPr>
                <w:rFonts w:hint="eastAsia" w:ascii="宋体" w:hAnsi="宋体" w:cs="宋体"/>
                <w:b/>
                <w:bCs/>
                <w:sz w:val="21"/>
                <w:szCs w:val="21"/>
              </w:rPr>
              <w:t>序号</w:t>
            </w:r>
          </w:p>
        </w:tc>
        <w:tc>
          <w:tcPr>
            <w:tcW w:w="3553" w:type="dxa"/>
            <w:noWrap w:val="0"/>
            <w:vAlign w:val="center"/>
          </w:tcPr>
          <w:p w14:paraId="3322BA63">
            <w:pPr>
              <w:jc w:val="center"/>
              <w:rPr>
                <w:rFonts w:hint="eastAsia" w:ascii="宋体" w:hAnsi="宋体" w:cs="宋体"/>
                <w:b/>
                <w:bCs/>
                <w:sz w:val="21"/>
                <w:szCs w:val="21"/>
              </w:rPr>
            </w:pPr>
            <w:r>
              <w:rPr>
                <w:rFonts w:hint="eastAsia" w:ascii="宋体" w:hAnsi="宋体" w:cs="宋体"/>
                <w:b/>
                <w:bCs/>
                <w:sz w:val="21"/>
                <w:szCs w:val="21"/>
              </w:rPr>
              <w:t>招标文件要求</w:t>
            </w:r>
          </w:p>
        </w:tc>
        <w:tc>
          <w:tcPr>
            <w:tcW w:w="2365" w:type="dxa"/>
            <w:noWrap w:val="0"/>
            <w:vAlign w:val="center"/>
          </w:tcPr>
          <w:p w14:paraId="053C4FE6">
            <w:pPr>
              <w:jc w:val="center"/>
              <w:rPr>
                <w:rFonts w:hint="eastAsia" w:ascii="宋体" w:hAnsi="宋体" w:cs="宋体"/>
                <w:b/>
                <w:bCs/>
                <w:sz w:val="21"/>
                <w:szCs w:val="21"/>
              </w:rPr>
            </w:pPr>
            <w:r>
              <w:rPr>
                <w:rFonts w:hint="eastAsia" w:ascii="宋体" w:hAnsi="宋体" w:cs="宋体"/>
                <w:b/>
                <w:bCs/>
                <w:sz w:val="21"/>
                <w:szCs w:val="21"/>
              </w:rPr>
              <w:t>响应规格</w:t>
            </w:r>
          </w:p>
        </w:tc>
        <w:tc>
          <w:tcPr>
            <w:tcW w:w="2960" w:type="dxa"/>
            <w:noWrap w:val="0"/>
            <w:vAlign w:val="center"/>
          </w:tcPr>
          <w:p w14:paraId="6925E3E8">
            <w:pPr>
              <w:jc w:val="center"/>
              <w:rPr>
                <w:rFonts w:hint="eastAsia" w:ascii="宋体" w:hAnsi="宋体" w:cs="宋体"/>
                <w:b/>
                <w:bCs/>
                <w:sz w:val="21"/>
                <w:szCs w:val="21"/>
              </w:rPr>
            </w:pPr>
            <w:r>
              <w:rPr>
                <w:rFonts w:hint="eastAsia" w:ascii="宋体" w:hAnsi="宋体" w:cs="宋体"/>
                <w:b/>
                <w:bCs/>
                <w:sz w:val="21"/>
                <w:szCs w:val="21"/>
              </w:rPr>
              <w:t>是否偏离（提供说明）</w:t>
            </w:r>
          </w:p>
        </w:tc>
      </w:tr>
      <w:tr w14:paraId="4311B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7CCDEF4A">
            <w:pPr>
              <w:jc w:val="center"/>
              <w:rPr>
                <w:rFonts w:hint="eastAsia" w:ascii="宋体" w:hAnsi="宋体" w:cs="宋体"/>
                <w:b/>
                <w:bCs/>
                <w:sz w:val="21"/>
                <w:szCs w:val="21"/>
              </w:rPr>
            </w:pPr>
            <w:r>
              <w:rPr>
                <w:rFonts w:hint="eastAsia" w:ascii="宋体" w:hAnsi="宋体" w:cs="宋体"/>
                <w:b/>
                <w:bCs/>
                <w:sz w:val="21"/>
                <w:szCs w:val="21"/>
              </w:rPr>
              <w:t>1</w:t>
            </w:r>
          </w:p>
        </w:tc>
        <w:tc>
          <w:tcPr>
            <w:tcW w:w="3553" w:type="dxa"/>
            <w:noWrap w:val="0"/>
            <w:vAlign w:val="center"/>
          </w:tcPr>
          <w:p w14:paraId="75B0B6B4">
            <w:pPr>
              <w:jc w:val="center"/>
              <w:rPr>
                <w:rFonts w:hint="eastAsia" w:ascii="宋体" w:hAnsi="宋体" w:cs="宋体"/>
                <w:b/>
                <w:bCs/>
                <w:sz w:val="21"/>
                <w:szCs w:val="21"/>
              </w:rPr>
            </w:pPr>
          </w:p>
        </w:tc>
        <w:tc>
          <w:tcPr>
            <w:tcW w:w="2365" w:type="dxa"/>
            <w:noWrap w:val="0"/>
            <w:vAlign w:val="center"/>
          </w:tcPr>
          <w:p w14:paraId="534D1E6F">
            <w:pPr>
              <w:jc w:val="center"/>
              <w:rPr>
                <w:rFonts w:hint="eastAsia" w:ascii="宋体" w:hAnsi="宋体" w:cs="宋体"/>
                <w:b/>
                <w:bCs/>
                <w:sz w:val="21"/>
                <w:szCs w:val="21"/>
              </w:rPr>
            </w:pPr>
          </w:p>
        </w:tc>
        <w:tc>
          <w:tcPr>
            <w:tcW w:w="2960" w:type="dxa"/>
            <w:noWrap w:val="0"/>
            <w:vAlign w:val="center"/>
          </w:tcPr>
          <w:p w14:paraId="63EF1FC9">
            <w:pPr>
              <w:jc w:val="center"/>
              <w:rPr>
                <w:rFonts w:hint="eastAsia" w:ascii="宋体" w:hAnsi="宋体" w:cs="宋体"/>
                <w:b/>
                <w:bCs/>
                <w:sz w:val="21"/>
                <w:szCs w:val="21"/>
              </w:rPr>
            </w:pPr>
          </w:p>
        </w:tc>
      </w:tr>
      <w:tr w14:paraId="179EF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17A8432C">
            <w:pPr>
              <w:jc w:val="center"/>
              <w:rPr>
                <w:rFonts w:hint="eastAsia" w:ascii="宋体" w:hAnsi="宋体" w:cs="宋体"/>
                <w:b/>
                <w:bCs/>
                <w:sz w:val="21"/>
                <w:szCs w:val="21"/>
              </w:rPr>
            </w:pPr>
            <w:r>
              <w:rPr>
                <w:rFonts w:hint="eastAsia" w:ascii="宋体" w:hAnsi="宋体" w:cs="宋体"/>
                <w:b/>
                <w:bCs/>
                <w:sz w:val="21"/>
                <w:szCs w:val="21"/>
              </w:rPr>
              <w:t>2</w:t>
            </w:r>
          </w:p>
        </w:tc>
        <w:tc>
          <w:tcPr>
            <w:tcW w:w="3553" w:type="dxa"/>
            <w:noWrap w:val="0"/>
            <w:vAlign w:val="center"/>
          </w:tcPr>
          <w:p w14:paraId="749BBE2A">
            <w:pPr>
              <w:jc w:val="center"/>
              <w:rPr>
                <w:rFonts w:hint="eastAsia" w:ascii="宋体" w:hAnsi="宋体" w:cs="宋体"/>
                <w:b/>
                <w:bCs/>
                <w:sz w:val="21"/>
                <w:szCs w:val="21"/>
              </w:rPr>
            </w:pPr>
          </w:p>
        </w:tc>
        <w:tc>
          <w:tcPr>
            <w:tcW w:w="2365" w:type="dxa"/>
            <w:noWrap w:val="0"/>
            <w:vAlign w:val="center"/>
          </w:tcPr>
          <w:p w14:paraId="230284D6">
            <w:pPr>
              <w:jc w:val="center"/>
              <w:rPr>
                <w:rFonts w:hint="eastAsia" w:ascii="宋体" w:hAnsi="宋体" w:cs="宋体"/>
                <w:b/>
                <w:bCs/>
                <w:sz w:val="21"/>
                <w:szCs w:val="21"/>
              </w:rPr>
            </w:pPr>
          </w:p>
        </w:tc>
        <w:tc>
          <w:tcPr>
            <w:tcW w:w="2960" w:type="dxa"/>
            <w:noWrap w:val="0"/>
            <w:vAlign w:val="center"/>
          </w:tcPr>
          <w:p w14:paraId="139E836D">
            <w:pPr>
              <w:jc w:val="center"/>
              <w:rPr>
                <w:rFonts w:hint="eastAsia" w:ascii="宋体" w:hAnsi="宋体" w:cs="宋体"/>
                <w:b/>
                <w:bCs/>
                <w:sz w:val="21"/>
                <w:szCs w:val="21"/>
              </w:rPr>
            </w:pPr>
          </w:p>
        </w:tc>
      </w:tr>
      <w:tr w14:paraId="25E51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5C51E668">
            <w:pPr>
              <w:jc w:val="center"/>
              <w:rPr>
                <w:rFonts w:hint="eastAsia" w:ascii="宋体" w:hAnsi="宋体" w:cs="宋体"/>
                <w:b/>
                <w:bCs/>
                <w:sz w:val="21"/>
                <w:szCs w:val="21"/>
              </w:rPr>
            </w:pPr>
            <w:r>
              <w:rPr>
                <w:rFonts w:hint="eastAsia" w:ascii="宋体" w:hAnsi="宋体" w:cs="宋体"/>
                <w:b/>
                <w:bCs/>
                <w:sz w:val="21"/>
                <w:szCs w:val="21"/>
              </w:rPr>
              <w:t>3</w:t>
            </w:r>
          </w:p>
        </w:tc>
        <w:tc>
          <w:tcPr>
            <w:tcW w:w="3553" w:type="dxa"/>
            <w:noWrap w:val="0"/>
            <w:vAlign w:val="center"/>
          </w:tcPr>
          <w:p w14:paraId="2212CC56">
            <w:pPr>
              <w:jc w:val="center"/>
              <w:rPr>
                <w:rFonts w:hint="eastAsia" w:ascii="宋体" w:hAnsi="宋体" w:cs="宋体"/>
                <w:b/>
                <w:bCs/>
                <w:sz w:val="21"/>
                <w:szCs w:val="21"/>
              </w:rPr>
            </w:pPr>
          </w:p>
        </w:tc>
        <w:tc>
          <w:tcPr>
            <w:tcW w:w="2365" w:type="dxa"/>
            <w:noWrap w:val="0"/>
            <w:vAlign w:val="center"/>
          </w:tcPr>
          <w:p w14:paraId="09A8FC45">
            <w:pPr>
              <w:jc w:val="center"/>
              <w:rPr>
                <w:rFonts w:hint="eastAsia" w:ascii="宋体" w:hAnsi="宋体" w:cs="宋体"/>
                <w:b/>
                <w:bCs/>
                <w:sz w:val="21"/>
                <w:szCs w:val="21"/>
              </w:rPr>
            </w:pPr>
          </w:p>
        </w:tc>
        <w:tc>
          <w:tcPr>
            <w:tcW w:w="2960" w:type="dxa"/>
            <w:noWrap w:val="0"/>
            <w:vAlign w:val="center"/>
          </w:tcPr>
          <w:p w14:paraId="16CE8030">
            <w:pPr>
              <w:jc w:val="center"/>
              <w:rPr>
                <w:rFonts w:hint="eastAsia" w:ascii="宋体" w:hAnsi="宋体" w:cs="宋体"/>
                <w:b/>
                <w:bCs/>
                <w:sz w:val="21"/>
                <w:szCs w:val="21"/>
              </w:rPr>
            </w:pPr>
          </w:p>
        </w:tc>
      </w:tr>
      <w:tr w14:paraId="273E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7455CCD3">
            <w:pPr>
              <w:jc w:val="center"/>
              <w:rPr>
                <w:rFonts w:hint="eastAsia" w:ascii="宋体" w:hAnsi="宋体" w:cs="宋体"/>
                <w:b/>
                <w:bCs/>
                <w:sz w:val="21"/>
                <w:szCs w:val="21"/>
              </w:rPr>
            </w:pPr>
            <w:r>
              <w:rPr>
                <w:rFonts w:hint="eastAsia" w:ascii="宋体" w:hAnsi="宋体" w:cs="宋体"/>
                <w:b/>
                <w:bCs/>
                <w:sz w:val="21"/>
                <w:szCs w:val="21"/>
              </w:rPr>
              <w:t>4</w:t>
            </w:r>
          </w:p>
        </w:tc>
        <w:tc>
          <w:tcPr>
            <w:tcW w:w="3553" w:type="dxa"/>
            <w:noWrap w:val="0"/>
            <w:vAlign w:val="center"/>
          </w:tcPr>
          <w:p w14:paraId="3F51752F">
            <w:pPr>
              <w:jc w:val="center"/>
              <w:rPr>
                <w:rFonts w:hint="eastAsia" w:ascii="宋体" w:hAnsi="宋体" w:cs="宋体"/>
                <w:b/>
                <w:bCs/>
                <w:sz w:val="21"/>
                <w:szCs w:val="21"/>
              </w:rPr>
            </w:pPr>
          </w:p>
        </w:tc>
        <w:tc>
          <w:tcPr>
            <w:tcW w:w="2365" w:type="dxa"/>
            <w:noWrap w:val="0"/>
            <w:vAlign w:val="center"/>
          </w:tcPr>
          <w:p w14:paraId="2290FA24">
            <w:pPr>
              <w:jc w:val="center"/>
              <w:rPr>
                <w:rFonts w:hint="eastAsia" w:ascii="宋体" w:hAnsi="宋体" w:cs="宋体"/>
                <w:b/>
                <w:bCs/>
                <w:sz w:val="21"/>
                <w:szCs w:val="21"/>
              </w:rPr>
            </w:pPr>
          </w:p>
        </w:tc>
        <w:tc>
          <w:tcPr>
            <w:tcW w:w="2960" w:type="dxa"/>
            <w:noWrap w:val="0"/>
            <w:vAlign w:val="center"/>
          </w:tcPr>
          <w:p w14:paraId="6C77C6DD">
            <w:pPr>
              <w:jc w:val="center"/>
              <w:rPr>
                <w:rFonts w:hint="eastAsia" w:ascii="宋体" w:hAnsi="宋体" w:cs="宋体"/>
                <w:b/>
                <w:bCs/>
                <w:sz w:val="21"/>
                <w:szCs w:val="21"/>
              </w:rPr>
            </w:pPr>
          </w:p>
        </w:tc>
      </w:tr>
    </w:tbl>
    <w:p w14:paraId="51C3DD47">
      <w:pPr>
        <w:spacing w:line="360" w:lineRule="auto"/>
        <w:rPr>
          <w:rFonts w:hint="eastAsia" w:ascii="宋体" w:hAnsi="宋体"/>
          <w:b/>
          <w:bCs/>
          <w:spacing w:val="-6"/>
          <w:sz w:val="24"/>
        </w:rPr>
      </w:pPr>
    </w:p>
    <w:p w14:paraId="306F8E72">
      <w:pPr>
        <w:spacing w:line="360" w:lineRule="auto"/>
        <w:rPr>
          <w:rFonts w:hint="eastAsia" w:ascii="宋体" w:hAnsi="宋体"/>
          <w:b/>
          <w:bCs/>
          <w:spacing w:val="-6"/>
          <w:sz w:val="21"/>
          <w:szCs w:val="21"/>
        </w:rPr>
      </w:pPr>
      <w:r>
        <w:rPr>
          <w:rFonts w:hint="eastAsia" w:ascii="宋体" w:hAnsi="宋体"/>
          <w:b/>
          <w:bCs/>
          <w:spacing w:val="-6"/>
          <w:sz w:val="21"/>
          <w:szCs w:val="21"/>
        </w:rPr>
        <w:t>说明：</w:t>
      </w:r>
    </w:p>
    <w:p w14:paraId="1AB8BC50">
      <w:pPr>
        <w:spacing w:line="360"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u w:val="single"/>
        </w:rPr>
        <w:t>逐项按照招标文件第二章招标需求部分要求填写响应规格；如要求提供证明材料的，须点对点响应后附上相关证明材料（否则作废标处理！）。</w:t>
      </w:r>
    </w:p>
    <w:p w14:paraId="1BC44EBE">
      <w:pPr>
        <w:spacing w:line="360" w:lineRule="auto"/>
        <w:rPr>
          <w:rFonts w:hint="eastAsia"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偏离说明是指对招标文件要求存在不同之处的解释说明。偏离系指：正偏离（高于招标要求）、负偏离（低于招标要求）、无偏离（满足招标要求）；</w:t>
      </w:r>
    </w:p>
    <w:p w14:paraId="64ECB7BF">
      <w:pPr>
        <w:spacing w:line="360" w:lineRule="auto"/>
        <w:rPr>
          <w:rFonts w:hint="eastAsia" w:ascii="宋体" w:hAnsi="宋体"/>
          <w:b/>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如不填写或未如实填写</w:t>
      </w:r>
      <w:r>
        <w:rPr>
          <w:rFonts w:hint="eastAsia" w:ascii="宋体" w:hAnsi="宋体"/>
          <w:b/>
          <w:spacing w:val="-6"/>
          <w:sz w:val="21"/>
          <w:szCs w:val="21"/>
        </w:rPr>
        <w:t>，自行承担投标风险。</w:t>
      </w:r>
    </w:p>
    <w:p w14:paraId="74F16312">
      <w:pPr>
        <w:spacing w:line="360" w:lineRule="auto"/>
        <w:rPr>
          <w:rFonts w:hint="eastAsia" w:ascii="宋体" w:hAnsi="宋体"/>
          <w:spacing w:val="-6"/>
          <w:sz w:val="24"/>
        </w:rPr>
      </w:pPr>
    </w:p>
    <w:p w14:paraId="333E0B94">
      <w:pPr>
        <w:spacing w:line="360" w:lineRule="auto"/>
        <w:rPr>
          <w:rFonts w:hint="eastAsia" w:ascii="宋体" w:hAnsi="宋体"/>
          <w:spacing w:val="-6"/>
          <w:sz w:val="24"/>
        </w:rPr>
      </w:pPr>
    </w:p>
    <w:p w14:paraId="45B7FD2D">
      <w:pPr>
        <w:spacing w:line="360" w:lineRule="auto"/>
        <w:rPr>
          <w:rFonts w:hint="eastAsia" w:ascii="宋体" w:hAnsi="宋体"/>
          <w:spacing w:val="-6"/>
          <w:sz w:val="24"/>
        </w:rPr>
      </w:pPr>
    </w:p>
    <w:p w14:paraId="0987D1AC">
      <w:pPr>
        <w:spacing w:line="360" w:lineRule="auto"/>
        <w:rPr>
          <w:rFonts w:hint="eastAsia" w:ascii="宋体" w:hAnsi="宋体"/>
          <w:spacing w:val="-6"/>
          <w:sz w:val="24"/>
        </w:rPr>
      </w:pPr>
      <w:r>
        <w:rPr>
          <w:rFonts w:hint="eastAsia" w:ascii="宋体" w:hAnsi="宋体"/>
          <w:spacing w:val="-6"/>
          <w:sz w:val="24"/>
        </w:rPr>
        <w:t>投标人名称（盖章）：</w:t>
      </w:r>
    </w:p>
    <w:p w14:paraId="63803652">
      <w:pPr>
        <w:pStyle w:val="26"/>
        <w:spacing w:line="360" w:lineRule="auto"/>
        <w:ind w:left="0" w:firstLine="0" w:firstLineChars="0"/>
        <w:rPr>
          <w:rFonts w:ascii="宋体" w:hAnsi="宋体"/>
          <w:bCs/>
          <w:sz w:val="21"/>
          <w:szCs w:val="21"/>
        </w:rPr>
      </w:pPr>
      <w:r>
        <w:rPr>
          <w:rFonts w:hint="eastAsia" w:ascii="宋体" w:hAnsi="宋体"/>
          <w:spacing w:val="-6"/>
          <w:sz w:val="24"/>
        </w:rPr>
        <w:t>日期：     年   月   日</w:t>
      </w:r>
    </w:p>
    <w:p w14:paraId="2C5A3F46">
      <w:pPr>
        <w:spacing w:line="360" w:lineRule="auto"/>
        <w:jc w:val="center"/>
        <w:outlineLvl w:val="2"/>
        <w:rPr>
          <w:rFonts w:ascii="宋体" w:hAnsi="宋体"/>
          <w:b/>
          <w:sz w:val="24"/>
        </w:rPr>
      </w:pPr>
      <w:r>
        <w:rPr>
          <w:rFonts w:ascii="宋体" w:hAnsi="宋体"/>
          <w:b/>
          <w:sz w:val="52"/>
          <w:szCs w:val="52"/>
        </w:rPr>
        <w:br w:type="page"/>
      </w:r>
      <w:r>
        <w:rPr>
          <w:rFonts w:hint="eastAsia" w:ascii="宋体" w:hAnsi="宋体"/>
          <w:b/>
          <w:sz w:val="24"/>
        </w:rPr>
        <w:t>保证金缴纳凭证</w:t>
      </w:r>
    </w:p>
    <w:p w14:paraId="6B22BC53">
      <w:pPr>
        <w:spacing w:line="360" w:lineRule="auto"/>
        <w:jc w:val="center"/>
        <w:outlineLvl w:val="2"/>
        <w:rPr>
          <w:rFonts w:hint="eastAsia" w:ascii="宋体" w:hAnsi="宋体"/>
          <w:b/>
          <w:sz w:val="24"/>
        </w:rPr>
      </w:pPr>
      <w:r>
        <w:rPr>
          <w:rFonts w:ascii="宋体" w:hAnsi="宋体"/>
          <w:b/>
          <w:sz w:val="52"/>
          <w:szCs w:val="52"/>
        </w:rPr>
        <w:br w:type="page"/>
      </w:r>
      <w:r>
        <w:rPr>
          <w:rFonts w:hint="eastAsia" w:ascii="宋体" w:hAnsi="宋体"/>
          <w:b/>
          <w:sz w:val="24"/>
        </w:rPr>
        <w:t>投标人需要说明的其他文件和材料</w:t>
      </w:r>
    </w:p>
    <w:p w14:paraId="2FE6A230">
      <w:pPr>
        <w:spacing w:line="360" w:lineRule="auto"/>
        <w:rPr>
          <w:sz w:val="21"/>
          <w:szCs w:val="21"/>
        </w:rPr>
      </w:pPr>
    </w:p>
    <w:p w14:paraId="40706C96">
      <w:pPr>
        <w:spacing w:line="360" w:lineRule="auto"/>
        <w:rPr>
          <w:sz w:val="21"/>
          <w:szCs w:val="21"/>
        </w:rPr>
      </w:pPr>
    </w:p>
    <w:p w14:paraId="15238BF4">
      <w:pPr>
        <w:outlineLvl w:val="9"/>
        <w:rPr>
          <w:sz w:val="21"/>
          <w:szCs w:val="21"/>
        </w:rPr>
      </w:pPr>
    </w:p>
    <w:p w14:paraId="15511DE6">
      <w:pPr>
        <w:rPr>
          <w:sz w:val="21"/>
          <w:szCs w:val="21"/>
        </w:rPr>
      </w:pPr>
    </w:p>
    <w:p w14:paraId="79EF15C7">
      <w:pPr>
        <w:outlineLvl w:val="9"/>
        <w:rPr>
          <w:sz w:val="21"/>
          <w:szCs w:val="21"/>
        </w:rPr>
      </w:pPr>
    </w:p>
    <w:p w14:paraId="621F1D9D">
      <w:pPr>
        <w:rPr>
          <w:sz w:val="21"/>
          <w:szCs w:val="21"/>
        </w:rPr>
      </w:pPr>
    </w:p>
    <w:p w14:paraId="7BF1CE9F">
      <w:pPr>
        <w:outlineLvl w:val="9"/>
        <w:rPr>
          <w:sz w:val="21"/>
          <w:szCs w:val="21"/>
        </w:rPr>
      </w:pPr>
    </w:p>
    <w:p w14:paraId="620E9B6D">
      <w:pPr>
        <w:rPr>
          <w:sz w:val="21"/>
          <w:szCs w:val="21"/>
        </w:rPr>
      </w:pPr>
    </w:p>
    <w:p w14:paraId="44DD4189">
      <w:pPr>
        <w:outlineLvl w:val="9"/>
        <w:rPr>
          <w:sz w:val="21"/>
          <w:szCs w:val="21"/>
        </w:rPr>
      </w:pPr>
    </w:p>
    <w:p w14:paraId="193BA1AC">
      <w:pPr>
        <w:rPr>
          <w:sz w:val="21"/>
          <w:szCs w:val="21"/>
        </w:rPr>
      </w:pPr>
    </w:p>
    <w:p w14:paraId="5263FB26">
      <w:pPr>
        <w:outlineLvl w:val="9"/>
        <w:rPr>
          <w:sz w:val="21"/>
          <w:szCs w:val="21"/>
        </w:rPr>
      </w:pPr>
    </w:p>
    <w:p w14:paraId="5F0A0A7F">
      <w:pPr>
        <w:rPr>
          <w:sz w:val="21"/>
          <w:szCs w:val="21"/>
        </w:rPr>
      </w:pPr>
    </w:p>
    <w:p w14:paraId="3D4C5D17">
      <w:pPr>
        <w:outlineLvl w:val="9"/>
        <w:rPr>
          <w:sz w:val="21"/>
          <w:szCs w:val="21"/>
        </w:rPr>
      </w:pPr>
    </w:p>
    <w:p w14:paraId="3CFA6DF1">
      <w:pPr>
        <w:rPr>
          <w:sz w:val="21"/>
          <w:szCs w:val="21"/>
        </w:rPr>
      </w:pPr>
    </w:p>
    <w:p w14:paraId="4593E105">
      <w:pPr>
        <w:outlineLvl w:val="9"/>
        <w:rPr>
          <w:sz w:val="21"/>
          <w:szCs w:val="21"/>
        </w:rPr>
      </w:pPr>
    </w:p>
    <w:p w14:paraId="214E6351">
      <w:pPr>
        <w:rPr>
          <w:sz w:val="21"/>
          <w:szCs w:val="21"/>
        </w:rPr>
      </w:pPr>
    </w:p>
    <w:p w14:paraId="32777537">
      <w:pPr>
        <w:spacing w:line="360" w:lineRule="auto"/>
        <w:jc w:val="center"/>
        <w:outlineLvl w:val="9"/>
        <w:rPr>
          <w:rFonts w:hint="eastAsia" w:ascii="宋体" w:hAnsi="宋体" w:cs="宋体"/>
          <w:b/>
          <w:sz w:val="24"/>
        </w:rPr>
      </w:pPr>
    </w:p>
    <w:p w14:paraId="74485D97">
      <w:pPr>
        <w:spacing w:line="360" w:lineRule="auto"/>
        <w:jc w:val="center"/>
        <w:outlineLvl w:val="9"/>
        <w:rPr>
          <w:rFonts w:hint="eastAsia" w:ascii="宋体" w:hAnsi="宋体" w:cs="宋体"/>
          <w:b/>
          <w:sz w:val="24"/>
        </w:rPr>
      </w:pPr>
    </w:p>
    <w:p w14:paraId="43DD73C6">
      <w:pPr>
        <w:spacing w:line="360" w:lineRule="auto"/>
        <w:jc w:val="center"/>
        <w:outlineLvl w:val="9"/>
        <w:rPr>
          <w:rFonts w:hint="eastAsia" w:ascii="宋体" w:hAnsi="宋体" w:cs="宋体"/>
          <w:b/>
          <w:sz w:val="24"/>
        </w:rPr>
      </w:pPr>
    </w:p>
    <w:p w14:paraId="1A5BD922">
      <w:pPr>
        <w:spacing w:line="360" w:lineRule="auto"/>
        <w:jc w:val="center"/>
        <w:outlineLvl w:val="9"/>
        <w:rPr>
          <w:rFonts w:hint="eastAsia" w:ascii="宋体" w:hAnsi="宋体" w:cs="宋体"/>
          <w:b/>
          <w:sz w:val="24"/>
        </w:rPr>
      </w:pPr>
    </w:p>
    <w:p w14:paraId="3D6FDDBB">
      <w:pPr>
        <w:spacing w:line="360" w:lineRule="auto"/>
        <w:jc w:val="center"/>
        <w:outlineLvl w:val="9"/>
        <w:rPr>
          <w:rFonts w:hint="eastAsia" w:ascii="宋体" w:hAnsi="宋体" w:cs="宋体"/>
          <w:b/>
          <w:sz w:val="24"/>
        </w:rPr>
      </w:pPr>
    </w:p>
    <w:p w14:paraId="3D25C461">
      <w:pPr>
        <w:spacing w:line="360" w:lineRule="auto"/>
        <w:jc w:val="center"/>
        <w:outlineLvl w:val="1"/>
        <w:rPr>
          <w:rFonts w:hint="eastAsia" w:ascii="宋体" w:hAnsi="宋体"/>
          <w:b/>
          <w:sz w:val="52"/>
          <w:szCs w:val="52"/>
        </w:rPr>
      </w:pPr>
      <w:r>
        <w:rPr>
          <w:rFonts w:hint="eastAsia" w:ascii="宋体" w:hAnsi="宋体"/>
          <w:b/>
          <w:sz w:val="52"/>
          <w:szCs w:val="52"/>
        </w:rPr>
        <w:br w:type="page"/>
      </w:r>
      <w:r>
        <w:rPr>
          <w:rFonts w:hint="eastAsia" w:ascii="宋体" w:hAnsi="宋体"/>
          <w:b/>
          <w:sz w:val="52"/>
          <w:szCs w:val="52"/>
        </w:rPr>
        <w:t>技术文件</w:t>
      </w:r>
    </w:p>
    <w:p w14:paraId="13E38A5D">
      <w:pPr>
        <w:spacing w:line="360" w:lineRule="auto"/>
        <w:jc w:val="center"/>
        <w:outlineLvl w:val="1"/>
        <w:rPr>
          <w:rFonts w:hint="eastAsia" w:ascii="宋体" w:hAnsi="宋体"/>
          <w:b/>
          <w:bCs/>
          <w:spacing w:val="-6"/>
          <w:sz w:val="24"/>
        </w:rPr>
      </w:pPr>
      <w:r>
        <w:rPr>
          <w:rFonts w:hint="eastAsia" w:ascii="宋体" w:hAnsi="宋体"/>
          <w:b/>
          <w:bCs/>
          <w:spacing w:val="-6"/>
          <w:sz w:val="24"/>
          <w:lang w:val="en-US" w:eastAsia="zh-CN"/>
        </w:rPr>
        <w:t>商务</w:t>
      </w:r>
      <w:r>
        <w:rPr>
          <w:rFonts w:hint="eastAsia" w:ascii="宋体" w:hAnsi="宋体"/>
          <w:b/>
          <w:bCs/>
          <w:spacing w:val="-6"/>
          <w:sz w:val="24"/>
        </w:rPr>
        <w:t>技术方案</w:t>
      </w:r>
    </w:p>
    <w:p w14:paraId="72CAC354">
      <w:pPr>
        <w:spacing w:line="360" w:lineRule="auto"/>
        <w:rPr>
          <w:rFonts w:hint="eastAsia" w:ascii="宋体" w:hAnsi="宋体" w:cs="宋体"/>
          <w:sz w:val="21"/>
          <w:szCs w:val="21"/>
        </w:rPr>
      </w:pPr>
      <w:r>
        <w:rPr>
          <w:rFonts w:hint="eastAsia" w:ascii="宋体" w:hAnsi="宋体" w:cs="宋体"/>
          <w:sz w:val="21"/>
          <w:szCs w:val="21"/>
        </w:rPr>
        <w:t>说明：根据评分细则提供和编写格式自拟，包括但不仅限于：</w:t>
      </w:r>
    </w:p>
    <w:p w14:paraId="38B4DEDA">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rPr>
        <w:t>1.浙银善标</w:t>
      </w:r>
    </w:p>
    <w:p w14:paraId="459CBD57">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rPr>
        <w:t>2.企业业绩</w:t>
      </w:r>
    </w:p>
    <w:p w14:paraId="642238DB">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rPr>
        <w:t>3.项目负责人业绩</w:t>
      </w:r>
    </w:p>
    <w:p w14:paraId="452B8A68">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rPr>
        <w:t>4.项目负责人能力</w:t>
      </w:r>
    </w:p>
    <w:p w14:paraId="140D60C0">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rPr>
        <w:t>5.服务团队人员能力</w:t>
      </w:r>
    </w:p>
    <w:p w14:paraId="3994FDB5">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.总体施工部署</w:t>
      </w:r>
    </w:p>
    <w:p w14:paraId="52C35BD9">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.施工方案</w:t>
      </w:r>
    </w:p>
    <w:p w14:paraId="00BB245C">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.质量保证措施方案</w:t>
      </w:r>
    </w:p>
    <w:p w14:paraId="0A2EFE70">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.施工进度计划和保障措施</w:t>
      </w:r>
    </w:p>
    <w:p w14:paraId="4F00C07F">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.施工设备配备情况</w:t>
      </w:r>
    </w:p>
    <w:p w14:paraId="41944ADA">
      <w:pPr>
        <w:pStyle w:val="4"/>
        <w:spacing w:before="0" w:after="0" w:line="360" w:lineRule="auto"/>
        <w:ind w:firstLine="0" w:firstLineChars="0"/>
        <w:outlineLvl w:val="2"/>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.安全生产、文明施工、环境保护措施</w:t>
      </w:r>
    </w:p>
    <w:p w14:paraId="5E954F33">
      <w:pPr>
        <w:outlineLvl w:val="9"/>
        <w:rPr>
          <w:rFonts w:hint="eastAsia" w:ascii="宋体" w:hAnsi="宋体" w:eastAsia="宋体" w:cs="宋体"/>
          <w:sz w:val="24"/>
          <w:szCs w:val="24"/>
        </w:rPr>
      </w:pPr>
    </w:p>
    <w:p w14:paraId="7677467B">
      <w:pPr>
        <w:outlineLvl w:val="9"/>
        <w:rPr>
          <w:rFonts w:hint="eastAsia" w:ascii="宋体" w:hAnsi="宋体" w:eastAsia="宋体" w:cs="宋体"/>
          <w:sz w:val="24"/>
          <w:szCs w:val="24"/>
        </w:rPr>
      </w:pPr>
    </w:p>
    <w:sectPr>
      <w:footerReference r:id="rId10" w:type="default"/>
      <w:pgSz w:w="11906" w:h="16838"/>
      <w:pgMar w:top="1440" w:right="1247" w:bottom="1440" w:left="1247" w:header="283" w:footer="85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Segoe Print"/>
    <w:panose1 w:val="00000000000000000000"/>
    <w:charset w:val="00"/>
    <w:family w:val="auto"/>
    <w:pitch w:val="default"/>
    <w:sig w:usb0="00000000" w:usb1="00000000" w:usb2="00000002" w:usb3="00000000" w:csb0="00000007" w:csb1="00000000"/>
  </w:font>
  <w:font w:name="Segoe Print">
    <w:panose1 w:val="02000600000000000000"/>
    <w:charset w:val="00"/>
    <w:family w:val="auto"/>
    <w:pitch w:val="default"/>
    <w:sig w:usb0="0000028F" w:usb1="00000000" w:usb2="00000000" w:usb3="00000000" w:csb0="2000009F" w:csb1="4701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CS?o｡ﾀ?">
    <w:altName w:val="Yu Gothic"/>
    <w:panose1 w:val="00000000000000000000"/>
    <w:charset w:val="80"/>
    <w:family w:val="modern"/>
    <w:pitch w:val="default"/>
    <w:sig w:usb0="00000000" w:usb1="00000000" w:usb2="00000010" w:usb3="00000000" w:csb0="00020000"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Segoe UI Emoji">
    <w:panose1 w:val="020B0502040204020203"/>
    <w:charset w:val="00"/>
    <w:family w:val="swiss"/>
    <w:pitch w:val="default"/>
    <w:sig w:usb0="00000001" w:usb1="02000000" w:usb2="08000000" w:usb3="00000000" w:csb0="00000001" w:csb1="00000000"/>
  </w:font>
  <w:font w:name="方正小标宋简体">
    <w:altName w:val="微软雅黑"/>
    <w:panose1 w:val="00000000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23C81">
    <w:pPr>
      <w:ind w:right="56"/>
      <w:rPr>
        <w:rFonts w:hint="eastAsia"/>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C1663">
    <w:pPr>
      <w:ind w:right="56"/>
      <w:rPr>
        <w:rFonts w:hint="eastAsia"/>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6B148">
    <w:pPr>
      <w:pStyle w:val="21"/>
      <w:jc w:val="center"/>
    </w:pPr>
    <w:r>
      <w:fldChar w:fldCharType="begin"/>
    </w:r>
    <w:r>
      <w:instrText xml:space="preserve">PAGE   \* MERGEFORMAT</w:instrText>
    </w:r>
    <w:r>
      <w:fldChar w:fldCharType="separate"/>
    </w:r>
    <w:r>
      <w:rPr>
        <w:lang w:val="zh-CN"/>
      </w:rPr>
      <w:t>20</w:t>
    </w:r>
    <w:r>
      <w:rPr>
        <w:lang w:val="zh-CN"/>
      </w:rPr>
      <w:fldChar w:fldCharType="end"/>
    </w:r>
  </w:p>
  <w:p w14:paraId="29444E83">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06FC9">
    <w:pPr>
      <w:pStyle w:val="21"/>
      <w:jc w:val="center"/>
    </w:pPr>
  </w:p>
  <w:p w14:paraId="0C524312">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DFED4">
    <w:pPr>
      <w:pStyle w:val="21"/>
      <w:jc w:val="center"/>
    </w:pPr>
    <w:r>
      <w:fldChar w:fldCharType="begin"/>
    </w:r>
    <w:r>
      <w:instrText xml:space="preserve">PAGE   \* MERGEFORMAT</w:instrText>
    </w:r>
    <w:r>
      <w:fldChar w:fldCharType="separate"/>
    </w:r>
    <w:r>
      <w:rPr>
        <w:lang w:val="zh-CN"/>
      </w:rPr>
      <w:t>130</w:t>
    </w:r>
    <w:r>
      <w:rPr>
        <w:lang w:val="zh-CN"/>
      </w:rPr>
      <w:fldChar w:fldCharType="end"/>
    </w:r>
  </w:p>
  <w:p w14:paraId="118761F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47CF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1A87E">
    <w:pPr>
      <w:pStyle w:val="21"/>
      <w:jc w:val="center"/>
      <w:rPr>
        <w:rFonts w:hint="eastAsia"/>
      </w:rPr>
    </w:pPr>
    <w:r>
      <w:fldChar w:fldCharType="begin"/>
    </w:r>
    <w:r>
      <w:instrText xml:space="preserve">PAGE   \* MERGEFORMAT</w:instrText>
    </w:r>
    <w:r>
      <w:fldChar w:fldCharType="separate"/>
    </w:r>
    <w:r>
      <w:rPr>
        <w:lang w:val="zh-CN"/>
      </w:rPr>
      <w:t>60</w:t>
    </w:r>
    <w:r>
      <w:fldChar w:fldCharType="end"/>
    </w:r>
  </w:p>
  <w:p w14:paraId="78FA1B0F">
    <w:pPr>
      <w:ind w:right="56"/>
      <w:rPr>
        <w:rFonts w:hint="eastAsia"/>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E2763">
    <w:pPr>
      <w:pStyle w:val="22"/>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7"/>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603C5CD8"/>
    <w:multiLevelType w:val="singleLevel"/>
    <w:tmpl w:val="603C5CD8"/>
    <w:lvl w:ilvl="0" w:tentative="0">
      <w:start w:val="1"/>
      <w:numFmt w:val="decimal"/>
      <w:lvlText w:val="(%1)"/>
      <w:lvlJc w:val="left"/>
      <w:pPr>
        <w:ind w:left="0" w:firstLine="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4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50C6"/>
    <w:rsid w:val="000628B9"/>
    <w:rsid w:val="00070CDF"/>
    <w:rsid w:val="00071765"/>
    <w:rsid w:val="001112AC"/>
    <w:rsid w:val="001248BA"/>
    <w:rsid w:val="0014022E"/>
    <w:rsid w:val="001437A3"/>
    <w:rsid w:val="00152DAD"/>
    <w:rsid w:val="00191806"/>
    <w:rsid w:val="001D7E4E"/>
    <w:rsid w:val="001F197D"/>
    <w:rsid w:val="001F3A53"/>
    <w:rsid w:val="00205C7B"/>
    <w:rsid w:val="002127E0"/>
    <w:rsid w:val="00216C2F"/>
    <w:rsid w:val="002201BC"/>
    <w:rsid w:val="0023456F"/>
    <w:rsid w:val="00234D37"/>
    <w:rsid w:val="00240C85"/>
    <w:rsid w:val="0025076D"/>
    <w:rsid w:val="00261E51"/>
    <w:rsid w:val="00266270"/>
    <w:rsid w:val="00266BE9"/>
    <w:rsid w:val="002963F6"/>
    <w:rsid w:val="002B4F82"/>
    <w:rsid w:val="002B7F22"/>
    <w:rsid w:val="002E3375"/>
    <w:rsid w:val="002F2859"/>
    <w:rsid w:val="00313DB2"/>
    <w:rsid w:val="003A2BB6"/>
    <w:rsid w:val="003A4B71"/>
    <w:rsid w:val="003B55A5"/>
    <w:rsid w:val="003B6A7B"/>
    <w:rsid w:val="003B76AA"/>
    <w:rsid w:val="003B79B1"/>
    <w:rsid w:val="003C00BB"/>
    <w:rsid w:val="004240CE"/>
    <w:rsid w:val="0042489F"/>
    <w:rsid w:val="00434EE4"/>
    <w:rsid w:val="0046118C"/>
    <w:rsid w:val="00467B02"/>
    <w:rsid w:val="004B777E"/>
    <w:rsid w:val="004B7D4F"/>
    <w:rsid w:val="004C138A"/>
    <w:rsid w:val="004D00E5"/>
    <w:rsid w:val="004D47AC"/>
    <w:rsid w:val="004D5927"/>
    <w:rsid w:val="004E1C17"/>
    <w:rsid w:val="00526C41"/>
    <w:rsid w:val="00551676"/>
    <w:rsid w:val="0056246F"/>
    <w:rsid w:val="005641C0"/>
    <w:rsid w:val="005960A7"/>
    <w:rsid w:val="00597A2C"/>
    <w:rsid w:val="005B0F04"/>
    <w:rsid w:val="005B2AE8"/>
    <w:rsid w:val="005C2064"/>
    <w:rsid w:val="005C3516"/>
    <w:rsid w:val="005F1E3C"/>
    <w:rsid w:val="005F416F"/>
    <w:rsid w:val="00621ACD"/>
    <w:rsid w:val="00632981"/>
    <w:rsid w:val="00640638"/>
    <w:rsid w:val="00655EFE"/>
    <w:rsid w:val="00672A08"/>
    <w:rsid w:val="006873AC"/>
    <w:rsid w:val="006C4695"/>
    <w:rsid w:val="007011DB"/>
    <w:rsid w:val="007462C4"/>
    <w:rsid w:val="007559D5"/>
    <w:rsid w:val="007612F7"/>
    <w:rsid w:val="00770C16"/>
    <w:rsid w:val="007715AB"/>
    <w:rsid w:val="007970BB"/>
    <w:rsid w:val="007D0055"/>
    <w:rsid w:val="007E1DE0"/>
    <w:rsid w:val="007E56EF"/>
    <w:rsid w:val="0081512D"/>
    <w:rsid w:val="00815246"/>
    <w:rsid w:val="00815965"/>
    <w:rsid w:val="00825C3E"/>
    <w:rsid w:val="008319D4"/>
    <w:rsid w:val="00833028"/>
    <w:rsid w:val="00842247"/>
    <w:rsid w:val="00844433"/>
    <w:rsid w:val="00856132"/>
    <w:rsid w:val="00882E4F"/>
    <w:rsid w:val="00891C08"/>
    <w:rsid w:val="00892236"/>
    <w:rsid w:val="008973CA"/>
    <w:rsid w:val="008A369C"/>
    <w:rsid w:val="008B7A26"/>
    <w:rsid w:val="008C271C"/>
    <w:rsid w:val="008C284A"/>
    <w:rsid w:val="008E2A19"/>
    <w:rsid w:val="008E53AD"/>
    <w:rsid w:val="009102AD"/>
    <w:rsid w:val="009304F4"/>
    <w:rsid w:val="009415DF"/>
    <w:rsid w:val="009417F6"/>
    <w:rsid w:val="00944AF6"/>
    <w:rsid w:val="00967D0A"/>
    <w:rsid w:val="009757B6"/>
    <w:rsid w:val="009C020E"/>
    <w:rsid w:val="00A0248A"/>
    <w:rsid w:val="00A07727"/>
    <w:rsid w:val="00A2327A"/>
    <w:rsid w:val="00A24263"/>
    <w:rsid w:val="00A268AA"/>
    <w:rsid w:val="00A52DD6"/>
    <w:rsid w:val="00A54EE3"/>
    <w:rsid w:val="00A804FF"/>
    <w:rsid w:val="00A80F89"/>
    <w:rsid w:val="00A8583F"/>
    <w:rsid w:val="00AA6885"/>
    <w:rsid w:val="00AA6D2F"/>
    <w:rsid w:val="00AA7B5E"/>
    <w:rsid w:val="00AC2439"/>
    <w:rsid w:val="00AD32D6"/>
    <w:rsid w:val="00B0779D"/>
    <w:rsid w:val="00B56E72"/>
    <w:rsid w:val="00B61159"/>
    <w:rsid w:val="00B6627F"/>
    <w:rsid w:val="00B7430F"/>
    <w:rsid w:val="00B84F51"/>
    <w:rsid w:val="00BE2521"/>
    <w:rsid w:val="00BE4EB1"/>
    <w:rsid w:val="00C04517"/>
    <w:rsid w:val="00C07A4B"/>
    <w:rsid w:val="00C17412"/>
    <w:rsid w:val="00C25DF2"/>
    <w:rsid w:val="00C34E28"/>
    <w:rsid w:val="00C60C1D"/>
    <w:rsid w:val="00C717B3"/>
    <w:rsid w:val="00C86CB9"/>
    <w:rsid w:val="00CA1A90"/>
    <w:rsid w:val="00CA40FA"/>
    <w:rsid w:val="00CC79FC"/>
    <w:rsid w:val="00CD79DE"/>
    <w:rsid w:val="00CE5905"/>
    <w:rsid w:val="00CF087B"/>
    <w:rsid w:val="00D05A72"/>
    <w:rsid w:val="00D315B6"/>
    <w:rsid w:val="00D362F7"/>
    <w:rsid w:val="00D47A0E"/>
    <w:rsid w:val="00D508E7"/>
    <w:rsid w:val="00D60DC0"/>
    <w:rsid w:val="00D71339"/>
    <w:rsid w:val="00D80E08"/>
    <w:rsid w:val="00DB36FF"/>
    <w:rsid w:val="00DC7177"/>
    <w:rsid w:val="00DC7909"/>
    <w:rsid w:val="00DF449C"/>
    <w:rsid w:val="00E1320E"/>
    <w:rsid w:val="00E26F54"/>
    <w:rsid w:val="00E30944"/>
    <w:rsid w:val="00E4624A"/>
    <w:rsid w:val="00E64007"/>
    <w:rsid w:val="00E97DE9"/>
    <w:rsid w:val="00EB647B"/>
    <w:rsid w:val="00EC13C6"/>
    <w:rsid w:val="00F04471"/>
    <w:rsid w:val="00F2382E"/>
    <w:rsid w:val="00F37B66"/>
    <w:rsid w:val="00F41CCF"/>
    <w:rsid w:val="00F5784B"/>
    <w:rsid w:val="00F834B8"/>
    <w:rsid w:val="00F87CA0"/>
    <w:rsid w:val="00F979A5"/>
    <w:rsid w:val="00FB6C12"/>
    <w:rsid w:val="00FD280F"/>
    <w:rsid w:val="00FD6CA7"/>
    <w:rsid w:val="00FE4B76"/>
    <w:rsid w:val="00FF2FA1"/>
    <w:rsid w:val="01123697"/>
    <w:rsid w:val="01E34BA3"/>
    <w:rsid w:val="02CC4CA2"/>
    <w:rsid w:val="042D13E6"/>
    <w:rsid w:val="043258C8"/>
    <w:rsid w:val="04402605"/>
    <w:rsid w:val="04560294"/>
    <w:rsid w:val="04580746"/>
    <w:rsid w:val="048B7BF6"/>
    <w:rsid w:val="04C9540B"/>
    <w:rsid w:val="06773EA4"/>
    <w:rsid w:val="06DC0977"/>
    <w:rsid w:val="077F14C3"/>
    <w:rsid w:val="07E23ED8"/>
    <w:rsid w:val="085B3B1D"/>
    <w:rsid w:val="08960EF9"/>
    <w:rsid w:val="08A1665B"/>
    <w:rsid w:val="0966617B"/>
    <w:rsid w:val="098636DC"/>
    <w:rsid w:val="09D94E2B"/>
    <w:rsid w:val="0A314732"/>
    <w:rsid w:val="0BD62CFC"/>
    <w:rsid w:val="0BE92617"/>
    <w:rsid w:val="0C724AF9"/>
    <w:rsid w:val="0C9A19A3"/>
    <w:rsid w:val="0CDD4B91"/>
    <w:rsid w:val="0CEA7632"/>
    <w:rsid w:val="0D2362D1"/>
    <w:rsid w:val="0D7B2DAD"/>
    <w:rsid w:val="0E3F6E23"/>
    <w:rsid w:val="0F2C7440"/>
    <w:rsid w:val="0F35700D"/>
    <w:rsid w:val="0F3D085D"/>
    <w:rsid w:val="1011738C"/>
    <w:rsid w:val="103E28A0"/>
    <w:rsid w:val="105570A4"/>
    <w:rsid w:val="115049F7"/>
    <w:rsid w:val="116271CE"/>
    <w:rsid w:val="11754848"/>
    <w:rsid w:val="11B015BA"/>
    <w:rsid w:val="11BA2754"/>
    <w:rsid w:val="11C449B6"/>
    <w:rsid w:val="11E85E6F"/>
    <w:rsid w:val="12C23598"/>
    <w:rsid w:val="12CA6708"/>
    <w:rsid w:val="12E76D96"/>
    <w:rsid w:val="139A79B0"/>
    <w:rsid w:val="13E4319D"/>
    <w:rsid w:val="140A43D4"/>
    <w:rsid w:val="161F16EA"/>
    <w:rsid w:val="1722157F"/>
    <w:rsid w:val="177F36E7"/>
    <w:rsid w:val="178A1933"/>
    <w:rsid w:val="1825592A"/>
    <w:rsid w:val="18BC1320"/>
    <w:rsid w:val="18C748B7"/>
    <w:rsid w:val="18C96438"/>
    <w:rsid w:val="19484788"/>
    <w:rsid w:val="1B3A29B9"/>
    <w:rsid w:val="1B3E0616"/>
    <w:rsid w:val="1B6B6A0B"/>
    <w:rsid w:val="1B987E17"/>
    <w:rsid w:val="1BC2419D"/>
    <w:rsid w:val="1C28490B"/>
    <w:rsid w:val="1C5A188F"/>
    <w:rsid w:val="1CB30BA0"/>
    <w:rsid w:val="1CC2405F"/>
    <w:rsid w:val="1E0526EA"/>
    <w:rsid w:val="1E185370"/>
    <w:rsid w:val="1EDB1DA7"/>
    <w:rsid w:val="1F081675"/>
    <w:rsid w:val="1F3A21AE"/>
    <w:rsid w:val="201B3415"/>
    <w:rsid w:val="2022734B"/>
    <w:rsid w:val="209568FF"/>
    <w:rsid w:val="20AE4E77"/>
    <w:rsid w:val="21250937"/>
    <w:rsid w:val="21A66D8A"/>
    <w:rsid w:val="21CB29EC"/>
    <w:rsid w:val="21E23E84"/>
    <w:rsid w:val="22FF4879"/>
    <w:rsid w:val="23891CDB"/>
    <w:rsid w:val="23921869"/>
    <w:rsid w:val="23B22814"/>
    <w:rsid w:val="24271D5D"/>
    <w:rsid w:val="25156162"/>
    <w:rsid w:val="2586633E"/>
    <w:rsid w:val="25B53AED"/>
    <w:rsid w:val="25C04903"/>
    <w:rsid w:val="25CD5911"/>
    <w:rsid w:val="26255B71"/>
    <w:rsid w:val="27C070C8"/>
    <w:rsid w:val="280F4BC6"/>
    <w:rsid w:val="28385267"/>
    <w:rsid w:val="288600D5"/>
    <w:rsid w:val="28CE17CF"/>
    <w:rsid w:val="2A6B0033"/>
    <w:rsid w:val="2A8B7F76"/>
    <w:rsid w:val="2A932D29"/>
    <w:rsid w:val="2ADA38A0"/>
    <w:rsid w:val="2B1A333A"/>
    <w:rsid w:val="2BEA1817"/>
    <w:rsid w:val="2C3D01A4"/>
    <w:rsid w:val="2D126F78"/>
    <w:rsid w:val="2D5C786C"/>
    <w:rsid w:val="2D684463"/>
    <w:rsid w:val="2DA81709"/>
    <w:rsid w:val="2E1F4A69"/>
    <w:rsid w:val="2F2A0F8B"/>
    <w:rsid w:val="2F691E8C"/>
    <w:rsid w:val="2FCB77A3"/>
    <w:rsid w:val="2FDD2B3F"/>
    <w:rsid w:val="302232C0"/>
    <w:rsid w:val="30267026"/>
    <w:rsid w:val="31165B3E"/>
    <w:rsid w:val="31182AB9"/>
    <w:rsid w:val="318922F7"/>
    <w:rsid w:val="31894D36"/>
    <w:rsid w:val="31CE63EC"/>
    <w:rsid w:val="31EB5616"/>
    <w:rsid w:val="322040CC"/>
    <w:rsid w:val="32311DE8"/>
    <w:rsid w:val="324E3917"/>
    <w:rsid w:val="324F43DA"/>
    <w:rsid w:val="32FF49F7"/>
    <w:rsid w:val="33A57F41"/>
    <w:rsid w:val="34255A9B"/>
    <w:rsid w:val="34F07847"/>
    <w:rsid w:val="35C80105"/>
    <w:rsid w:val="35C90CE2"/>
    <w:rsid w:val="361B4A4B"/>
    <w:rsid w:val="3686726A"/>
    <w:rsid w:val="36937A96"/>
    <w:rsid w:val="36B315CD"/>
    <w:rsid w:val="37692092"/>
    <w:rsid w:val="380D0904"/>
    <w:rsid w:val="382614AE"/>
    <w:rsid w:val="386D5B1C"/>
    <w:rsid w:val="397558C9"/>
    <w:rsid w:val="3A216795"/>
    <w:rsid w:val="3A575DDE"/>
    <w:rsid w:val="3B750477"/>
    <w:rsid w:val="3B8F0774"/>
    <w:rsid w:val="3BAF7625"/>
    <w:rsid w:val="3C841D58"/>
    <w:rsid w:val="3D582FA2"/>
    <w:rsid w:val="3D694228"/>
    <w:rsid w:val="3F3177DA"/>
    <w:rsid w:val="3F6D5535"/>
    <w:rsid w:val="3F7240AD"/>
    <w:rsid w:val="402F5D2B"/>
    <w:rsid w:val="40810365"/>
    <w:rsid w:val="40DF0F35"/>
    <w:rsid w:val="413D60BC"/>
    <w:rsid w:val="415C6226"/>
    <w:rsid w:val="417E3D53"/>
    <w:rsid w:val="425D618A"/>
    <w:rsid w:val="426B2108"/>
    <w:rsid w:val="42996072"/>
    <w:rsid w:val="4338295A"/>
    <w:rsid w:val="43427809"/>
    <w:rsid w:val="43D42422"/>
    <w:rsid w:val="444906F3"/>
    <w:rsid w:val="44C328BE"/>
    <w:rsid w:val="451505D5"/>
    <w:rsid w:val="45370F8A"/>
    <w:rsid w:val="454F78C2"/>
    <w:rsid w:val="461F60AF"/>
    <w:rsid w:val="46445615"/>
    <w:rsid w:val="46E64107"/>
    <w:rsid w:val="479C322F"/>
    <w:rsid w:val="496C0942"/>
    <w:rsid w:val="49D61B90"/>
    <w:rsid w:val="4A923A2D"/>
    <w:rsid w:val="4AB9768E"/>
    <w:rsid w:val="4B773502"/>
    <w:rsid w:val="4B91271A"/>
    <w:rsid w:val="4C4920B9"/>
    <w:rsid w:val="4CFC58CC"/>
    <w:rsid w:val="4D252B18"/>
    <w:rsid w:val="4D280422"/>
    <w:rsid w:val="4D5E3F19"/>
    <w:rsid w:val="4E3673D7"/>
    <w:rsid w:val="4F437A1E"/>
    <w:rsid w:val="4F891C18"/>
    <w:rsid w:val="4FBC7014"/>
    <w:rsid w:val="50407DAB"/>
    <w:rsid w:val="505A5A36"/>
    <w:rsid w:val="5073598C"/>
    <w:rsid w:val="508A1D63"/>
    <w:rsid w:val="526D311A"/>
    <w:rsid w:val="52CA333E"/>
    <w:rsid w:val="53A57ED9"/>
    <w:rsid w:val="542075B7"/>
    <w:rsid w:val="55C44544"/>
    <w:rsid w:val="56735BF1"/>
    <w:rsid w:val="568C2F3F"/>
    <w:rsid w:val="56E75BB3"/>
    <w:rsid w:val="56FD31B9"/>
    <w:rsid w:val="573E7E5F"/>
    <w:rsid w:val="57B47E72"/>
    <w:rsid w:val="57BC2B18"/>
    <w:rsid w:val="58250AFE"/>
    <w:rsid w:val="582D36B9"/>
    <w:rsid w:val="58AF078F"/>
    <w:rsid w:val="59BA08C1"/>
    <w:rsid w:val="5A4E3BB1"/>
    <w:rsid w:val="5BB71994"/>
    <w:rsid w:val="5C553A88"/>
    <w:rsid w:val="5C5A12B9"/>
    <w:rsid w:val="5C833D35"/>
    <w:rsid w:val="5D88503D"/>
    <w:rsid w:val="5DF7216D"/>
    <w:rsid w:val="5E5C36C0"/>
    <w:rsid w:val="5F0D0843"/>
    <w:rsid w:val="5F7A0C3E"/>
    <w:rsid w:val="5F88394B"/>
    <w:rsid w:val="5FC1703A"/>
    <w:rsid w:val="5FF81680"/>
    <w:rsid w:val="60284776"/>
    <w:rsid w:val="60824919"/>
    <w:rsid w:val="60E11874"/>
    <w:rsid w:val="61A4571F"/>
    <w:rsid w:val="61DD1805"/>
    <w:rsid w:val="63782642"/>
    <w:rsid w:val="641119D1"/>
    <w:rsid w:val="64274C5E"/>
    <w:rsid w:val="64677C45"/>
    <w:rsid w:val="647355C6"/>
    <w:rsid w:val="64743599"/>
    <w:rsid w:val="649C482E"/>
    <w:rsid w:val="65944411"/>
    <w:rsid w:val="66F704C3"/>
    <w:rsid w:val="67793D50"/>
    <w:rsid w:val="69005FBC"/>
    <w:rsid w:val="69141B6A"/>
    <w:rsid w:val="696D2877"/>
    <w:rsid w:val="69710F03"/>
    <w:rsid w:val="697A259C"/>
    <w:rsid w:val="69BB59BD"/>
    <w:rsid w:val="69C041B6"/>
    <w:rsid w:val="6A317132"/>
    <w:rsid w:val="6A55256E"/>
    <w:rsid w:val="6A8800FF"/>
    <w:rsid w:val="6B241685"/>
    <w:rsid w:val="6B634E75"/>
    <w:rsid w:val="6B885FF9"/>
    <w:rsid w:val="6BC53D93"/>
    <w:rsid w:val="6BD50F95"/>
    <w:rsid w:val="6BFC592F"/>
    <w:rsid w:val="6C107C57"/>
    <w:rsid w:val="6C2C2648"/>
    <w:rsid w:val="6CAB620B"/>
    <w:rsid w:val="6CE412B4"/>
    <w:rsid w:val="6D357DB9"/>
    <w:rsid w:val="6D6E7514"/>
    <w:rsid w:val="6EA66F8B"/>
    <w:rsid w:val="6EBC4D55"/>
    <w:rsid w:val="6ED43FE2"/>
    <w:rsid w:val="6EDF2F63"/>
    <w:rsid w:val="6F0312B7"/>
    <w:rsid w:val="6F252452"/>
    <w:rsid w:val="6FF57BC7"/>
    <w:rsid w:val="708304A5"/>
    <w:rsid w:val="70C0518B"/>
    <w:rsid w:val="71673F9B"/>
    <w:rsid w:val="71771330"/>
    <w:rsid w:val="728A5523"/>
    <w:rsid w:val="72F86E2E"/>
    <w:rsid w:val="73757E46"/>
    <w:rsid w:val="73E119CB"/>
    <w:rsid w:val="74080AC1"/>
    <w:rsid w:val="743C6043"/>
    <w:rsid w:val="744D0C93"/>
    <w:rsid w:val="749C569E"/>
    <w:rsid w:val="754A07B8"/>
    <w:rsid w:val="75977E43"/>
    <w:rsid w:val="76457F85"/>
    <w:rsid w:val="76E7394B"/>
    <w:rsid w:val="76F2678B"/>
    <w:rsid w:val="76F64001"/>
    <w:rsid w:val="772A798F"/>
    <w:rsid w:val="7772528F"/>
    <w:rsid w:val="787A05B6"/>
    <w:rsid w:val="78861BBC"/>
    <w:rsid w:val="793D7F73"/>
    <w:rsid w:val="797D2281"/>
    <w:rsid w:val="7B955BC2"/>
    <w:rsid w:val="7C600007"/>
    <w:rsid w:val="7C9B55C9"/>
    <w:rsid w:val="7D6A2F91"/>
    <w:rsid w:val="7D924301"/>
    <w:rsid w:val="7DAE7D8C"/>
    <w:rsid w:val="7ECB0AD9"/>
    <w:rsid w:val="7F963A83"/>
    <w:rsid w:val="7FA952C3"/>
    <w:rsid w:val="F7D1351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qFormat="1" w:unhideWhenUsed="0" w:uiPriority="0" w:semiHidden="0" w:name="toc 4"/>
    <w:lsdException w:qFormat="1" w:uiPriority="39" w:semiHidden="0"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2">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4"/>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45"/>
    <w:qFormat/>
    <w:uiPriority w:val="0"/>
    <w:pPr>
      <w:keepNext/>
      <w:keepLines/>
      <w:autoSpaceDE/>
      <w:autoSpaceDN/>
      <w:adjustRightInd/>
      <w:snapToGrid/>
      <w:spacing w:before="260" w:after="260" w:line="416" w:lineRule="auto"/>
      <w:jc w:val="both"/>
      <w:outlineLvl w:val="2"/>
    </w:pPr>
    <w:rPr>
      <w:rFonts w:ascii="Calibri" w:hAnsi="Calibri" w:eastAsia="宋体" w:cs="Times New Roman"/>
      <w:bCs/>
      <w:kern w:val="2"/>
      <w:sz w:val="32"/>
      <w:szCs w:val="32"/>
    </w:rPr>
  </w:style>
  <w:style w:type="paragraph" w:styleId="5">
    <w:name w:val="heading 4"/>
    <w:basedOn w:val="1"/>
    <w:next w:val="1"/>
    <w:link w:val="46"/>
    <w:qFormat/>
    <w:uiPriority w:val="0"/>
    <w:pPr>
      <w:keepNext/>
      <w:keepLines/>
      <w:spacing w:before="280" w:after="290" w:line="376" w:lineRule="auto"/>
      <w:outlineLvl w:val="3"/>
    </w:pPr>
    <w:rPr>
      <w:rFonts w:ascii="Cambria" w:hAnsi="Cambria"/>
      <w:b/>
      <w:bCs/>
      <w:sz w:val="28"/>
      <w:szCs w:val="28"/>
    </w:rPr>
  </w:style>
  <w:style w:type="character" w:default="1" w:styleId="35">
    <w:name w:val="Default Paragraph Font"/>
    <w:qFormat/>
    <w:uiPriority w:val="0"/>
  </w:style>
  <w:style w:type="table" w:default="1" w:styleId="33">
    <w:name w:val="Normal Table"/>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2520" w:leftChars="1200"/>
    </w:pPr>
  </w:style>
  <w:style w:type="paragraph" w:styleId="7">
    <w:name w:val="List Number"/>
    <w:basedOn w:val="1"/>
    <w:qFormat/>
    <w:uiPriority w:val="0"/>
    <w:pPr>
      <w:widowControl/>
      <w:numPr>
        <w:ilvl w:val="0"/>
        <w:numId w:val="1"/>
      </w:numPr>
      <w:tabs>
        <w:tab w:val="left" w:pos="454"/>
      </w:tabs>
      <w:spacing w:after="156" w:afterLines="50"/>
      <w:jc w:val="left"/>
    </w:pPr>
    <w:rPr>
      <w:kern w:val="0"/>
      <w:sz w:val="24"/>
      <w:szCs w:val="20"/>
    </w:rPr>
  </w:style>
  <w:style w:type="paragraph" w:styleId="8">
    <w:name w:val="Normal Indent"/>
    <w:basedOn w:val="1"/>
    <w:link w:val="47"/>
    <w:qFormat/>
    <w:uiPriority w:val="0"/>
    <w:pPr>
      <w:ind w:firstLine="420"/>
    </w:pPr>
    <w:rPr>
      <w:sz w:val="21"/>
      <w:szCs w:val="20"/>
    </w:rPr>
  </w:style>
  <w:style w:type="paragraph" w:styleId="9">
    <w:name w:val="caption"/>
    <w:basedOn w:val="1"/>
    <w:next w:val="1"/>
    <w:qFormat/>
    <w:uiPriority w:val="0"/>
    <w:pPr>
      <w:spacing w:before="152" w:beforeLines="0" w:after="160" w:afterLines="0"/>
    </w:pPr>
    <w:rPr>
      <w:rFonts w:ascii="Arial" w:hAnsi="Arial" w:eastAsia="黑体" w:cs="Arial"/>
      <w:sz w:val="20"/>
      <w:szCs w:val="20"/>
    </w:rPr>
  </w:style>
  <w:style w:type="paragraph" w:styleId="10">
    <w:name w:val="annotation text"/>
    <w:basedOn w:val="1"/>
    <w:link w:val="48"/>
    <w:unhideWhenUsed/>
    <w:qFormat/>
    <w:uiPriority w:val="0"/>
    <w:pPr>
      <w:jc w:val="left"/>
    </w:pPr>
  </w:style>
  <w:style w:type="paragraph" w:styleId="11">
    <w:name w:val="Body Text 3"/>
    <w:basedOn w:val="1"/>
    <w:link w:val="49"/>
    <w:qFormat/>
    <w:uiPriority w:val="99"/>
    <w:pPr>
      <w:autoSpaceDE w:val="0"/>
      <w:autoSpaceDN w:val="0"/>
      <w:adjustRightInd w:val="0"/>
      <w:spacing w:after="120"/>
      <w:jc w:val="left"/>
    </w:pPr>
    <w:rPr>
      <w:kern w:val="0"/>
      <w:sz w:val="16"/>
      <w:szCs w:val="16"/>
    </w:rPr>
  </w:style>
  <w:style w:type="paragraph" w:styleId="12">
    <w:name w:val="Body Text"/>
    <w:basedOn w:val="1"/>
    <w:next w:val="13"/>
    <w:link w:val="50"/>
    <w:unhideWhenUsed/>
    <w:qFormat/>
    <w:uiPriority w:val="0"/>
    <w:rPr>
      <w:sz w:val="24"/>
    </w:rPr>
  </w:style>
  <w:style w:type="paragraph" w:styleId="13">
    <w:name w:val="Body Text First Indent"/>
    <w:basedOn w:val="12"/>
    <w:unhideWhenUsed/>
    <w:qFormat/>
    <w:uiPriority w:val="99"/>
    <w:pPr>
      <w:adjustRightInd w:val="0"/>
      <w:spacing w:after="120" w:line="360" w:lineRule="auto"/>
      <w:ind w:firstLine="420"/>
      <w:textAlignment w:val="baseline"/>
    </w:pPr>
    <w:rPr>
      <w:rFonts w:ascii="Calibri" w:hAnsi="Calibri" w:eastAsia="楷体_GB2312"/>
      <w:sz w:val="24"/>
    </w:rPr>
  </w:style>
  <w:style w:type="paragraph" w:styleId="14">
    <w:name w:val="Body Text Indent"/>
    <w:basedOn w:val="1"/>
    <w:next w:val="1"/>
    <w:link w:val="51"/>
    <w:qFormat/>
    <w:uiPriority w:val="0"/>
    <w:pPr>
      <w:spacing w:line="200" w:lineRule="atLeast"/>
      <w:ind w:firstLine="301"/>
    </w:pPr>
    <w:rPr>
      <w:rFonts w:ascii="宋体" w:hAnsi="Courier New"/>
      <w:spacing w:val="-4"/>
      <w:sz w:val="18"/>
      <w:szCs w:val="20"/>
    </w:rPr>
  </w:style>
  <w:style w:type="paragraph" w:styleId="15">
    <w:name w:val="List 2"/>
    <w:basedOn w:val="1"/>
    <w:unhideWhenUsed/>
    <w:qFormat/>
    <w:uiPriority w:val="99"/>
    <w:pPr>
      <w:ind w:left="100" w:leftChars="200" w:hanging="200" w:hangingChars="200"/>
      <w:contextualSpacing/>
    </w:pPr>
  </w:style>
  <w:style w:type="paragraph" w:styleId="16">
    <w:name w:val="toc 5"/>
    <w:basedOn w:val="1"/>
    <w:next w:val="1"/>
    <w:unhideWhenUsed/>
    <w:qFormat/>
    <w:uiPriority w:val="39"/>
    <w:pPr>
      <w:ind w:left="1680" w:leftChars="800"/>
    </w:pPr>
  </w:style>
  <w:style w:type="paragraph" w:styleId="17">
    <w:name w:val="Plain Text"/>
    <w:basedOn w:val="1"/>
    <w:link w:val="52"/>
    <w:qFormat/>
    <w:uiPriority w:val="0"/>
    <w:pPr>
      <w:spacing w:before="156" w:beforeLines="50" w:after="156" w:afterLines="50" w:line="400" w:lineRule="atLeast"/>
    </w:pPr>
    <w:rPr>
      <w:rFonts w:ascii="宋体" w:hAnsi="Courier New"/>
      <w:sz w:val="24"/>
    </w:rPr>
  </w:style>
  <w:style w:type="paragraph" w:styleId="18">
    <w:name w:val="Date"/>
    <w:basedOn w:val="1"/>
    <w:next w:val="1"/>
    <w:qFormat/>
    <w:uiPriority w:val="0"/>
    <w:pPr>
      <w:ind w:leftChars="2500"/>
    </w:pPr>
    <w:rPr>
      <w:rFonts w:eastAsia="楷体_GB2312"/>
      <w:sz w:val="32"/>
      <w:szCs w:val="20"/>
    </w:rPr>
  </w:style>
  <w:style w:type="paragraph" w:styleId="19">
    <w:name w:val="Body Text Indent 2"/>
    <w:basedOn w:val="1"/>
    <w:link w:val="53"/>
    <w:unhideWhenUsed/>
    <w:qFormat/>
    <w:uiPriority w:val="99"/>
    <w:pPr>
      <w:spacing w:after="120" w:line="480" w:lineRule="auto"/>
      <w:ind w:left="420" w:leftChars="200"/>
    </w:pPr>
  </w:style>
  <w:style w:type="paragraph" w:styleId="20">
    <w:name w:val="Balloon Text"/>
    <w:basedOn w:val="1"/>
    <w:qFormat/>
    <w:uiPriority w:val="0"/>
    <w:rPr>
      <w:sz w:val="18"/>
      <w:szCs w:val="18"/>
    </w:rPr>
  </w:style>
  <w:style w:type="paragraph" w:styleId="21">
    <w:name w:val="footer"/>
    <w:basedOn w:val="1"/>
    <w:link w:val="54"/>
    <w:qFormat/>
    <w:uiPriority w:val="99"/>
    <w:pPr>
      <w:tabs>
        <w:tab w:val="center" w:pos="4153"/>
        <w:tab w:val="right" w:pos="8306"/>
      </w:tabs>
      <w:snapToGrid w:val="0"/>
      <w:jc w:val="left"/>
    </w:pPr>
    <w:rPr>
      <w:sz w:val="18"/>
      <w:szCs w:val="18"/>
    </w:rPr>
  </w:style>
  <w:style w:type="paragraph" w:styleId="22">
    <w:name w:val="header"/>
    <w:basedOn w:val="1"/>
    <w:link w:val="55"/>
    <w:qFormat/>
    <w:uiPriority w:val="0"/>
    <w:pP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8659"/>
      </w:tabs>
      <w:spacing w:before="0" w:beforeLines="0" w:after="0" w:afterLines="0" w:line="240" w:lineRule="auto"/>
      <w:jc w:val="center"/>
    </w:pPr>
    <w:rPr>
      <w:b/>
      <w:sz w:val="21"/>
    </w:rPr>
  </w:style>
  <w:style w:type="paragraph" w:styleId="24">
    <w:name w:val="toc 4"/>
    <w:basedOn w:val="1"/>
    <w:next w:val="1"/>
    <w:qFormat/>
    <w:uiPriority w:val="0"/>
    <w:pPr>
      <w:tabs>
        <w:tab w:val="left" w:pos="1890"/>
        <w:tab w:val="right" w:leader="dot" w:pos="8296"/>
      </w:tabs>
      <w:ind w:left="630" w:leftChars="300"/>
    </w:pPr>
    <w:rPr>
      <w:rFonts w:ascii="宋体" w:hAnsi="Calibri"/>
      <w:szCs w:val="20"/>
    </w:rPr>
  </w:style>
  <w:style w:type="paragraph" w:styleId="25">
    <w:name w:val="Subtitle"/>
    <w:basedOn w:val="1"/>
    <w:next w:val="1"/>
    <w:link w:val="56"/>
    <w:qFormat/>
    <w:uiPriority w:val="11"/>
    <w:pPr>
      <w:spacing w:before="240" w:after="60" w:line="312" w:lineRule="auto"/>
      <w:jc w:val="center"/>
      <w:outlineLvl w:val="1"/>
    </w:pPr>
    <w:rPr>
      <w:rFonts w:ascii="等线 Light" w:hAnsi="等线 Light" w:cs="Times New Roman"/>
      <w:b/>
      <w:bCs/>
      <w:kern w:val="28"/>
      <w:sz w:val="32"/>
      <w:szCs w:val="32"/>
    </w:rPr>
  </w:style>
  <w:style w:type="paragraph" w:styleId="26">
    <w:name w:val="List"/>
    <w:basedOn w:val="1"/>
    <w:qFormat/>
    <w:uiPriority w:val="0"/>
    <w:pPr>
      <w:ind w:left="200" w:hanging="200" w:hangingChars="200"/>
    </w:pPr>
  </w:style>
  <w:style w:type="paragraph" w:styleId="27">
    <w:name w:val="footnote text"/>
    <w:basedOn w:val="1"/>
    <w:unhideWhenUsed/>
    <w:qFormat/>
    <w:uiPriority w:val="99"/>
    <w:pPr>
      <w:snapToGrid w:val="0"/>
      <w:jc w:val="left"/>
    </w:pPr>
    <w:rPr>
      <w:sz w:val="18"/>
      <w:szCs w:val="18"/>
    </w:rPr>
  </w:style>
  <w:style w:type="paragraph" w:styleId="28">
    <w:name w:val="Body Text 2"/>
    <w:basedOn w:val="1"/>
    <w:qFormat/>
    <w:uiPriority w:val="0"/>
    <w:pPr>
      <w:widowControl/>
      <w:snapToGrid w:val="0"/>
      <w:spacing w:before="50" w:beforeLines="0" w:after="156" w:afterLines="50" w:line="400" w:lineRule="atLeast"/>
      <w:jc w:val="left"/>
    </w:pPr>
    <w:rPr>
      <w:rFonts w:hint="eastAsia" w:ascii="宋体" w:hAnsi="宋体"/>
      <w:color w:val="000000"/>
      <w:sz w:val="24"/>
    </w:rPr>
  </w:style>
  <w:style w:type="paragraph" w:styleId="29">
    <w:name w:val="HTML Preformatted"/>
    <w:unhideWhenUsed/>
    <w:qFormat/>
    <w:uiPriority w:val="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val="en-US" w:eastAsia="zh-CN" w:bidi="ar-SA"/>
    </w:rPr>
  </w:style>
  <w:style w:type="paragraph" w:styleId="30">
    <w:name w:val="Normal (Web)"/>
    <w:basedOn w:val="1"/>
    <w:qFormat/>
    <w:uiPriority w:val="99"/>
    <w:pPr>
      <w:widowControl/>
      <w:spacing w:before="100" w:beforeLines="0" w:beforeAutospacing="1" w:after="100" w:afterLines="0" w:afterAutospacing="1"/>
      <w:ind w:firstLine="420"/>
      <w:jc w:val="left"/>
    </w:pPr>
    <w:rPr>
      <w:rFonts w:ascii="宋体" w:hAnsi="宋体"/>
      <w:kern w:val="0"/>
      <w:sz w:val="20"/>
      <w:szCs w:val="20"/>
    </w:rPr>
  </w:style>
  <w:style w:type="paragraph" w:styleId="31">
    <w:name w:val="annotation subject"/>
    <w:basedOn w:val="10"/>
    <w:next w:val="10"/>
    <w:link w:val="57"/>
    <w:unhideWhenUsed/>
    <w:qFormat/>
    <w:uiPriority w:val="99"/>
    <w:rPr>
      <w:b/>
      <w:bCs/>
    </w:rPr>
  </w:style>
  <w:style w:type="paragraph" w:styleId="32">
    <w:name w:val="Body Text First Indent 2"/>
    <w:basedOn w:val="14"/>
    <w:unhideWhenUsed/>
    <w:qFormat/>
    <w:uiPriority w:val="99"/>
    <w:pPr>
      <w:ind w:firstLine="420"/>
    </w:p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page number"/>
    <w:basedOn w:val="35"/>
    <w:qFormat/>
    <w:uiPriority w:val="0"/>
  </w:style>
  <w:style w:type="character" w:styleId="38">
    <w:name w:val="FollowedHyperlink"/>
    <w:unhideWhenUsed/>
    <w:qFormat/>
    <w:uiPriority w:val="99"/>
    <w:rPr>
      <w:color w:val="5579A7"/>
      <w:u w:val="none"/>
    </w:rPr>
  </w:style>
  <w:style w:type="character" w:styleId="39">
    <w:name w:val="Emphasis"/>
    <w:qFormat/>
    <w:uiPriority w:val="20"/>
  </w:style>
  <w:style w:type="character" w:styleId="40">
    <w:name w:val="Hyperlink"/>
    <w:qFormat/>
    <w:uiPriority w:val="0"/>
    <w:rPr>
      <w:color w:val="5579A7"/>
      <w:u w:val="none"/>
    </w:rPr>
  </w:style>
  <w:style w:type="character" w:styleId="41">
    <w:name w:val="annotation reference"/>
    <w:unhideWhenUsed/>
    <w:qFormat/>
    <w:uiPriority w:val="0"/>
    <w:rPr>
      <w:sz w:val="21"/>
      <w:szCs w:val="21"/>
    </w:rPr>
  </w:style>
  <w:style w:type="character" w:styleId="42">
    <w:name w:val="footnote reference"/>
    <w:unhideWhenUsed/>
    <w:qFormat/>
    <w:uiPriority w:val="99"/>
    <w:rPr>
      <w:vertAlign w:val="superscript"/>
    </w:rPr>
  </w:style>
  <w:style w:type="character" w:customStyle="1" w:styleId="43">
    <w:name w:val="标题 1 字符"/>
    <w:link w:val="2"/>
    <w:qFormat/>
    <w:uiPriority w:val="0"/>
    <w:rPr>
      <w:b/>
      <w:bCs/>
      <w:kern w:val="44"/>
      <w:sz w:val="44"/>
      <w:szCs w:val="44"/>
    </w:rPr>
  </w:style>
  <w:style w:type="character" w:customStyle="1" w:styleId="44">
    <w:name w:val="标题 2 字符"/>
    <w:link w:val="3"/>
    <w:semiHidden/>
    <w:qFormat/>
    <w:uiPriority w:val="9"/>
    <w:rPr>
      <w:rFonts w:ascii="Cambria" w:hAnsi="Cambria" w:eastAsia="宋体" w:cs="Times New Roman"/>
      <w:b/>
      <w:bCs/>
      <w:kern w:val="2"/>
      <w:sz w:val="32"/>
      <w:szCs w:val="32"/>
    </w:rPr>
  </w:style>
  <w:style w:type="character" w:customStyle="1" w:styleId="45">
    <w:name w:val="标题 3 字符"/>
    <w:link w:val="4"/>
    <w:qFormat/>
    <w:uiPriority w:val="0"/>
    <w:rPr>
      <w:rFonts w:ascii="Calibri" w:hAnsi="Calibri"/>
      <w:bCs/>
      <w:kern w:val="2"/>
      <w:sz w:val="32"/>
      <w:szCs w:val="32"/>
    </w:rPr>
  </w:style>
  <w:style w:type="character" w:customStyle="1" w:styleId="46">
    <w:name w:val="标题 4 字符"/>
    <w:link w:val="5"/>
    <w:qFormat/>
    <w:uiPriority w:val="0"/>
    <w:rPr>
      <w:rFonts w:ascii="Cambria" w:hAnsi="Cambria"/>
      <w:b/>
      <w:bCs/>
      <w:kern w:val="2"/>
      <w:sz w:val="28"/>
      <w:szCs w:val="28"/>
    </w:rPr>
  </w:style>
  <w:style w:type="character" w:customStyle="1" w:styleId="47">
    <w:name w:val="正文缩进 字符"/>
    <w:link w:val="8"/>
    <w:qFormat/>
    <w:uiPriority w:val="0"/>
    <w:rPr>
      <w:rFonts w:eastAsia="宋体"/>
      <w:kern w:val="2"/>
      <w:sz w:val="21"/>
      <w:lang w:val="en-US" w:eastAsia="zh-CN" w:bidi="ar-SA"/>
    </w:rPr>
  </w:style>
  <w:style w:type="character" w:customStyle="1" w:styleId="48">
    <w:name w:val="批注文字 字符"/>
    <w:link w:val="10"/>
    <w:qFormat/>
    <w:uiPriority w:val="0"/>
    <w:rPr>
      <w:kern w:val="2"/>
      <w:sz w:val="28"/>
      <w:szCs w:val="24"/>
    </w:rPr>
  </w:style>
  <w:style w:type="character" w:customStyle="1" w:styleId="49">
    <w:name w:val="正文文本 3 字符"/>
    <w:link w:val="11"/>
    <w:qFormat/>
    <w:uiPriority w:val="99"/>
    <w:rPr>
      <w:sz w:val="16"/>
      <w:szCs w:val="16"/>
    </w:rPr>
  </w:style>
  <w:style w:type="character" w:customStyle="1" w:styleId="50">
    <w:name w:val="正文文本 字符"/>
    <w:link w:val="12"/>
    <w:qFormat/>
    <w:uiPriority w:val="0"/>
    <w:rPr>
      <w:kern w:val="2"/>
      <w:sz w:val="24"/>
      <w:szCs w:val="24"/>
    </w:rPr>
  </w:style>
  <w:style w:type="character" w:customStyle="1" w:styleId="51">
    <w:name w:val="正文文本缩进 字符1"/>
    <w:link w:val="14"/>
    <w:qFormat/>
    <w:uiPriority w:val="0"/>
    <w:rPr>
      <w:rFonts w:ascii="宋体" w:hAnsi="Courier New"/>
      <w:spacing w:val="-4"/>
      <w:kern w:val="2"/>
      <w:sz w:val="18"/>
    </w:rPr>
  </w:style>
  <w:style w:type="character" w:customStyle="1" w:styleId="52">
    <w:name w:val="纯文本 字符"/>
    <w:link w:val="17"/>
    <w:qFormat/>
    <w:uiPriority w:val="0"/>
    <w:rPr>
      <w:rFonts w:ascii="宋体" w:hAnsi="Courier New"/>
      <w:kern w:val="2"/>
      <w:sz w:val="24"/>
      <w:szCs w:val="24"/>
    </w:rPr>
  </w:style>
  <w:style w:type="character" w:customStyle="1" w:styleId="53">
    <w:name w:val="正文文本缩进 2 字符"/>
    <w:link w:val="19"/>
    <w:semiHidden/>
    <w:qFormat/>
    <w:uiPriority w:val="99"/>
    <w:rPr>
      <w:kern w:val="2"/>
      <w:sz w:val="28"/>
      <w:szCs w:val="24"/>
    </w:rPr>
  </w:style>
  <w:style w:type="character" w:customStyle="1" w:styleId="54">
    <w:name w:val="页脚 字符"/>
    <w:link w:val="21"/>
    <w:qFormat/>
    <w:uiPriority w:val="99"/>
    <w:rPr>
      <w:kern w:val="2"/>
      <w:sz w:val="18"/>
      <w:szCs w:val="18"/>
    </w:rPr>
  </w:style>
  <w:style w:type="character" w:customStyle="1" w:styleId="55">
    <w:name w:val="页眉 字符"/>
    <w:link w:val="22"/>
    <w:qFormat/>
    <w:uiPriority w:val="0"/>
    <w:rPr>
      <w:kern w:val="2"/>
      <w:sz w:val="18"/>
      <w:szCs w:val="18"/>
    </w:rPr>
  </w:style>
  <w:style w:type="character" w:customStyle="1" w:styleId="56">
    <w:name w:val="副标题 字符"/>
    <w:link w:val="25"/>
    <w:qFormat/>
    <w:uiPriority w:val="11"/>
    <w:rPr>
      <w:rFonts w:ascii="等线 Light" w:hAnsi="等线 Light" w:cs="Times New Roman"/>
      <w:b/>
      <w:bCs/>
      <w:kern w:val="28"/>
      <w:sz w:val="32"/>
      <w:szCs w:val="32"/>
    </w:rPr>
  </w:style>
  <w:style w:type="character" w:customStyle="1" w:styleId="57">
    <w:name w:val="批注主题 字符"/>
    <w:link w:val="31"/>
    <w:semiHidden/>
    <w:qFormat/>
    <w:uiPriority w:val="99"/>
    <w:rPr>
      <w:b/>
      <w:bCs/>
      <w:kern w:val="2"/>
      <w:sz w:val="28"/>
      <w:szCs w:val="24"/>
    </w:rPr>
  </w:style>
  <w:style w:type="character" w:customStyle="1" w:styleId="58">
    <w:name w:val="font91"/>
    <w:qFormat/>
    <w:uiPriority w:val="0"/>
    <w:rPr>
      <w:rFonts w:hint="eastAsia" w:ascii="宋体" w:hAnsi="宋体" w:eastAsia="宋体" w:cs="宋体"/>
      <w:color w:val="000000"/>
      <w:sz w:val="18"/>
      <w:szCs w:val="18"/>
      <w:u w:val="none"/>
    </w:rPr>
  </w:style>
  <w:style w:type="character" w:customStyle="1" w:styleId="59">
    <w:name w:val="sub_title s0"/>
    <w:qFormat/>
    <w:uiPriority w:val="0"/>
  </w:style>
  <w:style w:type="character" w:customStyle="1" w:styleId="60">
    <w:name w:val="r-time"/>
    <w:qFormat/>
    <w:uiPriority w:val="0"/>
    <w:rPr>
      <w:color w:val="B30000"/>
    </w:rPr>
  </w:style>
  <w:style w:type="character" w:customStyle="1" w:styleId="61">
    <w:name w:val="font21"/>
    <w:qFormat/>
    <w:uiPriority w:val="0"/>
    <w:rPr>
      <w:rFonts w:hint="eastAsia" w:ascii="宋体" w:hAnsi="宋体" w:eastAsia="宋体" w:cs="宋体"/>
      <w:color w:val="000000"/>
      <w:sz w:val="22"/>
      <w:szCs w:val="22"/>
      <w:u w:val="none"/>
    </w:rPr>
  </w:style>
  <w:style w:type="character" w:customStyle="1" w:styleId="62">
    <w:name w:val="jbox-icon-success"/>
    <w:qFormat/>
    <w:uiPriority w:val="0"/>
  </w:style>
  <w:style w:type="character" w:customStyle="1" w:styleId="63">
    <w:name w:val="font51"/>
    <w:qFormat/>
    <w:uiPriority w:val="0"/>
    <w:rPr>
      <w:rFonts w:hint="eastAsia" w:ascii="宋体" w:hAnsi="宋体" w:eastAsia="宋体" w:cs="宋体"/>
      <w:color w:val="FF0000"/>
      <w:sz w:val="18"/>
      <w:szCs w:val="18"/>
      <w:u w:val="single"/>
    </w:rPr>
  </w:style>
  <w:style w:type="character" w:customStyle="1" w:styleId="64">
    <w:name w:val="first-child"/>
    <w:qFormat/>
    <w:uiPriority w:val="0"/>
    <w:rPr>
      <w:vanish/>
    </w:rPr>
  </w:style>
  <w:style w:type="character" w:customStyle="1" w:styleId="65">
    <w:name w:val="jbox-icon-info"/>
    <w:qFormat/>
    <w:uiPriority w:val="0"/>
  </w:style>
  <w:style w:type="character" w:customStyle="1" w:styleId="66">
    <w:name w:val="black601"/>
    <w:qFormat/>
    <w:uiPriority w:val="0"/>
    <w:rPr>
      <w:color w:val="666666"/>
    </w:rPr>
  </w:style>
  <w:style w:type="character" w:customStyle="1" w:styleId="67">
    <w:name w:val="z-窗体底端 字符"/>
    <w:link w:val="68"/>
    <w:semiHidden/>
    <w:qFormat/>
    <w:uiPriority w:val="99"/>
    <w:rPr>
      <w:rFonts w:ascii="Arial" w:hAnsi="Arial"/>
      <w:vanish/>
      <w:sz w:val="16"/>
      <w:szCs w:val="16"/>
    </w:rPr>
  </w:style>
  <w:style w:type="paragraph" w:customStyle="1" w:styleId="68">
    <w:name w:val="_Style 67"/>
    <w:basedOn w:val="1"/>
    <w:next w:val="1"/>
    <w:link w:val="67"/>
    <w:unhideWhenUsed/>
    <w:qFormat/>
    <w:uiPriority w:val="99"/>
    <w:pPr>
      <w:widowControl/>
      <w:pBdr>
        <w:top w:val="single" w:color="auto" w:sz="6" w:space="1"/>
      </w:pBdr>
      <w:jc w:val="center"/>
    </w:pPr>
    <w:rPr>
      <w:rFonts w:ascii="Arial" w:hAnsi="Arial"/>
      <w:vanish/>
      <w:kern w:val="0"/>
      <w:sz w:val="16"/>
      <w:szCs w:val="16"/>
    </w:rPr>
  </w:style>
  <w:style w:type="character" w:customStyle="1" w:styleId="69">
    <w:name w:val="wuidatespan"/>
    <w:qFormat/>
    <w:uiPriority w:val="0"/>
  </w:style>
  <w:style w:type="character" w:customStyle="1" w:styleId="70">
    <w:name w:val="标题 1 Char Char"/>
    <w:qFormat/>
    <w:uiPriority w:val="0"/>
    <w:rPr>
      <w:rFonts w:eastAsia="宋体"/>
      <w:b/>
      <w:spacing w:val="-2"/>
      <w:sz w:val="24"/>
      <w:lang w:val="en-US" w:eastAsia="zh-CN" w:bidi="ar-SA"/>
    </w:rPr>
  </w:style>
  <w:style w:type="character" w:customStyle="1" w:styleId="71">
    <w:name w:val="jbox-icon-error"/>
    <w:qFormat/>
    <w:uiPriority w:val="0"/>
  </w:style>
  <w:style w:type="character" w:customStyle="1" w:styleId="72">
    <w:name w:val="jbox-icon-none"/>
    <w:qFormat/>
    <w:uiPriority w:val="0"/>
    <w:rPr>
      <w:vanish/>
    </w:rPr>
  </w:style>
  <w:style w:type="character" w:customStyle="1" w:styleId="73">
    <w:name w:val="font61"/>
    <w:qFormat/>
    <w:uiPriority w:val="0"/>
    <w:rPr>
      <w:rFonts w:hint="eastAsia" w:ascii="宋体" w:hAnsi="宋体" w:eastAsia="宋体" w:cs="宋体"/>
      <w:color w:val="FF0000"/>
      <w:sz w:val="18"/>
      <w:szCs w:val="18"/>
      <w:u w:val="none"/>
    </w:rPr>
  </w:style>
  <w:style w:type="character" w:customStyle="1" w:styleId="74">
    <w:name w:val="font71"/>
    <w:qFormat/>
    <w:uiPriority w:val="0"/>
    <w:rPr>
      <w:rFonts w:hint="eastAsia" w:ascii="宋体" w:hAnsi="宋体" w:eastAsia="宋体" w:cs="宋体"/>
      <w:color w:val="000000"/>
      <w:sz w:val="22"/>
      <w:szCs w:val="22"/>
      <w:u w:val="none"/>
    </w:rPr>
  </w:style>
  <w:style w:type="character" w:customStyle="1" w:styleId="75">
    <w:name w:val="font11"/>
    <w:qFormat/>
    <w:uiPriority w:val="0"/>
    <w:rPr>
      <w:rFonts w:hint="eastAsia" w:ascii="宋体" w:hAnsi="宋体" w:eastAsia="宋体" w:cs="宋体"/>
      <w:color w:val="000000"/>
      <w:sz w:val="18"/>
      <w:szCs w:val="18"/>
      <w:u w:val="none"/>
    </w:rPr>
  </w:style>
  <w:style w:type="character" w:customStyle="1" w:styleId="76">
    <w:name w:val="纯文本 Char1"/>
    <w:qFormat/>
    <w:uiPriority w:val="0"/>
    <w:rPr>
      <w:rFonts w:ascii="宋体" w:hAnsi="Courier New"/>
      <w:kern w:val="2"/>
      <w:sz w:val="21"/>
    </w:rPr>
  </w:style>
  <w:style w:type="character" w:customStyle="1" w:styleId="77">
    <w:name w:val="r-text"/>
    <w:qFormat/>
    <w:uiPriority w:val="0"/>
    <w:rPr>
      <w:color w:val="00349B"/>
    </w:rPr>
  </w:style>
  <w:style w:type="character" w:customStyle="1" w:styleId="78">
    <w:name w:val="jbox-icon"/>
    <w:qFormat/>
    <w:uiPriority w:val="0"/>
  </w:style>
  <w:style w:type="character" w:customStyle="1" w:styleId="79">
    <w:name w:val="纯文本 Char"/>
    <w:qFormat/>
    <w:uiPriority w:val="99"/>
    <w:rPr>
      <w:rFonts w:ascii="宋体" w:hAnsi="Courier New"/>
      <w:kern w:val="2"/>
      <w:sz w:val="24"/>
      <w:szCs w:val="24"/>
    </w:rPr>
  </w:style>
  <w:style w:type="character" w:customStyle="1" w:styleId="80">
    <w:name w:val="maywed421"/>
    <w:qFormat/>
    <w:uiPriority w:val="0"/>
    <w:rPr>
      <w:color w:val="366FB6"/>
      <w:u w:val="none"/>
    </w:rPr>
  </w:style>
  <w:style w:type="character" w:customStyle="1" w:styleId="81">
    <w:name w:val="font41"/>
    <w:qFormat/>
    <w:uiPriority w:val="0"/>
    <w:rPr>
      <w:rFonts w:hint="eastAsia" w:ascii="宋体" w:hAnsi="宋体" w:eastAsia="宋体" w:cs="宋体"/>
      <w:color w:val="000000"/>
      <w:sz w:val="18"/>
      <w:szCs w:val="18"/>
      <w:u w:val="none"/>
    </w:rPr>
  </w:style>
  <w:style w:type="character" w:customStyle="1" w:styleId="82">
    <w:name w:val="jbox-icon-loading"/>
    <w:qFormat/>
    <w:uiPriority w:val="0"/>
  </w:style>
  <w:style w:type="character" w:customStyle="1" w:styleId="83">
    <w:name w:val="jbox-icon-warning"/>
    <w:qFormat/>
    <w:uiPriority w:val="0"/>
  </w:style>
  <w:style w:type="character" w:customStyle="1" w:styleId="84">
    <w:name w:val="jbox-icon-question"/>
    <w:qFormat/>
    <w:uiPriority w:val="0"/>
  </w:style>
  <w:style w:type="character" w:customStyle="1" w:styleId="85">
    <w:name w:val="正文文本缩进 字符"/>
    <w:qFormat/>
    <w:uiPriority w:val="0"/>
    <w:rPr>
      <w:rFonts w:ascii="宋体" w:hAnsi="Courier New"/>
      <w:spacing w:val="-4"/>
      <w:kern w:val="2"/>
      <w:sz w:val="18"/>
    </w:rPr>
  </w:style>
  <w:style w:type="character" w:customStyle="1" w:styleId="86">
    <w:name w:val="font01"/>
    <w:qFormat/>
    <w:uiPriority w:val="0"/>
    <w:rPr>
      <w:rFonts w:hint="eastAsia" w:ascii="宋体" w:hAnsi="宋体" w:eastAsia="宋体" w:cs="宋体"/>
      <w:color w:val="000000"/>
      <w:sz w:val="18"/>
      <w:szCs w:val="18"/>
      <w:u w:val="none"/>
    </w:rPr>
  </w:style>
  <w:style w:type="character" w:customStyle="1" w:styleId="87">
    <w:name w:val="z-窗体顶端 字符"/>
    <w:link w:val="88"/>
    <w:semiHidden/>
    <w:qFormat/>
    <w:uiPriority w:val="99"/>
    <w:rPr>
      <w:rFonts w:ascii="Arial" w:hAnsi="Arial"/>
      <w:vanish/>
      <w:sz w:val="16"/>
      <w:szCs w:val="16"/>
    </w:rPr>
  </w:style>
  <w:style w:type="paragraph" w:customStyle="1" w:styleId="88">
    <w:name w:val="_Style 87"/>
    <w:basedOn w:val="1"/>
    <w:next w:val="1"/>
    <w:link w:val="87"/>
    <w:unhideWhenUsed/>
    <w:qFormat/>
    <w:uiPriority w:val="99"/>
    <w:pPr>
      <w:widowControl/>
      <w:pBdr>
        <w:bottom w:val="single" w:color="auto" w:sz="6" w:space="1"/>
      </w:pBdr>
      <w:jc w:val="center"/>
    </w:pPr>
    <w:rPr>
      <w:rFonts w:ascii="Arial" w:hAnsi="Arial"/>
      <w:vanish/>
      <w:kern w:val="0"/>
      <w:sz w:val="16"/>
      <w:szCs w:val="16"/>
    </w:rPr>
  </w:style>
  <w:style w:type="character" w:customStyle="1" w:styleId="89">
    <w:name w:val="href"/>
    <w:qFormat/>
    <w:uiPriority w:val="0"/>
    <w:rPr>
      <w:color w:val="0000FF"/>
      <w:u w:val="single"/>
    </w:rPr>
  </w:style>
  <w:style w:type="paragraph" w:styleId="90">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1">
    <w:name w:val="BodyTextIndent"/>
    <w:basedOn w:val="1"/>
    <w:qFormat/>
    <w:uiPriority w:val="0"/>
    <w:pPr>
      <w:ind w:firstLine="630"/>
      <w:jc w:val="left"/>
    </w:pPr>
    <w:rPr>
      <w:rFonts w:ascii="宋体" w:hAnsi="宋体"/>
      <w:sz w:val="30"/>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lang w:val="en-US" w:eastAsia="zh-CN" w:bidi="ar-SA"/>
    </w:rPr>
  </w:style>
  <w:style w:type="paragraph" w:customStyle="1" w:styleId="93">
    <w:name w:val="p0"/>
    <w:basedOn w:val="1"/>
    <w:qFormat/>
    <w:uiPriority w:val="99"/>
    <w:pPr>
      <w:widowControl/>
    </w:pPr>
    <w:rPr>
      <w:szCs w:val="21"/>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6">
    <w:name w:val="Char Char Char Char"/>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97">
    <w:name w:val="正文文字缩进 2"/>
    <w:basedOn w:val="1"/>
    <w:qFormat/>
    <w:uiPriority w:val="0"/>
    <w:pPr>
      <w:widowControl/>
      <w:tabs>
        <w:tab w:val="left" w:pos="901"/>
      </w:tabs>
      <w:spacing w:line="606" w:lineRule="atLeast"/>
      <w:ind w:firstLine="538"/>
      <w:jc w:val="left"/>
      <w:textAlignment w:val="baseline"/>
    </w:pPr>
    <w:rPr>
      <w:color w:val="000000"/>
      <w:kern w:val="0"/>
      <w:sz w:val="24"/>
      <w:szCs w:val="20"/>
    </w:rPr>
  </w:style>
  <w:style w:type="paragraph" w:styleId="98">
    <w:name w:val="List Paragraph"/>
    <w:basedOn w:val="1"/>
    <w:qFormat/>
    <w:uiPriority w:val="0"/>
    <w:pPr>
      <w:ind w:firstLine="420" w:firstLineChars="200"/>
    </w:pPr>
  </w:style>
  <w:style w:type="paragraph" w:customStyle="1" w:styleId="99">
    <w:name w:val="彩色列表 - 强调文字颜色 11"/>
    <w:basedOn w:val="1"/>
    <w:qFormat/>
    <w:uiPriority w:val="34"/>
    <w:pPr>
      <w:ind w:firstLine="420" w:firstLineChars="200"/>
    </w:pPr>
    <w:rPr>
      <w:rFonts w:ascii="Calibri" w:hAnsi="Calibri" w:eastAsia="宋体" w:cs="Times New Roman"/>
      <w:sz w:val="21"/>
      <w:szCs w:val="22"/>
    </w:rPr>
  </w:style>
  <w:style w:type="paragraph" w:customStyle="1" w:styleId="100">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01">
    <w:name w:val="List Paragraph1"/>
    <w:basedOn w:val="1"/>
    <w:qFormat/>
    <w:uiPriority w:val="0"/>
    <w:pPr>
      <w:ind w:firstLine="420" w:firstLineChars="200"/>
    </w:pPr>
    <w:rPr>
      <w:sz w:val="21"/>
    </w:rPr>
  </w:style>
  <w:style w:type="paragraph" w:customStyle="1" w:styleId="102">
    <w:name w:val="列出段落1"/>
    <w:basedOn w:val="1"/>
    <w:qFormat/>
    <w:uiPriority w:val="34"/>
    <w:pPr>
      <w:ind w:firstLine="420" w:firstLineChars="200"/>
    </w:pPr>
    <w:rPr>
      <w:rFonts w:ascii="Calibri" w:hAnsi="Calibri" w:eastAsia="宋体" w:cs="Times New Roman"/>
    </w:rPr>
  </w:style>
  <w:style w:type="paragraph" w:customStyle="1" w:styleId="103">
    <w:name w:val="Default"/>
    <w:next w:val="104"/>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0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5">
    <w:name w:val="[Normal]"/>
    <w:qFormat/>
    <w:uiPriority w:val="0"/>
    <w:rPr>
      <w:rFonts w:ascii="宋体" w:hAnsi="宋体" w:eastAsia="宋体" w:cs="Times New Roman"/>
      <w:sz w:val="24"/>
      <w:szCs w:val="22"/>
      <w:lang w:val="zh-CN" w:eastAsia="zh-CN" w:bidi="ar-SA"/>
    </w:rPr>
  </w:style>
  <w:style w:type="paragraph" w:customStyle="1" w:styleId="10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7">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8">
    <w:name w:val="正文段"/>
    <w:basedOn w:val="1"/>
    <w:qFormat/>
    <w:uiPriority w:val="0"/>
    <w:pPr>
      <w:widowControl/>
      <w:snapToGrid w:val="0"/>
      <w:spacing w:after="156" w:afterLines="50"/>
      <w:ind w:firstLine="200" w:firstLineChars="200"/>
    </w:pPr>
    <w:rPr>
      <w:kern w:val="0"/>
      <w:sz w:val="24"/>
      <w:szCs w:val="20"/>
    </w:rPr>
  </w:style>
  <w:style w:type="paragraph" w:customStyle="1" w:styleId="109">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110">
    <w:name w:val="标书_正文"/>
    <w:basedOn w:val="1"/>
    <w:qFormat/>
    <w:uiPriority w:val="0"/>
    <w:pPr>
      <w:autoSpaceDE/>
      <w:autoSpaceDN/>
      <w:spacing w:line="240" w:lineRule="auto"/>
      <w:ind w:left="40"/>
      <w:jc w:val="both"/>
    </w:pPr>
    <w:rPr>
      <w:rFonts w:ascii="宋体" w:hAnsi="宋体" w:eastAsia="宋体" w:cs="Times New Roman"/>
      <w:bCs/>
      <w:sz w:val="21"/>
      <w:szCs w:val="21"/>
    </w:rPr>
  </w:style>
  <w:style w:type="paragraph" w:customStyle="1" w:styleId="111">
    <w:name w:val="Char Char Char Char1"/>
    <w:basedOn w:val="1"/>
    <w:qFormat/>
    <w:uiPriority w:val="0"/>
    <w:rPr>
      <w:rFonts w:ascii="Tahoma" w:hAnsi="Tahoma"/>
      <w:sz w:val="24"/>
      <w:szCs w:val="20"/>
    </w:rPr>
  </w:style>
  <w:style w:type="paragraph" w:customStyle="1" w:styleId="112">
    <w:name w:val="BodyText1I2"/>
    <w:basedOn w:val="91"/>
    <w:qFormat/>
    <w:uiPriority w:val="0"/>
    <w:pPr>
      <w:ind w:firstLine="420" w:firstLineChars="200"/>
      <w:jc w:val="both"/>
      <w:textAlignment w:val="baseline"/>
    </w:pPr>
    <w:rPr>
      <w:rFonts w:ascii="仿宋_GB2312" w:eastAsia="仿宋_GB2312"/>
      <w:szCs w:val="21"/>
    </w:rPr>
  </w:style>
  <w:style w:type="paragraph" w:customStyle="1" w:styleId="113">
    <w:name w:val="首行缩进"/>
    <w:basedOn w:val="1"/>
    <w:qFormat/>
    <w:uiPriority w:val="0"/>
    <w:pPr>
      <w:spacing w:line="360" w:lineRule="auto"/>
      <w:ind w:firstLine="480" w:firstLineChars="200"/>
      <w:jc w:val="left"/>
    </w:pPr>
    <w:rPr>
      <w:rFonts w:ascii="宋体" w:hAnsi="宋体"/>
      <w:sz w:val="24"/>
    </w:rPr>
  </w:style>
  <w:style w:type="paragraph" w:customStyle="1" w:styleId="114">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115">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116">
    <w:name w:val="默认段落字体 Para Char Char Char Char Char Char Char Char Char1 Char Char Char Char"/>
    <w:basedOn w:val="1"/>
    <w:qFormat/>
    <w:uiPriority w:val="0"/>
    <w:rPr>
      <w:rFonts w:ascii="Tahoma" w:hAnsi="Tahoma"/>
      <w:sz w:val="24"/>
      <w:szCs w:val="20"/>
    </w:rPr>
  </w:style>
  <w:style w:type="paragraph" w:customStyle="1" w:styleId="117">
    <w:name w:val="正文2"/>
    <w:basedOn w:val="1"/>
    <w:qFormat/>
    <w:uiPriority w:val="0"/>
    <w:pPr>
      <w:spacing w:before="156" w:line="360" w:lineRule="auto"/>
      <w:ind w:firstLine="510" w:firstLineChars="200"/>
    </w:pPr>
    <w:rPr>
      <w:sz w:val="24"/>
      <w:szCs w:val="20"/>
    </w:rPr>
  </w:style>
  <w:style w:type="character" w:customStyle="1" w:styleId="118">
    <w:name w:val="font31"/>
    <w:qFormat/>
    <w:uiPriority w:val="0"/>
    <w:rPr>
      <w:rFonts w:hint="eastAsia" w:ascii="宋体" w:hAnsi="宋体" w:eastAsia="宋体" w:cs="宋体"/>
      <w:color w:val="000000"/>
      <w:sz w:val="21"/>
      <w:szCs w:val="21"/>
      <w:u w:val="none"/>
    </w:rPr>
  </w:style>
  <w:style w:type="paragraph" w:customStyle="1" w:styleId="119">
    <w:name w:val="_Style 118"/>
    <w:basedOn w:val="2"/>
    <w:next w:val="1"/>
    <w:qFormat/>
    <w:uiPriority w:val="99"/>
    <w:pPr>
      <w:outlineLvl w:val="9"/>
    </w:pPr>
  </w:style>
  <w:style w:type="character" w:customStyle="1" w:styleId="120">
    <w:name w:val="正文缩进 字符2"/>
    <w:qFormat/>
    <w:uiPriority w:val="0"/>
    <w:rPr>
      <w:rFonts w:ascii="宋体"/>
      <w:snapToGrid/>
      <w:color w:val="000000"/>
      <w:kern w:val="28"/>
      <w:sz w:val="28"/>
    </w:rPr>
  </w:style>
  <w:style w:type="paragraph" w:customStyle="1" w:styleId="121">
    <w:name w:val="_Style 120"/>
    <w:unhideWhenUsed/>
    <w:qFormat/>
    <w:uiPriority w:val="99"/>
    <w:rPr>
      <w:rFonts w:ascii="Times New Roman" w:hAnsi="Times New Roman" w:eastAsia="宋体" w:cs="Times New Roman"/>
      <w:kern w:val="2"/>
      <w:sz w:val="28"/>
      <w:szCs w:val="24"/>
      <w:lang w:val="en-US" w:eastAsia="zh-CN" w:bidi="ar-SA"/>
    </w:rPr>
  </w:style>
  <w:style w:type="character" w:customStyle="1" w:styleId="122">
    <w:name w:val="未处理的提及"/>
    <w:unhideWhenUsed/>
    <w:qFormat/>
    <w:uiPriority w:val="99"/>
    <w:rPr>
      <w:color w:val="605E5C"/>
      <w:shd w:val="clear" w:color="auto" w:fill="E1DFDD"/>
    </w:rPr>
  </w:style>
  <w:style w:type="paragraph" w:customStyle="1" w:styleId="123">
    <w:name w:val="Table Paragraph"/>
    <w:basedOn w:val="1"/>
    <w:qFormat/>
    <w:uiPriority w:val="1"/>
    <w:pPr>
      <w:autoSpaceDE w:val="0"/>
      <w:autoSpaceDN w:val="0"/>
      <w:adjustRightInd w:val="0"/>
      <w:jc w:val="left"/>
    </w:pPr>
    <w:rPr>
      <w:kern w:val="0"/>
      <w:sz w:val="24"/>
    </w:rPr>
  </w:style>
  <w:style w:type="paragraph" w:customStyle="1" w:styleId="124">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125">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6">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7">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128">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9">
    <w:name w:val="表格文字"/>
    <w:basedOn w:val="1"/>
    <w:next w:val="12"/>
    <w:qFormat/>
    <w:uiPriority w:val="0"/>
    <w:pPr>
      <w:autoSpaceDE w:val="0"/>
      <w:autoSpaceDN w:val="0"/>
      <w:adjustRightInd w:val="0"/>
      <w:spacing w:before="100" w:beforeAutospacing="1" w:after="100" w:afterAutospacing="1" w:line="360" w:lineRule="auto"/>
      <w:jc w:val="center"/>
      <w:textAlignment w:val="baseline"/>
    </w:pPr>
    <w:rPr>
      <w:rFonts w:eastAsia="楷体_GB2312"/>
      <w:color w:val="000000"/>
      <w:kern w:val="0"/>
      <w:sz w:val="24"/>
    </w:rPr>
  </w:style>
  <w:style w:type="paragraph" w:customStyle="1" w:styleId="130">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131">
    <w:name w:val="正文_4_1_0"/>
    <w:basedOn w:val="132"/>
    <w:qFormat/>
    <w:uiPriority w:val="0"/>
    <w:rPr>
      <w:szCs w:val="21"/>
    </w:rPr>
  </w:style>
  <w:style w:type="paragraph" w:customStyle="1" w:styleId="132">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
    <w:name w:val="正文_4_1"/>
    <w:basedOn w:val="132"/>
    <w:qFormat/>
    <w:uiPriority w:val="0"/>
    <w:rPr>
      <w:szCs w:val="21"/>
    </w:rPr>
  </w:style>
  <w:style w:type="paragraph" w:customStyle="1" w:styleId="134">
    <w:name w:val="正文_4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6">
    <w:name w:val="Char Char Char"/>
    <w:basedOn w:val="1"/>
    <w:qFormat/>
    <w:uiPriority w:val="0"/>
    <w:pPr>
      <w:autoSpaceDE w:val="0"/>
      <w:autoSpaceDN w:val="0"/>
      <w:adjustRightInd w:val="0"/>
      <w:jc w:val="left"/>
    </w:pPr>
    <w:rPr>
      <w:rFonts w:ascii="Tahoma" w:hAnsi="Tahoma"/>
      <w:kern w:val="0"/>
      <w:sz w:val="24"/>
      <w:szCs w:val="20"/>
    </w:rPr>
  </w:style>
  <w:style w:type="paragraph" w:customStyle="1" w:styleId="137">
    <w:name w:val="正文_4_0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
    <w:name w:val="Table Text"/>
    <w:basedOn w:val="1"/>
    <w:semiHidden/>
    <w:qFormat/>
    <w:uiPriority w:val="0"/>
    <w:pPr>
      <w:autoSpaceDE w:val="0"/>
      <w:autoSpaceDN w:val="0"/>
      <w:adjustRightInd w:val="0"/>
      <w:jc w:val="left"/>
    </w:pPr>
    <w:rPr>
      <w:rFonts w:ascii="宋体" w:hAnsi="宋体" w:cs="宋体"/>
      <w:kern w:val="0"/>
      <w:sz w:val="20"/>
      <w:szCs w:val="20"/>
      <w:lang w:eastAsia="en-US"/>
    </w:rPr>
  </w:style>
  <w:style w:type="paragraph" w:customStyle="1" w:styleId="139">
    <w:name w:val="正文，首行缩进:"/>
    <w:basedOn w:val="1"/>
    <w:qFormat/>
    <w:uiPriority w:val="0"/>
    <w:pPr>
      <w:tabs>
        <w:tab w:val="left" w:pos="3376"/>
      </w:tabs>
      <w:autoSpaceDE w:val="0"/>
      <w:autoSpaceDN w:val="0"/>
      <w:adjustRightInd w:val="0"/>
      <w:spacing w:line="460" w:lineRule="exact"/>
      <w:ind w:firstLine="480" w:firstLineChars="200"/>
      <w:jc w:val="left"/>
    </w:pPr>
    <w:rPr>
      <w:rFonts w:ascii="宋体" w:hAnsi="宋体" w:cs="宋体"/>
      <w:kern w:val="0"/>
      <w:sz w:val="24"/>
      <w:szCs w:val="20"/>
    </w:rPr>
  </w:style>
  <w:style w:type="character" w:customStyle="1" w:styleId="140">
    <w:name w:val="纯文本 字符1"/>
    <w:qFormat/>
    <w:uiPriority w:val="0"/>
    <w:rPr>
      <w:rFonts w:ascii="宋体" w:hAnsi="Courier New" w:cs="Arial"/>
      <w:snapToGrid/>
      <w:kern w:val="2"/>
      <w:sz w:val="21"/>
      <w:szCs w:val="21"/>
    </w:rPr>
  </w:style>
  <w:style w:type="paragraph" w:customStyle="1" w:styleId="141">
    <w:name w:val="566ba9ff-a5b0-4b6f-bbdf-c3ab41993fc2"/>
    <w:basedOn w:val="5"/>
    <w:next w:val="142"/>
    <w:link w:val="143"/>
    <w:qFormat/>
    <w:uiPriority w:val="0"/>
    <w:pPr>
      <w:adjustRightInd w:val="0"/>
      <w:spacing w:before="0" w:after="0" w:line="288" w:lineRule="auto"/>
      <w:ind w:firstLineChars="200"/>
      <w:jc w:val="left"/>
    </w:pPr>
    <w:rPr>
      <w:rFonts w:ascii="微软雅黑" w:hAnsi="微软雅黑" w:eastAsia="微软雅黑" w:cs="宋体"/>
      <w:color w:val="000000"/>
      <w:sz w:val="24"/>
      <w:szCs w:val="21"/>
    </w:rPr>
  </w:style>
  <w:style w:type="paragraph" w:customStyle="1" w:styleId="142">
    <w:name w:val="acbfdd8b-e11b-4d36-88ff-6049b138f862"/>
    <w:basedOn w:val="12"/>
    <w:link w:val="144"/>
    <w:qFormat/>
    <w:uiPriority w:val="0"/>
    <w:pPr>
      <w:adjustRightInd w:val="0"/>
      <w:spacing w:line="288" w:lineRule="auto"/>
      <w:ind w:firstLineChars="200"/>
      <w:jc w:val="left"/>
    </w:pPr>
    <w:rPr>
      <w:rFonts w:ascii="微软雅黑" w:hAnsi="微软雅黑" w:eastAsia="微软雅黑" w:cs="宋体"/>
      <w:color w:val="000000"/>
      <w:sz w:val="22"/>
      <w:szCs w:val="21"/>
    </w:rPr>
  </w:style>
  <w:style w:type="character" w:customStyle="1" w:styleId="143">
    <w:name w:val="566ba9ff-a5b0-4b6f-bbdf-c3ab41993fc2 字符"/>
    <w:link w:val="141"/>
    <w:qFormat/>
    <w:uiPriority w:val="0"/>
    <w:rPr>
      <w:rFonts w:ascii="微软雅黑" w:hAnsi="微软雅黑" w:eastAsia="微软雅黑" w:cs="宋体"/>
      <w:b/>
      <w:bCs/>
      <w:color w:val="000000"/>
      <w:kern w:val="2"/>
      <w:sz w:val="24"/>
      <w:szCs w:val="21"/>
    </w:rPr>
  </w:style>
  <w:style w:type="character" w:customStyle="1" w:styleId="144">
    <w:name w:val="acbfdd8b-e11b-4d36-88ff-6049b138f862 字符"/>
    <w:link w:val="142"/>
    <w:qFormat/>
    <w:uiPriority w:val="0"/>
    <w:rPr>
      <w:rFonts w:ascii="微软雅黑" w:hAnsi="微软雅黑" w:eastAsia="微软雅黑" w:cs="宋体"/>
      <w:color w:val="000000"/>
      <w:kern w:val="2"/>
      <w:sz w:val="22"/>
      <w:szCs w:val="21"/>
    </w:rPr>
  </w:style>
  <w:style w:type="paragraph" w:customStyle="1" w:styleId="145">
    <w:name w:val="c047f70a-4733-4f89-8971-bccdea5ca046"/>
    <w:basedOn w:val="25"/>
    <w:next w:val="142"/>
    <w:link w:val="146"/>
    <w:qFormat/>
    <w:uiPriority w:val="0"/>
    <w:pPr>
      <w:adjustRightInd w:val="0"/>
      <w:spacing w:before="0" w:after="0" w:line="288" w:lineRule="auto"/>
      <w:ind w:firstLineChars="200"/>
      <w:outlineLvl w:val="9"/>
    </w:pPr>
    <w:rPr>
      <w:rFonts w:ascii="微软雅黑" w:hAnsi="微软雅黑" w:eastAsia="微软雅黑" w:cs="宋体"/>
      <w:b w:val="0"/>
      <w:color w:val="000000"/>
      <w:kern w:val="0"/>
      <w:sz w:val="36"/>
      <w:szCs w:val="21"/>
    </w:rPr>
  </w:style>
  <w:style w:type="character" w:customStyle="1" w:styleId="146">
    <w:name w:val="c047f70a-4733-4f89-8971-bccdea5ca046 字符"/>
    <w:link w:val="145"/>
    <w:qFormat/>
    <w:uiPriority w:val="0"/>
    <w:rPr>
      <w:rFonts w:ascii="微软雅黑" w:hAnsi="微软雅黑" w:eastAsia="微软雅黑" w:cs="宋体"/>
      <w:bCs/>
      <w:color w:val="000000"/>
      <w:sz w:val="36"/>
      <w:szCs w:val="21"/>
    </w:rPr>
  </w:style>
  <w:style w:type="paragraph" w:customStyle="1" w:styleId="147">
    <w:name w:val="Body Text First Indent 21"/>
    <w:basedOn w:val="148"/>
    <w:next w:val="1"/>
    <w:unhideWhenUsed/>
    <w:qFormat/>
    <w:uiPriority w:val="0"/>
    <w:pPr>
      <w:ind w:firstLine="420"/>
    </w:pPr>
  </w:style>
  <w:style w:type="paragraph" w:customStyle="1" w:styleId="148">
    <w:name w:val="Body Text Indent1"/>
    <w:basedOn w:val="1"/>
    <w:unhideWhenUsed/>
    <w:qFormat/>
    <w:uiPriority w:val="0"/>
    <w:pPr>
      <w:spacing w:line="500" w:lineRule="exact"/>
      <w:ind w:firstLine="880" w:firstLineChars="200"/>
    </w:pPr>
    <w:rPr>
      <w:rFonts w:ascii="Times New Roman" w:hAnsi="Times New Roman" w:eastAsia="宋体" w:cs="Times New Roman"/>
      <w:szCs w:val="24"/>
    </w:rPr>
  </w:style>
  <w:style w:type="paragraph" w:customStyle="1" w:styleId="149">
    <w:name w:val="_Style 160"/>
    <w:basedOn w:val="1"/>
    <w:next w:val="98"/>
    <w:qFormat/>
    <w:uiPriority w:val="0"/>
    <w:pPr>
      <w:pBdr>
        <w:bottom w:val="single" w:color="auto" w:sz="6" w:space="1"/>
      </w:pBdr>
      <w:jc w:val="center"/>
    </w:pPr>
    <w:rPr>
      <w:rFonts w:ascii="Arial"/>
      <w:vanish/>
      <w:sz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148</Pages>
  <Words>24534</Words>
  <Characters>26129</Characters>
  <Lines>237</Lines>
  <Paragraphs>66</Paragraphs>
  <TotalTime>0</TotalTime>
  <ScaleCrop>false</ScaleCrop>
  <LinksUpToDate>false</LinksUpToDate>
  <CharactersWithSpaces>26390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2025-07-25T07:45:00Z</dcterms:created>
  <dc:creator>jj</dc:creator>
  <cp:lastModifiedBy>吴振鲁</cp:lastModifiedBy>
  <cp:lastPrinted>2025-11-06T04:22:00Z</cp:lastPrinted>
  <dcterms:modified xsi:type="dcterms:W3CDTF">2026-01-06T07:37:17Z</dcterms:modified>
  <dc:title>求是招标代理有限公司</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eyJoZGlkIjoiOWZlZTc1Nzc1YjU2ODA4YWE4YzE2ZGYxYWQ3OTg3NmMifQ==</vt:lpwstr>
  </property>
  <property fmtid="{D5CDD505-2E9C-101B-9397-08002B2CF9AE}" pid="3" name="ICV">
    <vt:lpwstr>7306EB5F90DD4102BC03412BBA2E6D11_13</vt:lpwstr>
  </property>
  <property fmtid="{D5CDD505-2E9C-101B-9397-08002B2CF9AE}" pid="4" name="KSOProductBuildVer">
    <vt:lpwstr>2052-12.1.0.24034</vt:lpwstr>
  </property>
  <property fmtid="{D5CDD505-2E9C-101B-9397-08002B2CF9AE}" pid="5" name="ZSYH">
    <vt:lpwstr>��������*�������ա�ģ������*lilanjie@czbank.com*57481524@qq.com * * *2024-11-14 15:42:11;</vt:lpwstr>
  </property>
  <property fmtid="{D5CDD505-2E9C-101B-9397-08002B2CF9AE}" pid="6" name="KSOTemplateDocerSaveRecord">
    <vt:lpwstr>eyJoZGlkIjoiMzEwNTM5NzYwMDRjMzkwZTVkZjY2ODkwMGIxNGU0OTUiLCJ1c2VySWQiOiI3NjQyODk0MzIifQ==</vt:lpwstr>
  </property>
</Properties>
</file>