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78E0" w14:textId="77777777" w:rsidR="00721E61" w:rsidRPr="00721E61" w:rsidRDefault="00721E61" w:rsidP="00721E61">
      <w:pPr>
        <w:rPr>
          <w:sz w:val="30"/>
          <w:szCs w:val="30"/>
        </w:rPr>
      </w:pPr>
      <w:r w:rsidRPr="00721E61">
        <w:rPr>
          <w:rFonts w:hint="eastAsia"/>
          <w:sz w:val="30"/>
          <w:szCs w:val="30"/>
        </w:rPr>
        <w:t>中技国际招标有限公司</w:t>
      </w:r>
      <w:proofErr w:type="gramStart"/>
      <w:r w:rsidRPr="00721E61">
        <w:rPr>
          <w:rFonts w:hint="eastAsia"/>
          <w:sz w:val="30"/>
          <w:szCs w:val="30"/>
        </w:rPr>
        <w:t>关于浙商银行</w:t>
      </w:r>
      <w:proofErr w:type="gramEnd"/>
      <w:r w:rsidRPr="00721E61">
        <w:rPr>
          <w:rFonts w:hint="eastAsia"/>
          <w:sz w:val="30"/>
          <w:szCs w:val="30"/>
        </w:rPr>
        <w:t>股份有限公司北京分行浙商银行北京分行保安服务采购项目的中标(成交)结果公告</w:t>
      </w:r>
    </w:p>
    <w:p w14:paraId="4849EB03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Pr="00721E61">
        <w:rPr>
          <w:rFonts w:ascii="宋体" w:eastAsia="宋体" w:hAnsi="宋体"/>
          <w:sz w:val="24"/>
          <w:szCs w:val="24"/>
        </w:rPr>
        <w:t>BJJC2025HQGKb014</w:t>
      </w:r>
    </w:p>
    <w:p w14:paraId="56C9B06C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二、项目名称</w:t>
      </w:r>
      <w:r w:rsidRPr="00721E61">
        <w:rPr>
          <w:rFonts w:ascii="宋体" w:eastAsia="宋体" w:hAnsi="宋体" w:hint="eastAsia"/>
          <w:sz w:val="24"/>
          <w:szCs w:val="24"/>
        </w:rPr>
        <w:t>：</w:t>
      </w:r>
      <w:proofErr w:type="gramStart"/>
      <w:r w:rsidRPr="00721E61">
        <w:rPr>
          <w:rFonts w:ascii="宋体" w:eastAsia="宋体" w:hAnsi="宋体"/>
          <w:sz w:val="24"/>
          <w:szCs w:val="24"/>
        </w:rPr>
        <w:t>浙商银行</w:t>
      </w:r>
      <w:proofErr w:type="gramEnd"/>
      <w:r w:rsidRPr="00721E61">
        <w:rPr>
          <w:rFonts w:ascii="宋体" w:eastAsia="宋体" w:hAnsi="宋体"/>
          <w:sz w:val="24"/>
          <w:szCs w:val="24"/>
        </w:rPr>
        <w:t>股份有限公司北京分行浙商银行北京分行保安服务采购项目</w:t>
      </w:r>
    </w:p>
    <w:p w14:paraId="12821360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三、采购方式：</w:t>
      </w:r>
      <w:r w:rsidRPr="00721E61">
        <w:rPr>
          <w:rFonts w:ascii="宋体" w:eastAsia="宋体" w:hAnsi="宋体"/>
          <w:sz w:val="24"/>
          <w:szCs w:val="24"/>
        </w:rPr>
        <w:t>公开招标</w:t>
      </w:r>
      <w:r w:rsidRPr="00721E61">
        <w:rPr>
          <w:rFonts w:ascii="宋体" w:eastAsia="宋体" w:hAnsi="宋体" w:hint="eastAsia"/>
          <w:sz w:val="24"/>
          <w:szCs w:val="24"/>
        </w:rPr>
        <w:t> </w:t>
      </w:r>
    </w:p>
    <w:p w14:paraId="232E122F" w14:textId="6657EB94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四、项目公告日期：</w:t>
      </w:r>
      <w:r w:rsidRPr="00721E61">
        <w:rPr>
          <w:rFonts w:ascii="宋体" w:eastAsia="宋体" w:hAnsi="宋体" w:hint="eastAsia"/>
          <w:sz w:val="24"/>
          <w:szCs w:val="24"/>
        </w:rPr>
        <w:t>2025年10月20日至2025年10月2</w:t>
      </w:r>
      <w:r w:rsidRPr="00721E61">
        <w:rPr>
          <w:rFonts w:ascii="宋体" w:eastAsia="宋体" w:hAnsi="宋体" w:hint="eastAsia"/>
          <w:sz w:val="24"/>
          <w:szCs w:val="24"/>
        </w:rPr>
        <w:t>2</w:t>
      </w:r>
      <w:r w:rsidRPr="00721E61">
        <w:rPr>
          <w:rFonts w:ascii="宋体" w:eastAsia="宋体" w:hAnsi="宋体" w:hint="eastAsia"/>
          <w:sz w:val="24"/>
          <w:szCs w:val="24"/>
        </w:rPr>
        <w:t>日</w:t>
      </w:r>
    </w:p>
    <w:p w14:paraId="397C536A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五、中标（成交/入围）信息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4267"/>
        <w:gridCol w:w="1732"/>
        <w:gridCol w:w="1634"/>
      </w:tblGrid>
      <w:tr w:rsidR="00902898" w:rsidRPr="00721E61" w14:paraId="560164C1" w14:textId="77777777" w:rsidTr="00902898">
        <w:trPr>
          <w:tblHeader/>
        </w:trPr>
        <w:tc>
          <w:tcPr>
            <w:tcW w:w="399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98E824" w14:textId="77777777" w:rsidR="00721E61" w:rsidRPr="00721E61" w:rsidRDefault="00721E61" w:rsidP="00721E6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721E61">
              <w:rPr>
                <w:rFonts w:ascii="宋体" w:eastAsia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72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0E96BB" w14:textId="77777777" w:rsidR="00721E61" w:rsidRPr="00721E61" w:rsidRDefault="00721E61" w:rsidP="00721E61">
            <w:pPr>
              <w:rPr>
                <w:rFonts w:ascii="宋体" w:eastAsia="宋体" w:hAnsi="宋体"/>
                <w:sz w:val="24"/>
                <w:szCs w:val="24"/>
              </w:rPr>
            </w:pPr>
            <w:r w:rsidRPr="00721E61">
              <w:rPr>
                <w:rFonts w:ascii="宋体" w:eastAsia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04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93BE7" w14:textId="77777777" w:rsidR="00721E61" w:rsidRPr="00721E61" w:rsidRDefault="00721E61" w:rsidP="00721E61">
            <w:pPr>
              <w:rPr>
                <w:rFonts w:ascii="宋体" w:eastAsia="宋体" w:hAnsi="宋体"/>
                <w:sz w:val="24"/>
                <w:szCs w:val="24"/>
              </w:rPr>
            </w:pPr>
            <w:r w:rsidRPr="00721E61">
              <w:rPr>
                <w:rFonts w:ascii="宋体" w:eastAsia="宋体" w:hAnsi="宋体"/>
                <w:b/>
                <w:bCs/>
                <w:sz w:val="24"/>
                <w:szCs w:val="24"/>
              </w:rPr>
              <w:t>中标（成交/入围）供应商名称</w:t>
            </w:r>
          </w:p>
        </w:tc>
        <w:tc>
          <w:tcPr>
            <w:tcW w:w="98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3C010E" w14:textId="77777777" w:rsidR="00721E61" w:rsidRPr="00721E61" w:rsidRDefault="00721E61" w:rsidP="00721E61">
            <w:pPr>
              <w:rPr>
                <w:rFonts w:ascii="宋体" w:eastAsia="宋体" w:hAnsi="宋体"/>
                <w:sz w:val="24"/>
                <w:szCs w:val="24"/>
              </w:rPr>
            </w:pPr>
            <w:r w:rsidRPr="00721E61">
              <w:rPr>
                <w:rFonts w:ascii="宋体" w:eastAsia="宋体" w:hAnsi="宋体"/>
                <w:b/>
                <w:bCs/>
                <w:sz w:val="24"/>
                <w:szCs w:val="24"/>
              </w:rPr>
              <w:t>中标（成交/入围）价格</w:t>
            </w:r>
          </w:p>
        </w:tc>
      </w:tr>
      <w:tr w:rsidR="00902898" w:rsidRPr="00721E61" w14:paraId="1267A769" w14:textId="77777777" w:rsidTr="00902898">
        <w:trPr>
          <w:trHeight w:val="1709"/>
        </w:trPr>
        <w:tc>
          <w:tcPr>
            <w:tcW w:w="399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8324D2" w14:textId="77777777" w:rsidR="00721E61" w:rsidRPr="00721E61" w:rsidRDefault="00721E61" w:rsidP="00721E61">
            <w:pPr>
              <w:rPr>
                <w:rFonts w:ascii="宋体" w:eastAsia="宋体" w:hAnsi="宋体"/>
                <w:sz w:val="24"/>
                <w:szCs w:val="24"/>
              </w:rPr>
            </w:pPr>
            <w:r w:rsidRPr="00721E61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5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28448F" w14:textId="77777777" w:rsidR="00721E61" w:rsidRPr="00721E61" w:rsidRDefault="00721E61" w:rsidP="00721E6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721E61">
              <w:rPr>
                <w:rFonts w:ascii="宋体" w:eastAsia="宋体" w:hAnsi="宋体" w:hint="eastAsia"/>
                <w:sz w:val="24"/>
                <w:szCs w:val="24"/>
              </w:rPr>
              <w:t>投标总报价（不含税）:9059799.12(元),投标总报价（含税）:9089280(元)</w:t>
            </w:r>
          </w:p>
        </w:tc>
        <w:tc>
          <w:tcPr>
            <w:tcW w:w="1044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DB0B9A" w14:textId="77777777" w:rsidR="00721E61" w:rsidRPr="00721E61" w:rsidRDefault="00721E61" w:rsidP="00721E6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721E61">
              <w:rPr>
                <w:rFonts w:ascii="宋体" w:eastAsia="宋体" w:hAnsi="宋体" w:hint="eastAsia"/>
                <w:sz w:val="24"/>
                <w:szCs w:val="24"/>
              </w:rPr>
              <w:t>北京振远护卫有限公司</w:t>
            </w:r>
          </w:p>
        </w:tc>
        <w:tc>
          <w:tcPr>
            <w:tcW w:w="98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8CAC4" w14:textId="77777777" w:rsidR="00721E61" w:rsidRPr="00721E61" w:rsidRDefault="00721E61" w:rsidP="00721E61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721E61">
              <w:rPr>
                <w:rFonts w:ascii="宋体" w:eastAsia="宋体" w:hAnsi="宋体" w:hint="eastAsia"/>
                <w:sz w:val="24"/>
                <w:szCs w:val="24"/>
              </w:rPr>
              <w:t>北京市朝阳区南十里居43号</w:t>
            </w:r>
          </w:p>
        </w:tc>
      </w:tr>
    </w:tbl>
    <w:p w14:paraId="2D8E1155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六、其他事项</w:t>
      </w:r>
    </w:p>
    <w:p w14:paraId="3E3BA778" w14:textId="10500C6F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本项目</w:t>
      </w:r>
      <w:proofErr w:type="gramStart"/>
      <w:r w:rsidRPr="00721E61">
        <w:rPr>
          <w:rFonts w:ascii="宋体" w:eastAsia="宋体" w:hAnsi="宋体" w:hint="eastAsia"/>
          <w:sz w:val="24"/>
          <w:szCs w:val="24"/>
        </w:rPr>
        <w:t>目</w:t>
      </w:r>
      <w:proofErr w:type="gramEnd"/>
      <w:r w:rsidRPr="00721E61">
        <w:rPr>
          <w:rFonts w:ascii="宋体" w:eastAsia="宋体" w:hAnsi="宋体" w:hint="eastAsia"/>
          <w:sz w:val="24"/>
          <w:szCs w:val="24"/>
        </w:rPr>
        <w:t>公告期限为</w:t>
      </w:r>
      <w:r>
        <w:rPr>
          <w:rFonts w:ascii="宋体" w:eastAsia="宋体" w:hAnsi="宋体" w:hint="eastAsia"/>
          <w:sz w:val="24"/>
          <w:szCs w:val="24"/>
        </w:rPr>
        <w:t>3</w:t>
      </w:r>
      <w:r w:rsidRPr="00721E61">
        <w:rPr>
          <w:rFonts w:ascii="宋体" w:eastAsia="宋体" w:hAnsi="宋体" w:hint="eastAsia"/>
          <w:sz w:val="24"/>
          <w:szCs w:val="24"/>
        </w:rPr>
        <w:t>个工作日，各参加采购活动的供应商如有异议，可以自本公告期限届满之日（本公告发布之日后第2个工作日）起3个工作日内，以书面形式向采购人或受其委托的采购代理机构提出质疑。</w:t>
      </w:r>
    </w:p>
    <w:p w14:paraId="11948C46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b/>
          <w:bCs/>
          <w:sz w:val="24"/>
          <w:szCs w:val="24"/>
        </w:rPr>
        <w:t>七、咨询方式</w:t>
      </w:r>
    </w:p>
    <w:p w14:paraId="0AD61F91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1.采购人信息</w:t>
      </w:r>
    </w:p>
    <w:p w14:paraId="5385B1C0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名称：</w:t>
      </w:r>
      <w:proofErr w:type="gramStart"/>
      <w:r w:rsidRPr="00721E61">
        <w:rPr>
          <w:rFonts w:ascii="宋体" w:eastAsia="宋体" w:hAnsi="宋体"/>
          <w:sz w:val="24"/>
          <w:szCs w:val="24"/>
        </w:rPr>
        <w:t>浙商银行</w:t>
      </w:r>
      <w:proofErr w:type="gramEnd"/>
      <w:r w:rsidRPr="00721E61">
        <w:rPr>
          <w:rFonts w:ascii="宋体" w:eastAsia="宋体" w:hAnsi="宋体"/>
          <w:sz w:val="24"/>
          <w:szCs w:val="24"/>
        </w:rPr>
        <w:t>股份有限公司北京分行</w:t>
      </w:r>
    </w:p>
    <w:p w14:paraId="4B00F5CE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地址：</w:t>
      </w:r>
      <w:r w:rsidRPr="00721E61">
        <w:rPr>
          <w:rFonts w:ascii="宋体" w:eastAsia="宋体" w:hAnsi="宋体"/>
          <w:sz w:val="24"/>
          <w:szCs w:val="24"/>
        </w:rPr>
        <w:t>北京市东城区建国门街道朝阳门南小街269号</w:t>
      </w:r>
    </w:p>
    <w:p w14:paraId="7EE2BE9E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项目联系人：</w:t>
      </w:r>
      <w:r w:rsidRPr="00721E61">
        <w:rPr>
          <w:rFonts w:ascii="宋体" w:eastAsia="宋体" w:hAnsi="宋体"/>
          <w:sz w:val="24"/>
          <w:szCs w:val="24"/>
        </w:rPr>
        <w:t>孟妍妍</w:t>
      </w:r>
    </w:p>
    <w:p w14:paraId="5BB7AAFC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项目联系方法：</w:t>
      </w:r>
      <w:r w:rsidRPr="00721E61">
        <w:rPr>
          <w:rFonts w:ascii="宋体" w:eastAsia="宋体" w:hAnsi="宋体"/>
          <w:sz w:val="24"/>
          <w:szCs w:val="24"/>
        </w:rPr>
        <w:t>010-86600429</w:t>
      </w:r>
    </w:p>
    <w:p w14:paraId="30275B7E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2.采购代理机构信息</w:t>
      </w:r>
    </w:p>
    <w:p w14:paraId="70EDB15C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名称：</w:t>
      </w:r>
      <w:r w:rsidRPr="00721E61">
        <w:rPr>
          <w:rFonts w:ascii="宋体" w:eastAsia="宋体" w:hAnsi="宋体"/>
          <w:sz w:val="24"/>
          <w:szCs w:val="24"/>
        </w:rPr>
        <w:t>中技国际招标有限公司</w:t>
      </w:r>
    </w:p>
    <w:p w14:paraId="69BA064A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地址：</w:t>
      </w:r>
      <w:r w:rsidRPr="00721E61">
        <w:rPr>
          <w:rFonts w:ascii="宋体" w:eastAsia="宋体" w:hAnsi="宋体"/>
          <w:sz w:val="24"/>
          <w:szCs w:val="24"/>
        </w:rPr>
        <w:t>北京市丰台区金泽东路通用时代中心C座910</w:t>
      </w:r>
    </w:p>
    <w:p w14:paraId="20902611" w14:textId="3E448CE5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项目联系人：</w:t>
      </w:r>
      <w:r w:rsidRPr="00721E61">
        <w:rPr>
          <w:rFonts w:ascii="宋体" w:eastAsia="宋体" w:hAnsi="宋体"/>
          <w:sz w:val="24"/>
          <w:szCs w:val="24"/>
        </w:rPr>
        <w:t>魏兆鑫</w:t>
      </w:r>
      <w:r>
        <w:rPr>
          <w:rFonts w:ascii="宋体" w:eastAsia="宋体" w:hAnsi="宋体" w:hint="eastAsia"/>
          <w:sz w:val="24"/>
          <w:szCs w:val="24"/>
        </w:rPr>
        <w:t>、朱文艳</w:t>
      </w:r>
    </w:p>
    <w:p w14:paraId="55112434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项目联系方法：</w:t>
      </w:r>
      <w:r w:rsidRPr="00721E61">
        <w:rPr>
          <w:rFonts w:ascii="宋体" w:eastAsia="宋体" w:hAnsi="宋体"/>
          <w:sz w:val="24"/>
          <w:szCs w:val="24"/>
        </w:rPr>
        <w:t>010-81168703</w:t>
      </w:r>
    </w:p>
    <w:p w14:paraId="0DA6CA6B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代理机构异议联系人：</w:t>
      </w:r>
      <w:r w:rsidRPr="00721E61">
        <w:rPr>
          <w:rFonts w:ascii="宋体" w:eastAsia="宋体" w:hAnsi="宋体"/>
          <w:sz w:val="24"/>
          <w:szCs w:val="24"/>
        </w:rPr>
        <w:t>魏兆鑫</w:t>
      </w:r>
    </w:p>
    <w:p w14:paraId="52B01115" w14:textId="77777777" w:rsidR="00721E61" w:rsidRPr="00721E61" w:rsidRDefault="00721E61" w:rsidP="00721E61">
      <w:pPr>
        <w:rPr>
          <w:rFonts w:ascii="宋体" w:eastAsia="宋体" w:hAnsi="宋体" w:hint="eastAsia"/>
          <w:sz w:val="24"/>
          <w:szCs w:val="24"/>
        </w:rPr>
      </w:pPr>
      <w:r w:rsidRPr="00721E61">
        <w:rPr>
          <w:rFonts w:ascii="宋体" w:eastAsia="宋体" w:hAnsi="宋体" w:hint="eastAsia"/>
          <w:sz w:val="24"/>
          <w:szCs w:val="24"/>
        </w:rPr>
        <w:t>代理机构联系电话：</w:t>
      </w:r>
      <w:r w:rsidRPr="00721E61">
        <w:rPr>
          <w:rFonts w:ascii="宋体" w:eastAsia="宋体" w:hAnsi="宋体"/>
          <w:sz w:val="24"/>
          <w:szCs w:val="24"/>
        </w:rPr>
        <w:t>010-81168703</w:t>
      </w:r>
    </w:p>
    <w:p w14:paraId="22F318C1" w14:textId="77777777" w:rsidR="00A37D52" w:rsidRDefault="00A37D52">
      <w:pPr>
        <w:rPr>
          <w:rFonts w:hint="eastAsia"/>
        </w:rPr>
      </w:pPr>
    </w:p>
    <w:sectPr w:rsidR="00A3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80D3" w14:textId="77777777" w:rsidR="00FB7940" w:rsidRDefault="00FB7940" w:rsidP="00721E61">
      <w:pPr>
        <w:rPr>
          <w:rFonts w:hint="eastAsia"/>
        </w:rPr>
      </w:pPr>
      <w:r>
        <w:separator/>
      </w:r>
    </w:p>
  </w:endnote>
  <w:endnote w:type="continuationSeparator" w:id="0">
    <w:p w14:paraId="40077FCE" w14:textId="77777777" w:rsidR="00FB7940" w:rsidRDefault="00FB7940" w:rsidP="00721E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81D6" w14:textId="77777777" w:rsidR="00FB7940" w:rsidRDefault="00FB7940" w:rsidP="00721E61">
      <w:pPr>
        <w:rPr>
          <w:rFonts w:hint="eastAsia"/>
        </w:rPr>
      </w:pPr>
      <w:r>
        <w:separator/>
      </w:r>
    </w:p>
  </w:footnote>
  <w:footnote w:type="continuationSeparator" w:id="0">
    <w:p w14:paraId="5D57B402" w14:textId="77777777" w:rsidR="00FB7940" w:rsidRDefault="00FB7940" w:rsidP="00721E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FD"/>
    <w:rsid w:val="000879FD"/>
    <w:rsid w:val="00693BC1"/>
    <w:rsid w:val="00721E61"/>
    <w:rsid w:val="00902898"/>
    <w:rsid w:val="00A37D52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790C3"/>
  <w15:chartTrackingRefBased/>
  <w15:docId w15:val="{C88D5907-0A2B-4787-ACFB-AB3E507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9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9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79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9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9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9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79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1E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1E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1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303</Characters>
  <Application>Microsoft Office Word</Application>
  <DocSecurity>0</DocSecurity>
  <Lines>21</Lines>
  <Paragraphs>19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 wei</dc:creator>
  <cp:keywords/>
  <dc:description/>
  <cp:lastModifiedBy>zhaoxin wei</cp:lastModifiedBy>
  <cp:revision>3</cp:revision>
  <dcterms:created xsi:type="dcterms:W3CDTF">2025-10-20T08:25:00Z</dcterms:created>
  <dcterms:modified xsi:type="dcterms:W3CDTF">2025-10-20T08:28:00Z</dcterms:modified>
</cp:coreProperties>
</file>