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楷体" w:hAnsi="楷体" w:eastAsia="楷体"/>
          <w:b/>
          <w:spacing w:val="-6"/>
          <w:sz w:val="72"/>
          <w:szCs w:val="72"/>
        </w:rPr>
      </w:pPr>
      <w:r>
        <w:rPr>
          <w:rFonts w:hint="eastAsia" w:ascii="楷体" w:hAnsi="楷体" w:eastAsia="楷体"/>
          <w:b/>
          <w:spacing w:val="-6"/>
          <w:sz w:val="72"/>
          <w:szCs w:val="72"/>
        </w:rPr>
        <w:t>浙商银行台州分行公司客户贷款抵押物（房屋建筑物）财产保险服务项目采购</w:t>
      </w:r>
    </w:p>
    <w:p>
      <w:pPr>
        <w:pStyle w:val="3"/>
        <w:rPr>
          <w:rFonts w:hint="eastAsia"/>
        </w:rPr>
      </w:pPr>
    </w:p>
    <w:p>
      <w:pPr>
        <w:spacing w:line="360" w:lineRule="auto"/>
        <w:jc w:val="center"/>
        <w:rPr>
          <w:rFonts w:hint="eastAsia" w:ascii="楷体" w:hAnsi="楷体" w:eastAsia="楷体"/>
          <w:b/>
          <w:spacing w:val="-6"/>
          <w:sz w:val="72"/>
          <w:szCs w:val="72"/>
        </w:rPr>
      </w:pPr>
      <w:r>
        <w:rPr>
          <w:rFonts w:hint="eastAsia" w:ascii="楷体" w:hAnsi="楷体" w:eastAsia="楷体"/>
          <w:b/>
          <w:spacing w:val="-6"/>
          <w:sz w:val="72"/>
          <w:szCs w:val="72"/>
        </w:rPr>
        <w:t>招 标 文 件</w:t>
      </w:r>
    </w:p>
    <w:p>
      <w:pPr>
        <w:spacing w:line="360" w:lineRule="auto"/>
        <w:jc w:val="center"/>
        <w:rPr>
          <w:rFonts w:ascii="宋体" w:hAnsi="宋体" w:cs="宋体"/>
          <w:b/>
          <w:sz w:val="32"/>
          <w:szCs w:val="32"/>
        </w:rPr>
      </w:pPr>
      <w:r>
        <w:rPr>
          <w:rFonts w:hint="eastAsia" w:ascii="宋体" w:hAnsi="宋体" w:cs="宋体"/>
          <w:b/>
          <w:sz w:val="32"/>
          <w:szCs w:val="32"/>
        </w:rPr>
        <w:t>（公开招标）</w:t>
      </w:r>
    </w:p>
    <w:p>
      <w:pPr>
        <w:spacing w:line="360" w:lineRule="auto"/>
        <w:jc w:val="center"/>
        <w:rPr>
          <w:rFonts w:ascii="宋体" w:hAnsi="宋体" w:cs="宋体"/>
          <w:b/>
          <w:sz w:val="32"/>
          <w:szCs w:val="32"/>
        </w:rPr>
      </w:pPr>
    </w:p>
    <w:p>
      <w:pPr>
        <w:pStyle w:val="14"/>
      </w:pPr>
    </w:p>
    <w:p/>
    <w:p>
      <w:pPr>
        <w:pStyle w:val="14"/>
      </w:pPr>
    </w:p>
    <w:p>
      <w:pPr>
        <w:rPr>
          <w:rFonts w:hint="eastAsia"/>
        </w:rPr>
      </w:pPr>
    </w:p>
    <w:p>
      <w:pPr>
        <w:spacing w:line="360" w:lineRule="auto"/>
        <w:ind w:left="2944" w:leftChars="535" w:hanging="1446" w:hangingChars="500"/>
        <w:rPr>
          <w:rFonts w:hint="eastAsia" w:ascii="楷体" w:hAnsi="楷体" w:eastAsia="楷体"/>
          <w:b/>
          <w:spacing w:val="-6"/>
          <w:sz w:val="30"/>
          <w:szCs w:val="30"/>
        </w:rPr>
      </w:pPr>
      <w:r>
        <w:rPr>
          <w:rFonts w:hint="eastAsia" w:ascii="楷体" w:hAnsi="楷体" w:eastAsia="楷体"/>
          <w:b/>
          <w:spacing w:val="-6"/>
          <w:sz w:val="30"/>
          <w:szCs w:val="30"/>
        </w:rPr>
        <w:t>项目名称：浙商银行台州分行公司客户贷款抵押物（房屋建筑物）财产保险服务项目采购</w:t>
      </w:r>
    </w:p>
    <w:p>
      <w:pPr>
        <w:spacing w:line="360" w:lineRule="auto"/>
        <w:ind w:firstLine="1446" w:firstLineChars="500"/>
        <w:rPr>
          <w:rFonts w:ascii="楷体" w:hAnsi="楷体" w:eastAsia="楷体"/>
          <w:b/>
          <w:spacing w:val="-6"/>
          <w:sz w:val="30"/>
          <w:szCs w:val="30"/>
        </w:rPr>
      </w:pPr>
      <w:r>
        <w:rPr>
          <w:rFonts w:hint="eastAsia" w:ascii="楷体" w:hAnsi="楷体" w:eastAsia="楷体"/>
          <w:b/>
          <w:spacing w:val="-6"/>
          <w:sz w:val="30"/>
          <w:szCs w:val="30"/>
        </w:rPr>
        <w:t>项目编号：</w:t>
      </w:r>
      <w:r>
        <w:rPr>
          <w:rFonts w:hint="eastAsia" w:ascii="楷体" w:hAnsi="楷体" w:eastAsia="楷体" w:cs="Times New Roman"/>
          <w:b/>
          <w:spacing w:val="-6"/>
          <w:sz w:val="30"/>
          <w:szCs w:val="30"/>
          <w:lang w:eastAsia="zh-CN"/>
        </w:rPr>
        <w:t>TZJC2025FXGKb006</w:t>
      </w:r>
    </w:p>
    <w:p>
      <w:pPr>
        <w:spacing w:line="360" w:lineRule="auto"/>
        <w:ind w:firstLine="1446" w:firstLineChars="500"/>
        <w:rPr>
          <w:rFonts w:hint="eastAsia" w:ascii="楷体" w:hAnsi="楷体" w:eastAsia="楷体"/>
          <w:b/>
          <w:spacing w:val="-6"/>
          <w:sz w:val="30"/>
          <w:szCs w:val="30"/>
          <w:lang w:eastAsia="zh-CN"/>
        </w:rPr>
      </w:pPr>
      <w:r>
        <w:rPr>
          <w:rFonts w:hint="eastAsia" w:ascii="楷体" w:hAnsi="楷体" w:eastAsia="楷体"/>
          <w:b/>
          <w:spacing w:val="-6"/>
          <w:sz w:val="30"/>
          <w:szCs w:val="30"/>
        </w:rPr>
        <w:t>招 标 人：</w:t>
      </w:r>
      <w:r>
        <w:rPr>
          <w:rFonts w:hint="eastAsia" w:ascii="楷体" w:hAnsi="楷体" w:eastAsia="楷体"/>
          <w:b/>
          <w:spacing w:val="-6"/>
          <w:sz w:val="30"/>
          <w:szCs w:val="30"/>
          <w:lang w:eastAsia="zh-CN"/>
        </w:rPr>
        <w:t>浙商银行股份有限公司台州分行</w:t>
      </w:r>
    </w:p>
    <w:p>
      <w:pPr>
        <w:spacing w:line="360" w:lineRule="auto"/>
        <w:ind w:firstLine="1446" w:firstLineChars="500"/>
        <w:rPr>
          <w:rFonts w:hint="eastAsia" w:ascii="楷体" w:hAnsi="楷体" w:eastAsia="楷体"/>
          <w:b/>
          <w:spacing w:val="-6"/>
          <w:sz w:val="30"/>
          <w:szCs w:val="30"/>
        </w:rPr>
      </w:pPr>
      <w:r>
        <w:rPr>
          <w:rFonts w:hint="eastAsia" w:ascii="楷体" w:hAnsi="楷体" w:eastAsia="楷体"/>
          <w:b/>
          <w:spacing w:val="-6"/>
          <w:sz w:val="30"/>
          <w:szCs w:val="30"/>
        </w:rPr>
        <w:t>招标代理机构：浙江华夏工程管理有限公司</w:t>
      </w:r>
    </w:p>
    <w:p>
      <w:pPr>
        <w:pStyle w:val="3"/>
        <w:rPr>
          <w:rFonts w:hint="eastAsia" w:ascii="楷体" w:hAnsi="楷体" w:eastAsia="楷体"/>
          <w:b/>
          <w:spacing w:val="-6"/>
          <w:sz w:val="30"/>
          <w:szCs w:val="30"/>
        </w:rPr>
        <w:sectPr>
          <w:pgSz w:w="11906" w:h="16838"/>
          <w:pgMar w:top="1440" w:right="1800" w:bottom="1440" w:left="1800" w:header="851" w:footer="992" w:gutter="0"/>
          <w:cols w:space="425" w:num="1"/>
          <w:docGrid w:type="lines" w:linePitch="312" w:charSpace="0"/>
        </w:sectPr>
      </w:pPr>
    </w:p>
    <w:p>
      <w:pPr>
        <w:pStyle w:val="11"/>
        <w:spacing w:before="0" w:beforeLines="0" w:after="0" w:afterLines="0" w:line="480" w:lineRule="auto"/>
        <w:jc w:val="center"/>
        <w:outlineLvl w:val="0"/>
        <w:rPr>
          <w:rFonts w:hint="eastAsia" w:ascii="楷体" w:hAnsi="楷体" w:eastAsia="楷体"/>
          <w:b/>
          <w:sz w:val="30"/>
          <w:szCs w:val="30"/>
        </w:rPr>
      </w:pPr>
      <w:r>
        <w:rPr>
          <w:rFonts w:ascii="楷体" w:hAnsi="楷体" w:eastAsia="楷体"/>
          <w:b/>
          <w:sz w:val="30"/>
          <w:szCs w:val="30"/>
        </w:rPr>
        <w:t>目</w:t>
      </w:r>
      <w:r>
        <w:rPr>
          <w:rFonts w:hint="eastAsia" w:ascii="楷体" w:hAnsi="楷体" w:eastAsia="楷体"/>
          <w:b/>
          <w:sz w:val="30"/>
          <w:szCs w:val="30"/>
        </w:rPr>
        <w:t xml:space="preserve">    </w:t>
      </w:r>
      <w:r>
        <w:rPr>
          <w:rFonts w:ascii="楷体" w:hAnsi="楷体" w:eastAsia="楷体"/>
          <w:b/>
          <w:sz w:val="30"/>
          <w:szCs w:val="30"/>
        </w:rPr>
        <w:t>录</w:t>
      </w:r>
    </w:p>
    <w:p>
      <w:pPr>
        <w:spacing w:before="120" w:beforeLines="50" w:line="288" w:lineRule="auto"/>
        <w:ind w:left="742"/>
        <w:outlineLvl w:val="0"/>
        <w:rPr>
          <w:rFonts w:ascii="楷体" w:hAnsi="楷体" w:eastAsia="楷体"/>
          <w:b/>
          <w:spacing w:val="-6"/>
          <w:sz w:val="30"/>
          <w:szCs w:val="30"/>
        </w:rPr>
      </w:pPr>
      <w:r>
        <w:rPr>
          <w:rFonts w:hint="eastAsia" w:ascii="楷体" w:hAnsi="楷体" w:eastAsia="楷体"/>
          <w:b/>
          <w:spacing w:val="-6"/>
          <w:sz w:val="30"/>
          <w:szCs w:val="30"/>
        </w:rPr>
        <w:t>第一章  招标公告</w:t>
      </w:r>
    </w:p>
    <w:p>
      <w:pPr>
        <w:spacing w:before="120" w:beforeLines="50" w:line="288" w:lineRule="auto"/>
        <w:ind w:left="164" w:firstLine="578" w:firstLineChars="200"/>
        <w:outlineLvl w:val="0"/>
        <w:rPr>
          <w:rFonts w:hint="eastAsia" w:ascii="楷体" w:hAnsi="楷体" w:eastAsia="楷体"/>
          <w:b/>
          <w:spacing w:val="-6"/>
          <w:sz w:val="30"/>
          <w:szCs w:val="30"/>
        </w:rPr>
      </w:pPr>
      <w:r>
        <w:rPr>
          <w:rFonts w:hint="eastAsia" w:ascii="楷体" w:hAnsi="楷体" w:eastAsia="楷体"/>
          <w:b/>
          <w:spacing w:val="-6"/>
          <w:sz w:val="30"/>
          <w:szCs w:val="30"/>
        </w:rPr>
        <w:t>第二章  投标人须知</w:t>
      </w:r>
    </w:p>
    <w:p>
      <w:pPr>
        <w:spacing w:before="120" w:beforeLines="50" w:line="288" w:lineRule="auto"/>
        <w:ind w:left="164" w:firstLine="578" w:firstLineChars="200"/>
        <w:outlineLvl w:val="0"/>
        <w:rPr>
          <w:rFonts w:hint="eastAsia" w:ascii="楷体" w:hAnsi="楷体" w:eastAsia="楷体"/>
          <w:b/>
          <w:spacing w:val="-6"/>
          <w:sz w:val="30"/>
          <w:szCs w:val="30"/>
        </w:rPr>
      </w:pPr>
      <w:r>
        <w:rPr>
          <w:rFonts w:hint="eastAsia" w:ascii="楷体" w:hAnsi="楷体" w:eastAsia="楷体"/>
          <w:b/>
          <w:spacing w:val="-6"/>
          <w:sz w:val="30"/>
          <w:szCs w:val="30"/>
        </w:rPr>
        <w:t>第三章  招标需求</w:t>
      </w:r>
    </w:p>
    <w:p>
      <w:pPr>
        <w:spacing w:before="120" w:beforeLines="50" w:line="288" w:lineRule="auto"/>
        <w:ind w:left="164" w:firstLine="578" w:firstLineChars="200"/>
        <w:outlineLvl w:val="0"/>
        <w:rPr>
          <w:rFonts w:hint="eastAsia" w:ascii="楷体" w:hAnsi="楷体" w:eastAsia="楷体"/>
          <w:b/>
          <w:spacing w:val="-6"/>
          <w:sz w:val="30"/>
          <w:szCs w:val="30"/>
        </w:rPr>
      </w:pPr>
      <w:r>
        <w:rPr>
          <w:rFonts w:hint="eastAsia" w:ascii="楷体" w:hAnsi="楷体" w:eastAsia="楷体"/>
          <w:b/>
          <w:spacing w:val="-6"/>
          <w:sz w:val="30"/>
          <w:szCs w:val="30"/>
        </w:rPr>
        <w:t>第四章  评标办法及评分标准</w:t>
      </w:r>
    </w:p>
    <w:p>
      <w:pPr>
        <w:spacing w:before="120" w:beforeLines="50" w:line="288" w:lineRule="auto"/>
        <w:ind w:left="164" w:firstLine="578" w:firstLineChars="200"/>
        <w:outlineLvl w:val="0"/>
        <w:rPr>
          <w:rFonts w:hint="eastAsia" w:ascii="楷体" w:hAnsi="楷体" w:eastAsia="楷体"/>
          <w:b/>
          <w:spacing w:val="-6"/>
          <w:sz w:val="30"/>
          <w:szCs w:val="30"/>
        </w:rPr>
      </w:pPr>
      <w:r>
        <w:rPr>
          <w:rFonts w:hint="eastAsia" w:ascii="楷体" w:hAnsi="楷体" w:eastAsia="楷体"/>
          <w:b/>
          <w:spacing w:val="-6"/>
          <w:sz w:val="30"/>
          <w:szCs w:val="30"/>
        </w:rPr>
        <w:t>第五章  拟签订合同的主要条款</w:t>
      </w:r>
    </w:p>
    <w:p>
      <w:pPr>
        <w:spacing w:before="120" w:beforeLines="50" w:line="288" w:lineRule="auto"/>
        <w:ind w:left="164" w:firstLine="578" w:firstLineChars="200"/>
        <w:outlineLvl w:val="0"/>
        <w:rPr>
          <w:rFonts w:ascii="楷体" w:hAnsi="楷体" w:eastAsia="楷体"/>
          <w:b/>
          <w:spacing w:val="-6"/>
          <w:sz w:val="30"/>
          <w:szCs w:val="30"/>
        </w:rPr>
      </w:pPr>
      <w:r>
        <w:rPr>
          <w:rFonts w:hint="eastAsia" w:ascii="楷体" w:hAnsi="楷体" w:eastAsia="楷体"/>
          <w:b/>
          <w:spacing w:val="-6"/>
          <w:sz w:val="30"/>
          <w:szCs w:val="30"/>
        </w:rPr>
        <w:t>第六章  投标文件格式</w:t>
      </w:r>
    </w:p>
    <w:p>
      <w:pPr>
        <w:pStyle w:val="11"/>
        <w:spacing w:before="0" w:beforeLines="0" w:after="0" w:afterLines="0" w:line="288" w:lineRule="auto"/>
        <w:jc w:val="center"/>
        <w:outlineLvl w:val="0"/>
        <w:rPr>
          <w:rFonts w:hAnsi="宋体"/>
          <w:b/>
          <w:spacing w:val="-6"/>
          <w:sz w:val="32"/>
          <w:szCs w:val="32"/>
        </w:rPr>
        <w:sectPr>
          <w:headerReference r:id="rId3" w:type="default"/>
          <w:footerReference r:id="rId4" w:type="default"/>
          <w:pgSz w:w="11906" w:h="16838"/>
          <w:pgMar w:top="1440" w:right="1247" w:bottom="1440" w:left="1247" w:header="283" w:footer="850" w:gutter="0"/>
          <w:cols w:space="720" w:num="1"/>
          <w:docGrid w:linePitch="381" w:charSpace="0"/>
        </w:sectPr>
      </w:pPr>
    </w:p>
    <w:p>
      <w:pPr>
        <w:pStyle w:val="11"/>
        <w:pageBreakBefore w:val="0"/>
        <w:kinsoku/>
        <w:overflowPunct/>
        <w:topLinePunct w:val="0"/>
        <w:bidi w:val="0"/>
        <w:spacing w:beforeLines="0" w:afterLines="0" w:line="360" w:lineRule="auto"/>
        <w:jc w:val="center"/>
        <w:outlineLvl w:val="0"/>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第一章  招标公告</w:t>
      </w:r>
    </w:p>
    <w:p>
      <w:pPr>
        <w:pStyle w:val="24"/>
        <w:pageBreakBefore w:val="0"/>
        <w:kinsoku/>
        <w:overflowPunct/>
        <w:topLinePunct w:val="0"/>
        <w:bidi w:val="0"/>
        <w:snapToGrid/>
        <w:spacing w:afterLines="0" w:line="360" w:lineRule="auto"/>
        <w:ind w:firstLine="456"/>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参照《中华人民共和国招标投标法》等法律法规规定，</w:t>
      </w:r>
      <w:r>
        <w:rPr>
          <w:rFonts w:hint="eastAsia" w:ascii="宋体" w:hAnsi="宋体" w:eastAsia="宋体" w:cs="宋体"/>
          <w:color w:val="auto"/>
          <w:spacing w:val="-6"/>
          <w:sz w:val="21"/>
          <w:szCs w:val="21"/>
          <w:highlight w:val="none"/>
          <w:lang w:eastAsia="zh-CN"/>
        </w:rPr>
        <w:t>浙商银行股份有限公司台州分行</w:t>
      </w:r>
      <w:r>
        <w:rPr>
          <w:rFonts w:hint="eastAsia" w:ascii="宋体" w:hAnsi="宋体" w:eastAsia="宋体" w:cs="宋体"/>
          <w:color w:val="auto"/>
          <w:spacing w:val="-6"/>
          <w:sz w:val="21"/>
          <w:szCs w:val="21"/>
          <w:highlight w:val="none"/>
        </w:rPr>
        <w:t>就</w:t>
      </w:r>
      <w:r>
        <w:rPr>
          <w:rFonts w:hint="eastAsia" w:ascii="宋体" w:hAnsi="宋体" w:eastAsia="宋体" w:cs="宋体"/>
          <w:color w:val="auto"/>
          <w:spacing w:val="-6"/>
          <w:sz w:val="21"/>
          <w:szCs w:val="21"/>
          <w:highlight w:val="none"/>
          <w:lang w:eastAsia="zh-CN"/>
        </w:rPr>
        <w:t>浙商银行台州分行公司客户贷款抵押物（房屋建筑物）财产保险服务项目采购</w:t>
      </w:r>
      <w:r>
        <w:rPr>
          <w:rFonts w:hint="eastAsia" w:ascii="宋体" w:hAnsi="宋体" w:eastAsia="宋体" w:cs="宋体"/>
          <w:color w:val="auto"/>
          <w:spacing w:val="-6"/>
          <w:sz w:val="21"/>
          <w:szCs w:val="21"/>
          <w:highlight w:val="none"/>
        </w:rPr>
        <w:t>进行公开招标采购，欢迎国内合格的</w:t>
      </w:r>
      <w:r>
        <w:rPr>
          <w:rFonts w:hint="eastAsia" w:ascii="宋体" w:hAnsi="宋体" w:eastAsia="宋体" w:cs="宋体"/>
          <w:color w:val="auto"/>
          <w:spacing w:val="-6"/>
          <w:sz w:val="21"/>
          <w:szCs w:val="21"/>
          <w:highlight w:val="none"/>
          <w:lang w:eastAsia="zh-CN"/>
        </w:rPr>
        <w:t>投标人</w:t>
      </w:r>
      <w:r>
        <w:rPr>
          <w:rFonts w:hint="eastAsia" w:ascii="宋体" w:hAnsi="宋体" w:eastAsia="宋体" w:cs="宋体"/>
          <w:color w:val="auto"/>
          <w:spacing w:val="-6"/>
          <w:sz w:val="21"/>
          <w:szCs w:val="21"/>
          <w:highlight w:val="none"/>
        </w:rPr>
        <w:t>积极参加。</w:t>
      </w:r>
    </w:p>
    <w:p>
      <w:pPr>
        <w:pageBreakBefore w:val="0"/>
        <w:numPr>
          <w:ilvl w:val="0"/>
          <w:numId w:val="1"/>
        </w:numPr>
        <w:kinsoku/>
        <w:overflowPunct/>
        <w:topLinePunct w:val="0"/>
        <w:bidi w:val="0"/>
        <w:spacing w:line="360" w:lineRule="auto"/>
        <w:ind w:firstLine="398" w:firstLineChars="200"/>
        <w:rPr>
          <w:rFonts w:hint="eastAsia" w:ascii="宋体" w:hAnsi="宋体" w:eastAsia="宋体" w:cs="宋体"/>
          <w:b/>
          <w:bCs/>
          <w:color w:val="auto"/>
          <w:spacing w:val="-6"/>
          <w:sz w:val="21"/>
          <w:szCs w:val="21"/>
          <w:highlight w:val="none"/>
          <w:lang w:eastAsia="zh-CN"/>
        </w:rPr>
      </w:pPr>
      <w:r>
        <w:rPr>
          <w:rFonts w:hint="eastAsia" w:ascii="宋体" w:hAnsi="宋体" w:cs="宋体"/>
          <w:b/>
          <w:bCs/>
          <w:color w:val="auto"/>
          <w:spacing w:val="-6"/>
          <w:sz w:val="21"/>
          <w:szCs w:val="21"/>
          <w:highlight w:val="none"/>
          <w:lang w:val="en-US" w:eastAsia="zh-CN"/>
        </w:rPr>
        <w:t>项目名称：</w:t>
      </w:r>
      <w:r>
        <w:rPr>
          <w:rFonts w:hint="eastAsia" w:ascii="宋体" w:hAnsi="宋体" w:cs="宋体"/>
          <w:b/>
          <w:bCs/>
          <w:color w:val="auto"/>
          <w:spacing w:val="-6"/>
          <w:sz w:val="21"/>
          <w:szCs w:val="21"/>
          <w:highlight w:val="none"/>
        </w:rPr>
        <w:t>浙商银行台州分行公司客户贷款抵押物（房屋建筑物）财产保险服务项目采购</w:t>
      </w:r>
    </w:p>
    <w:p>
      <w:pPr>
        <w:pageBreakBefore w:val="0"/>
        <w:numPr>
          <w:ilvl w:val="0"/>
          <w:numId w:val="1"/>
        </w:numPr>
        <w:kinsoku/>
        <w:overflowPunct/>
        <w:topLinePunct w:val="0"/>
        <w:bidi w:val="0"/>
        <w:spacing w:line="360" w:lineRule="auto"/>
        <w:ind w:firstLine="398" w:firstLineChars="200"/>
        <w:rPr>
          <w:rFonts w:hint="eastAsia" w:ascii="宋体" w:hAnsi="宋体" w:eastAsia="宋体" w:cs="宋体"/>
          <w:b/>
          <w:bCs/>
          <w:color w:val="auto"/>
          <w:spacing w:val="-6"/>
          <w:sz w:val="21"/>
          <w:szCs w:val="21"/>
          <w:highlight w:val="none"/>
          <w:lang w:eastAsia="zh-CN"/>
        </w:rPr>
      </w:pPr>
      <w:r>
        <w:rPr>
          <w:rFonts w:hint="eastAsia" w:ascii="宋体" w:hAnsi="宋体" w:eastAsia="宋体" w:cs="宋体"/>
          <w:b/>
          <w:bCs/>
          <w:color w:val="auto"/>
          <w:spacing w:val="-6"/>
          <w:sz w:val="21"/>
          <w:szCs w:val="21"/>
          <w:highlight w:val="none"/>
          <w:lang w:eastAsia="zh-CN"/>
        </w:rPr>
        <w:t>项目编号：</w:t>
      </w:r>
      <w:r>
        <w:rPr>
          <w:rFonts w:hint="eastAsia" w:ascii="宋体" w:hAnsi="宋体" w:eastAsia="宋体" w:cs="宋体"/>
          <w:bCs/>
          <w:color w:val="auto"/>
          <w:spacing w:val="-6"/>
          <w:sz w:val="21"/>
          <w:szCs w:val="21"/>
          <w:highlight w:val="none"/>
          <w:lang w:eastAsia="zh-CN"/>
        </w:rPr>
        <w:t>TZJC2025FXGKb006</w:t>
      </w:r>
    </w:p>
    <w:p>
      <w:pPr>
        <w:pageBreakBefore w:val="0"/>
        <w:numPr>
          <w:ilvl w:val="0"/>
          <w:numId w:val="0"/>
        </w:numPr>
        <w:kinsoku/>
        <w:overflowPunct/>
        <w:topLinePunct w:val="0"/>
        <w:bidi w:val="0"/>
        <w:spacing w:line="360" w:lineRule="auto"/>
        <w:ind w:firstLine="398" w:firstLineChars="200"/>
        <w:rPr>
          <w:rFonts w:hint="eastAsia" w:ascii="宋体" w:hAnsi="宋体" w:eastAsia="宋体" w:cs="宋体"/>
          <w:b/>
          <w:color w:val="auto"/>
          <w:spacing w:val="-6"/>
          <w:sz w:val="21"/>
          <w:szCs w:val="21"/>
          <w:highlight w:val="none"/>
        </w:rPr>
      </w:pPr>
      <w:r>
        <w:rPr>
          <w:rFonts w:hint="eastAsia" w:ascii="宋体" w:hAnsi="宋体" w:cs="宋体"/>
          <w:b/>
          <w:bCs/>
          <w:color w:val="auto"/>
          <w:spacing w:val="-6"/>
          <w:sz w:val="21"/>
          <w:szCs w:val="21"/>
          <w:highlight w:val="none"/>
          <w:lang w:val="en-US" w:eastAsia="zh-CN"/>
        </w:rPr>
        <w:t>三、</w:t>
      </w:r>
      <w:r>
        <w:rPr>
          <w:rFonts w:hint="eastAsia" w:ascii="宋体" w:hAnsi="宋体" w:eastAsia="宋体" w:cs="宋体"/>
          <w:b/>
          <w:bCs/>
          <w:color w:val="auto"/>
          <w:spacing w:val="-6"/>
          <w:sz w:val="21"/>
          <w:szCs w:val="21"/>
          <w:highlight w:val="none"/>
        </w:rPr>
        <w:t>项目内容：</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9"/>
        <w:gridCol w:w="1080"/>
        <w:gridCol w:w="1008"/>
        <w:gridCol w:w="4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2099"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autoSpaceDE/>
              <w:bidi w:val="0"/>
              <w:spacing w:line="360" w:lineRule="auto"/>
              <w:ind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bidi="ar"/>
              </w:rPr>
              <w:t>项目名称</w:t>
            </w:r>
          </w:p>
        </w:tc>
        <w:tc>
          <w:tcPr>
            <w:tcW w:w="1080" w:type="dxa"/>
            <w:tcBorders>
              <w:top w:val="single" w:color="auto" w:sz="4" w:space="0"/>
              <w:left w:val="nil"/>
              <w:bottom w:val="single" w:color="auto" w:sz="4" w:space="0"/>
              <w:right w:val="single" w:color="auto" w:sz="4" w:space="0"/>
            </w:tcBorders>
            <w:noWrap w:val="0"/>
            <w:vAlign w:val="center"/>
          </w:tcPr>
          <w:p>
            <w:pPr>
              <w:pageBreakBefore w:val="0"/>
              <w:kinsoku/>
              <w:overflowPunct/>
              <w:topLinePunct w:val="0"/>
              <w:autoSpaceDE/>
              <w:bidi w:val="0"/>
              <w:spacing w:line="360" w:lineRule="auto"/>
              <w:ind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bidi="ar"/>
              </w:rPr>
              <w:t>数量</w:t>
            </w:r>
          </w:p>
        </w:tc>
        <w:tc>
          <w:tcPr>
            <w:tcW w:w="1008" w:type="dxa"/>
            <w:tcBorders>
              <w:top w:val="single" w:color="auto" w:sz="4" w:space="0"/>
              <w:left w:val="nil"/>
              <w:bottom w:val="single" w:color="auto" w:sz="4" w:space="0"/>
              <w:right w:val="single" w:color="auto" w:sz="4" w:space="0"/>
            </w:tcBorders>
            <w:noWrap w:val="0"/>
            <w:vAlign w:val="center"/>
          </w:tcPr>
          <w:p>
            <w:pPr>
              <w:pageBreakBefore w:val="0"/>
              <w:kinsoku/>
              <w:overflowPunct/>
              <w:topLinePunct w:val="0"/>
              <w:autoSpaceDE/>
              <w:bidi w:val="0"/>
              <w:spacing w:line="360" w:lineRule="auto"/>
              <w:ind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bidi="ar"/>
              </w:rPr>
              <w:t>单位</w:t>
            </w:r>
          </w:p>
        </w:tc>
        <w:tc>
          <w:tcPr>
            <w:tcW w:w="4292" w:type="dxa"/>
            <w:tcBorders>
              <w:top w:val="single" w:color="auto" w:sz="4" w:space="0"/>
              <w:left w:val="nil"/>
              <w:bottom w:val="single" w:color="auto" w:sz="4" w:space="0"/>
              <w:right w:val="single" w:color="auto" w:sz="4" w:space="0"/>
            </w:tcBorders>
            <w:noWrap w:val="0"/>
            <w:vAlign w:val="center"/>
          </w:tcPr>
          <w:p>
            <w:pPr>
              <w:pageBreakBefore w:val="0"/>
              <w:kinsoku/>
              <w:overflowPunct/>
              <w:topLinePunct w:val="0"/>
              <w:autoSpaceDE/>
              <w:bidi w:val="0"/>
              <w:spacing w:line="360" w:lineRule="auto"/>
              <w:ind w:firstLine="0" w:firstLineChars="0"/>
              <w:jc w:val="center"/>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jc w:val="center"/>
        </w:trPr>
        <w:tc>
          <w:tcPr>
            <w:tcW w:w="2099"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autoSpaceDE/>
              <w:bidi w:val="0"/>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cs="宋体"/>
                <w:color w:val="auto"/>
                <w:spacing w:val="-6"/>
                <w:sz w:val="21"/>
                <w:szCs w:val="21"/>
                <w:highlight w:val="none"/>
                <w:lang w:eastAsia="zh-CN"/>
              </w:rPr>
              <w:t>浙商银行台州分行公司客户贷款抵押物（房屋建筑物）财产保险服务项目采购</w:t>
            </w:r>
          </w:p>
        </w:tc>
        <w:tc>
          <w:tcPr>
            <w:tcW w:w="1080" w:type="dxa"/>
            <w:tcBorders>
              <w:top w:val="single" w:color="auto" w:sz="4" w:space="0"/>
              <w:left w:val="nil"/>
              <w:bottom w:val="single" w:color="auto" w:sz="4" w:space="0"/>
              <w:right w:val="single" w:color="auto" w:sz="4" w:space="0"/>
            </w:tcBorders>
            <w:noWrap w:val="0"/>
            <w:vAlign w:val="center"/>
          </w:tcPr>
          <w:p>
            <w:pPr>
              <w:pageBreakBefore w:val="0"/>
              <w:kinsoku/>
              <w:overflowPunct/>
              <w:topLinePunct w:val="0"/>
              <w:autoSpaceDE/>
              <w:bidi w:val="0"/>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w:t>
            </w:r>
          </w:p>
        </w:tc>
        <w:tc>
          <w:tcPr>
            <w:tcW w:w="1008" w:type="dxa"/>
            <w:tcBorders>
              <w:top w:val="single" w:color="auto" w:sz="4" w:space="0"/>
              <w:left w:val="nil"/>
              <w:bottom w:val="single" w:color="auto" w:sz="4" w:space="0"/>
              <w:right w:val="single" w:color="auto" w:sz="4" w:space="0"/>
            </w:tcBorders>
            <w:noWrap w:val="0"/>
            <w:vAlign w:val="center"/>
          </w:tcPr>
          <w:p>
            <w:pPr>
              <w:pageBreakBefore w:val="0"/>
              <w:kinsoku/>
              <w:overflowPunct/>
              <w:topLinePunct w:val="0"/>
              <w:autoSpaceDE/>
              <w:bidi w:val="0"/>
              <w:spacing w:line="360" w:lineRule="auto"/>
              <w:ind w:firstLine="0" w:firstLineChars="0"/>
              <w:jc w:val="center"/>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lang w:eastAsia="zh-CN"/>
              </w:rPr>
              <w:t>项</w:t>
            </w:r>
          </w:p>
        </w:tc>
        <w:tc>
          <w:tcPr>
            <w:tcW w:w="4292" w:type="dxa"/>
            <w:tcBorders>
              <w:top w:val="single" w:color="auto" w:sz="4" w:space="0"/>
              <w:left w:val="nil"/>
              <w:bottom w:val="single" w:color="auto" w:sz="4" w:space="0"/>
              <w:right w:val="single" w:color="auto" w:sz="4" w:space="0"/>
            </w:tcBorders>
            <w:noWrap w:val="0"/>
            <w:vAlign w:val="center"/>
          </w:tcPr>
          <w:p>
            <w:pPr>
              <w:pageBreakBefore w:val="0"/>
              <w:numPr>
                <w:ilvl w:val="0"/>
                <w:numId w:val="0"/>
              </w:numPr>
              <w:kinsoku/>
              <w:overflowPunct/>
              <w:topLinePunct w:val="0"/>
              <w:autoSpaceDE/>
              <w:bidi w:val="0"/>
              <w:spacing w:line="360" w:lineRule="auto"/>
              <w:jc w:val="left"/>
              <w:rPr>
                <w:rFonts w:hint="eastAsia" w:ascii="宋体" w:hAnsi="宋体" w:eastAsia="宋体" w:cs="宋体"/>
                <w:color w:val="auto"/>
                <w:spacing w:val="-6"/>
                <w:sz w:val="21"/>
                <w:szCs w:val="21"/>
                <w:highlight w:val="none"/>
                <w:lang w:eastAsia="zh-CN"/>
              </w:rPr>
            </w:pPr>
            <w:r>
              <w:rPr>
                <w:rFonts w:hint="eastAsia" w:ascii="宋体" w:hAnsi="宋体" w:cs="宋体"/>
                <w:color w:val="auto"/>
                <w:spacing w:val="-6"/>
                <w:sz w:val="21"/>
                <w:szCs w:val="21"/>
                <w:highlight w:val="none"/>
                <w:lang w:eastAsia="zh-CN"/>
              </w:rPr>
              <w:t>浙商银行股份有限公司台州分行</w:t>
            </w:r>
            <w:r>
              <w:rPr>
                <w:rFonts w:hint="eastAsia" w:ascii="宋体" w:hAnsi="宋体" w:eastAsia="宋体" w:cs="宋体"/>
                <w:color w:val="auto"/>
                <w:spacing w:val="-6"/>
                <w:sz w:val="21"/>
                <w:szCs w:val="21"/>
                <w:highlight w:val="none"/>
                <w:lang w:eastAsia="zh-CN"/>
              </w:rPr>
              <w:t>通过招投标方式选择3家保险公司承接本次财产保险项目（如有效响应供应商数量仅3家，则选择综合得分排名前2的供应商入围；如有效响应供应商数量小于3家，则重新招标）；</w:t>
            </w:r>
          </w:p>
        </w:tc>
      </w:tr>
    </w:tbl>
    <w:p>
      <w:pPr>
        <w:pageBreakBefore w:val="0"/>
        <w:kinsoku/>
        <w:overflowPunct/>
        <w:topLinePunct w:val="0"/>
        <w:bidi w:val="0"/>
        <w:spacing w:line="360" w:lineRule="auto"/>
        <w:ind w:firstLine="398" w:firstLineChars="200"/>
        <w:rPr>
          <w:rFonts w:hint="eastAsia" w:ascii="宋体" w:hAnsi="宋体" w:eastAsia="宋体" w:cs="宋体"/>
          <w:b/>
          <w:bCs/>
          <w:color w:val="auto"/>
          <w:spacing w:val="-6"/>
          <w:sz w:val="21"/>
          <w:szCs w:val="21"/>
          <w:highlight w:val="none"/>
        </w:rPr>
      </w:pPr>
      <w:r>
        <w:rPr>
          <w:rFonts w:hint="eastAsia" w:ascii="宋体" w:hAnsi="宋体" w:cs="宋体"/>
          <w:b/>
          <w:bCs/>
          <w:color w:val="auto"/>
          <w:spacing w:val="-6"/>
          <w:sz w:val="21"/>
          <w:szCs w:val="21"/>
          <w:highlight w:val="none"/>
          <w:lang w:val="en-US" w:eastAsia="zh-CN"/>
        </w:rPr>
        <w:t>四</w:t>
      </w:r>
      <w:r>
        <w:rPr>
          <w:rFonts w:hint="eastAsia" w:ascii="宋体" w:hAnsi="宋体" w:eastAsia="宋体" w:cs="宋体"/>
          <w:b/>
          <w:bCs/>
          <w:color w:val="auto"/>
          <w:spacing w:val="-6"/>
          <w:sz w:val="21"/>
          <w:szCs w:val="21"/>
          <w:highlight w:val="none"/>
        </w:rPr>
        <w:t>、投标人的资格要求：</w:t>
      </w:r>
    </w:p>
    <w:p>
      <w:pPr>
        <w:pageBreakBefore w:val="0"/>
        <w:numPr>
          <w:ilvl w:val="0"/>
          <w:numId w:val="2"/>
        </w:numPr>
        <w:kinsoku/>
        <w:overflowPunct/>
        <w:topLinePunct w:val="0"/>
        <w:bidi w:val="0"/>
        <w:spacing w:line="360" w:lineRule="auto"/>
        <w:ind w:left="425" w:leftChars="0" w:hanging="425"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在中华人民共和国境内登记（或注册），具有独立承担民事责任的能力。金融、保险、通讯等特定行业的全国性企业所设立的区域性分支机构，如果已经依法办理了工商、税务和社保登记手续，并且获得总公司（总机构）授权或能够提供房产权证或其他有效财产证明材料，证明其具备实际承担责任的能力和法定的缔结合同能力，允许其独立参加招投标活动。同一法人机构的法人机构与其任何分支机构（或同一法人机构的不同分支机构）不得同时对本项目进行投标，否则其投标均无效，分支机构需提供提供分支机构有效的法人或者其他组织的营业执照等证明文件复制件；</w:t>
      </w:r>
    </w:p>
    <w:p>
      <w:pPr>
        <w:pageBreakBefore w:val="0"/>
        <w:numPr>
          <w:ilvl w:val="0"/>
          <w:numId w:val="2"/>
        </w:numPr>
        <w:kinsoku/>
        <w:overflowPunct/>
        <w:topLinePunct w:val="0"/>
        <w:bidi w:val="0"/>
        <w:spacing w:line="360" w:lineRule="auto"/>
        <w:ind w:left="425" w:leftChars="0" w:hanging="425"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具有良好的商业信誉和健全的财务会计制度；</w:t>
      </w:r>
    </w:p>
    <w:p>
      <w:pPr>
        <w:pageBreakBefore w:val="0"/>
        <w:numPr>
          <w:ilvl w:val="0"/>
          <w:numId w:val="2"/>
        </w:numPr>
        <w:kinsoku/>
        <w:overflowPunct/>
        <w:topLinePunct w:val="0"/>
        <w:bidi w:val="0"/>
        <w:spacing w:line="360" w:lineRule="auto"/>
        <w:ind w:left="425" w:leftChars="0" w:hanging="425"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有依法缴纳税收和社会保障资金的良好记录；</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投标人未被“中国执行信息公开网（https://zxgk.court.gov.cn/shixin/）列入失信被执行人、未被“信用中国”（https://www.creditchina.gov.cn）列入重大税收违法失信主体、未被“中国政府采购网”（https://www.ccgp.gov.cn）列入政府采购严重违法失信行为记录名单、未被“国家企业信用信息公示系统”（https://www.gsxt.gov.cn/index.html）列入严重违法失信名单</w:t>
      </w:r>
      <w:r>
        <w:rPr>
          <w:rFonts w:hint="eastAsia" w:ascii="宋体" w:hAnsi="宋体" w:eastAsia="宋体" w:cs="宋体"/>
          <w:color w:val="auto"/>
          <w:sz w:val="21"/>
          <w:szCs w:val="21"/>
          <w:lang w:eastAsia="zh-CN"/>
        </w:rPr>
        <w:t>；</w:t>
      </w:r>
    </w:p>
    <w:p>
      <w:pPr>
        <w:pageBreakBefore w:val="0"/>
        <w:numPr>
          <w:ilvl w:val="0"/>
          <w:numId w:val="2"/>
        </w:numPr>
        <w:kinsoku/>
        <w:overflowPunct/>
        <w:topLinePunct w:val="0"/>
        <w:bidi w:val="0"/>
        <w:spacing w:line="360" w:lineRule="auto"/>
        <w:ind w:left="425" w:leftChars="0" w:hanging="425"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单位负责人为同一人或者存在直接控股、管理关系的关联企业，不得参加同一合同项下的招标活动；</w:t>
      </w:r>
    </w:p>
    <w:p>
      <w:pPr>
        <w:pageBreakBefore w:val="0"/>
        <w:numPr>
          <w:ilvl w:val="0"/>
          <w:numId w:val="2"/>
        </w:numPr>
        <w:kinsoku/>
        <w:overflowPunct/>
        <w:topLinePunct w:val="0"/>
        <w:bidi w:val="0"/>
        <w:spacing w:line="360" w:lineRule="auto"/>
        <w:ind w:left="425" w:leftChars="0" w:hanging="425"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投标人参加招标活动前三年内（新成立不满三年的公司自成立之日起算）在经营活动中没有重大违法记录；</w:t>
      </w:r>
    </w:p>
    <w:p>
      <w:pPr>
        <w:pageBreakBefore w:val="0"/>
        <w:numPr>
          <w:ilvl w:val="0"/>
          <w:numId w:val="2"/>
        </w:numPr>
        <w:kinsoku/>
        <w:overflowPunct/>
        <w:topLinePunct w:val="0"/>
        <w:bidi w:val="0"/>
        <w:spacing w:line="360" w:lineRule="auto"/>
        <w:ind w:left="425" w:leftChars="0" w:hanging="425"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投标人须具有中国保险监督管理委员会核准颁发的《经营保险业务许可证》（业务范围须涵盖本项目保险服务）；</w:t>
      </w:r>
    </w:p>
    <w:p>
      <w:pPr>
        <w:pageBreakBefore w:val="0"/>
        <w:numPr>
          <w:ilvl w:val="0"/>
          <w:numId w:val="2"/>
        </w:numPr>
        <w:kinsoku/>
        <w:overflowPunct/>
        <w:topLinePunct w:val="0"/>
        <w:bidi w:val="0"/>
        <w:spacing w:line="360" w:lineRule="auto"/>
        <w:ind w:left="425" w:leftChars="0" w:hanging="425"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本项目不接受联合体投标；</w:t>
      </w:r>
    </w:p>
    <w:p>
      <w:pPr>
        <w:pageBreakBefore w:val="0"/>
        <w:numPr>
          <w:ilvl w:val="0"/>
          <w:numId w:val="2"/>
        </w:numPr>
        <w:kinsoku/>
        <w:overflowPunct/>
        <w:topLinePunct w:val="0"/>
        <w:bidi w:val="0"/>
        <w:spacing w:line="360" w:lineRule="auto"/>
        <w:ind w:left="425" w:leftChars="0" w:hanging="425"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本项目不允许分包。</w:t>
      </w:r>
    </w:p>
    <w:p>
      <w:pPr>
        <w:pageBreakBefore w:val="0"/>
        <w:kinsoku/>
        <w:overflowPunct/>
        <w:topLinePunct w:val="0"/>
        <w:bidi w:val="0"/>
        <w:spacing w:line="360" w:lineRule="auto"/>
        <w:ind w:firstLine="398" w:firstLineChars="200"/>
        <w:rPr>
          <w:rFonts w:hint="eastAsia" w:ascii="宋体" w:hAnsi="宋体" w:eastAsia="宋体" w:cs="宋体"/>
          <w:b/>
          <w:bCs/>
          <w:color w:val="auto"/>
          <w:spacing w:val="-6"/>
          <w:sz w:val="21"/>
          <w:szCs w:val="21"/>
          <w:highlight w:val="none"/>
        </w:rPr>
      </w:pPr>
      <w:r>
        <w:rPr>
          <w:rFonts w:hint="eastAsia" w:ascii="宋体" w:hAnsi="宋体" w:cs="宋体"/>
          <w:b/>
          <w:bCs/>
          <w:color w:val="auto"/>
          <w:spacing w:val="-6"/>
          <w:sz w:val="21"/>
          <w:szCs w:val="21"/>
          <w:highlight w:val="none"/>
          <w:lang w:val="en-US" w:eastAsia="zh-CN"/>
        </w:rPr>
        <w:t>五</w:t>
      </w:r>
      <w:r>
        <w:rPr>
          <w:rFonts w:hint="eastAsia" w:ascii="宋体" w:hAnsi="宋体" w:eastAsia="宋体" w:cs="宋体"/>
          <w:b/>
          <w:bCs/>
          <w:color w:val="auto"/>
          <w:spacing w:val="-6"/>
          <w:sz w:val="21"/>
          <w:szCs w:val="21"/>
          <w:highlight w:val="none"/>
        </w:rPr>
        <w:t>、获取（下载）招标文件/采购文件的时间期限、地点、方式等</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1.时间：</w:t>
      </w:r>
      <w:r>
        <w:rPr>
          <w:rFonts w:hint="eastAsia" w:ascii="宋体" w:hAnsi="宋体" w:eastAsia="宋体" w:cs="宋体"/>
          <w:color w:val="auto"/>
          <w:sz w:val="21"/>
          <w:szCs w:val="21"/>
          <w:highlight w:val="none"/>
          <w:lang w:eastAsia="zh-CN"/>
        </w:rPr>
        <w:t>2025年</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月</w:t>
      </w:r>
      <w:r>
        <w:rPr>
          <w:rFonts w:hint="eastAsia" w:ascii="宋体" w:hAnsi="宋体" w:cs="宋体"/>
          <w:color w:val="auto"/>
          <w:sz w:val="21"/>
          <w:szCs w:val="21"/>
          <w:highlight w:val="none"/>
          <w:lang w:val="en-US" w:eastAsia="zh-CN"/>
        </w:rPr>
        <w:t>28</w:t>
      </w:r>
      <w:r>
        <w:rPr>
          <w:rFonts w:hint="eastAsia" w:ascii="宋体" w:hAnsi="宋体" w:eastAsia="宋体" w:cs="宋体"/>
          <w:color w:val="auto"/>
          <w:sz w:val="21"/>
          <w:szCs w:val="21"/>
          <w:highlight w:val="none"/>
          <w:lang w:eastAsia="zh-CN"/>
        </w:rPr>
        <w:t>日</w:t>
      </w:r>
      <w:r>
        <w:rPr>
          <w:rFonts w:hint="eastAsia" w:ascii="宋体" w:hAnsi="宋体" w:eastAsia="宋体" w:cs="宋体"/>
          <w:color w:val="auto"/>
          <w:sz w:val="21"/>
          <w:szCs w:val="21"/>
          <w:highlight w:val="none"/>
        </w:rPr>
        <w:t>至</w:t>
      </w:r>
      <w:r>
        <w:rPr>
          <w:rFonts w:hint="eastAsia" w:ascii="宋体" w:hAnsi="宋体" w:eastAsia="宋体" w:cs="宋体"/>
          <w:color w:val="auto"/>
          <w:sz w:val="21"/>
          <w:szCs w:val="21"/>
          <w:highlight w:val="none"/>
          <w:lang w:eastAsia="zh-CN"/>
        </w:rPr>
        <w:t>2025年</w:t>
      </w: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lang w:eastAsia="zh-CN"/>
        </w:rPr>
        <w:t>月</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日</w:t>
      </w:r>
      <w:r>
        <w:rPr>
          <w:rFonts w:hint="eastAsia" w:ascii="宋体" w:hAnsi="宋体" w:eastAsia="宋体" w:cs="宋体"/>
          <w:color w:val="auto"/>
          <w:sz w:val="21"/>
          <w:szCs w:val="21"/>
          <w:highlight w:val="none"/>
        </w:rPr>
        <w:t>，每天上午</w:t>
      </w:r>
      <w:r>
        <w:rPr>
          <w:rFonts w:hint="eastAsia" w:ascii="宋体" w:hAnsi="宋体" w:eastAsia="宋体" w:cs="宋体"/>
          <w:color w:val="auto"/>
          <w:sz w:val="21"/>
          <w:szCs w:val="21"/>
          <w:highlight w:val="none"/>
          <w:lang w:val="en-US" w:eastAsia="zh-CN"/>
        </w:rPr>
        <w:t>09</w:t>
      </w:r>
      <w:r>
        <w:rPr>
          <w:rFonts w:hint="eastAsia" w:ascii="宋体" w:hAnsi="宋体" w:eastAsia="宋体" w:cs="宋体"/>
          <w:color w:val="auto"/>
          <w:sz w:val="21"/>
          <w:szCs w:val="21"/>
          <w:highlight w:val="none"/>
        </w:rPr>
        <w:t>:00至1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0，下午1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0至</w:t>
      </w: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（北京时间</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双休日及法定节假日除外）</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2.方式：</w:t>
      </w:r>
      <w:r>
        <w:rPr>
          <w:rFonts w:hint="eastAsia" w:ascii="宋体" w:hAnsi="宋体" w:eastAsia="宋体" w:cs="宋体"/>
          <w:color w:val="auto"/>
          <w:sz w:val="21"/>
          <w:szCs w:val="21"/>
          <w:highlight w:val="none"/>
          <w:lang w:eastAsia="zh-CN"/>
        </w:rPr>
        <w:t>邮箱获取（须将获取招标文件时须提交的资料扫描成PDF后发至</w:t>
      </w:r>
      <w:r>
        <w:rPr>
          <w:rFonts w:hint="eastAsia" w:ascii="宋体" w:hAnsi="宋体" w:eastAsia="宋体" w:cs="宋体"/>
          <w:color w:val="auto"/>
          <w:sz w:val="21"/>
          <w:szCs w:val="21"/>
          <w:highlight w:val="none"/>
          <w:lang w:val="en-US" w:eastAsia="zh-CN"/>
        </w:rPr>
        <w:t>1207869884</w:t>
      </w:r>
      <w:r>
        <w:rPr>
          <w:rFonts w:hint="eastAsia" w:ascii="宋体" w:hAnsi="宋体" w:eastAsia="宋体" w:cs="宋体"/>
          <w:color w:val="auto"/>
          <w:sz w:val="21"/>
          <w:szCs w:val="21"/>
          <w:highlight w:val="none"/>
          <w:lang w:eastAsia="zh-CN"/>
        </w:rPr>
        <w:t>@qq.com</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招标代理机构随即会将招标文件等相关资料以电子版的形式发送至各投标单位报名时预留邮箱。投标人在招投标期间请随时关注购买招标文件时登记的邮箱，以免错过关键信息。</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3.售价：</w:t>
      </w:r>
      <w:r>
        <w:rPr>
          <w:rFonts w:hint="eastAsia" w:ascii="宋体" w:hAnsi="宋体" w:cs="宋体"/>
          <w:color w:val="auto"/>
          <w:sz w:val="21"/>
          <w:szCs w:val="21"/>
          <w:highlight w:val="none"/>
        </w:rPr>
        <w:t>人民币0元整</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获取标书需提供的资料：</w:t>
      </w:r>
    </w:p>
    <w:p>
      <w:pPr>
        <w:keepNext w:val="0"/>
        <w:keepLines w:val="0"/>
        <w:pageBreakBefore w:val="0"/>
        <w:widowControl w:val="0"/>
        <w:numPr>
          <w:ilvl w:val="-1"/>
          <w:numId w:val="0"/>
        </w:numPr>
        <w:kinsoku/>
        <w:wordWrap w:val="0"/>
        <w:overflowPunct/>
        <w:topLinePunct w:val="0"/>
        <w:autoSpaceDE/>
        <w:autoSpaceDN/>
        <w:bidi w:val="0"/>
        <w:adjustRightInd/>
        <w:snapToGrid/>
        <w:spacing w:line="360" w:lineRule="auto"/>
        <w:ind w:firstLine="630" w:firstLineChars="3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报名单位介绍信或法定代表人（法定负责人）授权委托书</w:t>
      </w:r>
      <w:r>
        <w:rPr>
          <w:rFonts w:hint="eastAsia" w:ascii="宋体" w:hAnsi="宋体" w:cs="宋体"/>
          <w:color w:val="auto"/>
          <w:sz w:val="21"/>
          <w:szCs w:val="21"/>
          <w:highlight w:val="none"/>
          <w:lang w:val="en-US" w:eastAsia="zh-CN"/>
        </w:rPr>
        <w:t>原件扫描件并加盖答单位公章</w:t>
      </w:r>
      <w:r>
        <w:rPr>
          <w:rFonts w:hint="eastAsia" w:ascii="宋体" w:hAnsi="宋体" w:eastAsia="宋体" w:cs="宋体"/>
          <w:color w:val="auto"/>
          <w:sz w:val="21"/>
          <w:szCs w:val="21"/>
          <w:highlight w:val="none"/>
        </w:rPr>
        <w:t>；</w:t>
      </w:r>
    </w:p>
    <w:p>
      <w:pPr>
        <w:keepNext w:val="0"/>
        <w:keepLines w:val="0"/>
        <w:pageBreakBefore w:val="0"/>
        <w:widowControl w:val="0"/>
        <w:numPr>
          <w:ilvl w:val="-1"/>
          <w:numId w:val="0"/>
        </w:numPr>
        <w:kinsoku/>
        <w:wordWrap w:val="0"/>
        <w:overflowPunct/>
        <w:topLinePunct w:val="0"/>
        <w:autoSpaceDE/>
        <w:autoSpaceDN/>
        <w:bidi w:val="0"/>
        <w:adjustRightInd/>
        <w:snapToGrid/>
        <w:spacing w:line="360" w:lineRule="auto"/>
        <w:ind w:firstLine="630" w:firstLineChars="3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投标人有效的企业法人营业执照副本复印加盖</w:t>
      </w:r>
      <w:r>
        <w:rPr>
          <w:rFonts w:hint="eastAsia" w:ascii="宋体" w:hAnsi="宋体" w:cs="宋体"/>
          <w:color w:val="auto"/>
          <w:sz w:val="21"/>
          <w:szCs w:val="21"/>
          <w:highlight w:val="none"/>
          <w:lang w:val="en-US" w:eastAsia="zh-CN"/>
        </w:rPr>
        <w:t>单位</w:t>
      </w:r>
      <w:r>
        <w:rPr>
          <w:rFonts w:hint="eastAsia" w:ascii="宋体" w:hAnsi="宋体" w:eastAsia="宋体" w:cs="宋体"/>
          <w:color w:val="auto"/>
          <w:sz w:val="21"/>
          <w:szCs w:val="21"/>
          <w:highlight w:val="none"/>
        </w:rPr>
        <w:t>公章；</w:t>
      </w:r>
    </w:p>
    <w:p>
      <w:pPr>
        <w:keepNext w:val="0"/>
        <w:keepLines w:val="0"/>
        <w:pageBreakBefore w:val="0"/>
        <w:widowControl w:val="0"/>
        <w:numPr>
          <w:ilvl w:val="-1"/>
          <w:numId w:val="0"/>
        </w:numPr>
        <w:kinsoku/>
        <w:wordWrap w:val="0"/>
        <w:overflowPunct/>
        <w:topLinePunct w:val="0"/>
        <w:autoSpaceDE/>
        <w:autoSpaceDN/>
        <w:bidi w:val="0"/>
        <w:adjustRightInd/>
        <w:snapToGrid/>
        <w:spacing w:line="360" w:lineRule="auto"/>
        <w:ind w:firstLine="630" w:firstLineChars="3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投标人</w:t>
      </w:r>
      <w:r>
        <w:rPr>
          <w:rFonts w:hint="eastAsia" w:ascii="宋体" w:hAnsi="宋体" w:cs="宋体"/>
          <w:color w:val="auto"/>
          <w:sz w:val="21"/>
          <w:szCs w:val="21"/>
          <w:highlight w:val="none"/>
          <w:lang w:val="en-US" w:eastAsia="zh-CN"/>
        </w:rPr>
        <w:t>有效的</w:t>
      </w:r>
      <w:r>
        <w:rPr>
          <w:rFonts w:hint="eastAsia" w:ascii="宋体" w:hAnsi="宋体" w:eastAsia="宋体" w:cs="宋体"/>
          <w:color w:val="auto"/>
          <w:sz w:val="21"/>
          <w:szCs w:val="21"/>
          <w:highlight w:val="none"/>
        </w:rPr>
        <w:t>中国保险监督管理委员会核准颁发的《经营保险业务许可证》（业务范围须涵盖本项目保险服务）</w:t>
      </w:r>
      <w:r>
        <w:rPr>
          <w:rFonts w:hint="eastAsia" w:ascii="宋体" w:hAnsi="宋体" w:cs="宋体"/>
          <w:color w:val="auto"/>
          <w:sz w:val="21"/>
          <w:szCs w:val="21"/>
          <w:highlight w:val="none"/>
          <w:lang w:val="en-US" w:eastAsia="zh-CN"/>
        </w:rPr>
        <w:t>扫描件并加盖单位公章</w:t>
      </w:r>
      <w:r>
        <w:rPr>
          <w:rFonts w:hint="eastAsia" w:ascii="宋体" w:hAnsi="宋体" w:eastAsia="宋体" w:cs="宋体"/>
          <w:color w:val="auto"/>
          <w:sz w:val="21"/>
          <w:szCs w:val="21"/>
          <w:highlight w:val="none"/>
          <w:lang w:eastAsia="zh-CN"/>
        </w:rPr>
        <w:t>；</w:t>
      </w:r>
    </w:p>
    <w:p>
      <w:pPr>
        <w:keepNext w:val="0"/>
        <w:keepLines w:val="0"/>
        <w:pageBreakBefore w:val="0"/>
        <w:widowControl w:val="0"/>
        <w:numPr>
          <w:ilvl w:val="-1"/>
          <w:numId w:val="0"/>
        </w:numPr>
        <w:kinsoku/>
        <w:wordWrap w:val="0"/>
        <w:overflowPunct/>
        <w:topLinePunct w:val="0"/>
        <w:autoSpaceDE/>
        <w:autoSpaceDN/>
        <w:bidi w:val="0"/>
        <w:adjustRightInd/>
        <w:snapToGrid/>
        <w:spacing w:line="360" w:lineRule="auto"/>
        <w:ind w:firstLine="630" w:firstLineChars="3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cs="宋体"/>
          <w:color w:val="auto"/>
          <w:sz w:val="21"/>
          <w:szCs w:val="21"/>
          <w:highlight w:val="none"/>
        </w:rPr>
        <w:t>领取采购文件供应商表（在公告附件中下载）</w:t>
      </w:r>
      <w:r>
        <w:rPr>
          <w:rFonts w:hint="eastAsia" w:ascii="宋体" w:hAnsi="宋体" w:cs="宋体"/>
          <w:color w:val="auto"/>
          <w:sz w:val="21"/>
          <w:szCs w:val="21"/>
          <w:highlight w:val="none"/>
          <w:lang w:eastAsia="zh-CN"/>
        </w:rPr>
        <w:t>；</w:t>
      </w:r>
    </w:p>
    <w:p>
      <w:pPr>
        <w:keepNext w:val="0"/>
        <w:keepLines w:val="0"/>
        <w:pageBreakBefore w:val="0"/>
        <w:widowControl w:val="0"/>
        <w:numPr>
          <w:ilvl w:val="-1"/>
          <w:numId w:val="0"/>
        </w:numPr>
        <w:kinsoku/>
        <w:wordWrap w:val="0"/>
        <w:overflowPunct/>
        <w:topLinePunct w:val="0"/>
        <w:autoSpaceDE/>
        <w:autoSpaceDN/>
        <w:bidi w:val="0"/>
        <w:adjustRightInd/>
        <w:snapToGrid/>
        <w:spacing w:line="360" w:lineRule="auto"/>
        <w:ind w:firstLine="630" w:firstLineChars="3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投标人认为需要提供的其他资料</w:t>
      </w:r>
      <w:r>
        <w:rPr>
          <w:rFonts w:hint="eastAsia" w:ascii="宋体" w:hAnsi="宋体" w:eastAsia="宋体" w:cs="宋体"/>
          <w:color w:val="auto"/>
          <w:sz w:val="21"/>
          <w:szCs w:val="21"/>
          <w:highlight w:val="none"/>
          <w:lang w:eastAsia="zh-CN"/>
        </w:rPr>
        <w:t>。</w:t>
      </w:r>
    </w:p>
    <w:p>
      <w:pPr>
        <w:keepNext w:val="0"/>
        <w:keepLines w:val="0"/>
        <w:pageBreakBefore w:val="0"/>
        <w:widowControl w:val="0"/>
        <w:numPr>
          <w:ilvl w:val="-1"/>
          <w:numId w:val="0"/>
        </w:numPr>
        <w:kinsoku/>
        <w:wordWrap w:val="0"/>
        <w:overflowPunct/>
        <w:topLinePunct w:val="0"/>
        <w:autoSpaceDE/>
        <w:autoSpaceDN/>
        <w:bidi w:val="0"/>
        <w:adjustRightInd/>
        <w:snapToGrid/>
        <w:spacing w:line="360" w:lineRule="auto"/>
        <w:ind w:firstLine="630" w:firstLineChars="3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备注：投标人未按照公告规定的方式获取招标文件的，投标文件予以拒收。</w:t>
      </w:r>
    </w:p>
    <w:p>
      <w:pPr>
        <w:pageBreakBefore w:val="0"/>
        <w:kinsoku/>
        <w:overflowPunct/>
        <w:topLinePunct w:val="0"/>
        <w:bidi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5.注意事项：</w:t>
      </w:r>
    </w:p>
    <w:p>
      <w:pPr>
        <w:pageBreakBefore w:val="0"/>
        <w:kinsoku/>
        <w:overflowPunct/>
        <w:topLinePunct w:val="0"/>
        <w:bidi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①获取截止时间之后不再允许潜在投标人获取招标文件。</w:t>
      </w:r>
    </w:p>
    <w:p>
      <w:pPr>
        <w:pageBreakBefore w:val="0"/>
        <w:kinsoku/>
        <w:overflowPunct/>
        <w:topLinePunct w:val="0"/>
        <w:bidi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②对未按上述方式获取招标文件的投标人对该招标文件提出的质疑，招标人或招标代理机构将不予处理。</w:t>
      </w:r>
    </w:p>
    <w:p>
      <w:pPr>
        <w:pageBreakBefore w:val="0"/>
        <w:kinsoku/>
        <w:overflowPunct/>
        <w:topLinePunct w:val="0"/>
        <w:bidi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③招标人、招标代理机构将不接受未按上述方式获取招标文件的投标人进行投标活动；</w:t>
      </w:r>
    </w:p>
    <w:p>
      <w:pPr>
        <w:pageBreakBefore w:val="0"/>
        <w:kinsoku/>
        <w:overflowPunct/>
        <w:topLinePunct w:val="0"/>
        <w:bidi w:val="0"/>
        <w:spacing w:line="360" w:lineRule="auto"/>
        <w:ind w:firstLine="422" w:firstLineChars="20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④投标人在招投标期间请随时关注预留邮箱，以免错过关键信息。</w:t>
      </w:r>
    </w:p>
    <w:p>
      <w:pPr>
        <w:pageBreakBefore w:val="0"/>
        <w:kinsoku/>
        <w:overflowPunct/>
        <w:topLinePunct w:val="0"/>
        <w:bidi w:val="0"/>
        <w:spacing w:line="360" w:lineRule="auto"/>
        <w:ind w:firstLine="398" w:firstLineChars="200"/>
        <w:jc w:val="left"/>
        <w:rPr>
          <w:rFonts w:hint="eastAsia" w:ascii="宋体" w:hAnsi="宋体" w:eastAsia="宋体" w:cs="宋体"/>
          <w:color w:val="auto"/>
          <w:spacing w:val="-6"/>
          <w:sz w:val="21"/>
          <w:szCs w:val="21"/>
          <w:highlight w:val="none"/>
        </w:rPr>
      </w:pPr>
      <w:r>
        <w:rPr>
          <w:rFonts w:hint="eastAsia" w:ascii="宋体" w:hAnsi="宋体" w:eastAsia="宋体" w:cs="宋体"/>
          <w:b/>
          <w:bCs/>
          <w:color w:val="auto"/>
          <w:spacing w:val="-6"/>
          <w:sz w:val="21"/>
          <w:szCs w:val="21"/>
          <w:highlight w:val="none"/>
        </w:rPr>
        <w:t>六、投标截止时间和地点</w:t>
      </w:r>
      <w:r>
        <w:rPr>
          <w:rFonts w:hint="eastAsia" w:ascii="宋体" w:hAnsi="宋体" w:eastAsia="宋体" w:cs="宋体"/>
          <w:color w:val="auto"/>
          <w:spacing w:val="-6"/>
          <w:sz w:val="21"/>
          <w:szCs w:val="21"/>
          <w:highlight w:val="none"/>
        </w:rPr>
        <w:t>：</w:t>
      </w:r>
    </w:p>
    <w:p>
      <w:pPr>
        <w:pageBreakBefore w:val="0"/>
        <w:kinsoku/>
        <w:overflowPunct/>
        <w:topLinePunct w:val="0"/>
        <w:bidi w:val="0"/>
        <w:spacing w:line="360" w:lineRule="auto"/>
        <w:ind w:firstLine="396" w:firstLineChars="200"/>
        <w:jc w:val="left"/>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时间：</w:t>
      </w:r>
      <w:r>
        <w:rPr>
          <w:rFonts w:hint="eastAsia" w:ascii="宋体" w:hAnsi="宋体" w:eastAsia="宋体" w:cs="宋体"/>
          <w:color w:val="auto"/>
          <w:spacing w:val="-6"/>
          <w:sz w:val="21"/>
          <w:szCs w:val="21"/>
          <w:highlight w:val="none"/>
          <w:lang w:eastAsia="zh-CN"/>
        </w:rPr>
        <w:t>2025年</w:t>
      </w:r>
      <w:r>
        <w:rPr>
          <w:rFonts w:hint="eastAsia" w:ascii="宋体" w:hAnsi="宋体" w:cs="宋体"/>
          <w:color w:val="auto"/>
          <w:spacing w:val="-6"/>
          <w:sz w:val="21"/>
          <w:szCs w:val="21"/>
          <w:highlight w:val="none"/>
          <w:lang w:val="en-US" w:eastAsia="zh-CN"/>
        </w:rPr>
        <w:t>11</w:t>
      </w:r>
      <w:r>
        <w:rPr>
          <w:rFonts w:hint="eastAsia" w:ascii="宋体" w:hAnsi="宋体" w:eastAsia="宋体" w:cs="宋体"/>
          <w:color w:val="auto"/>
          <w:spacing w:val="-6"/>
          <w:sz w:val="21"/>
          <w:szCs w:val="21"/>
          <w:highlight w:val="none"/>
          <w:lang w:eastAsia="zh-CN"/>
        </w:rPr>
        <w:t>月</w:t>
      </w:r>
      <w:r>
        <w:rPr>
          <w:rFonts w:hint="eastAsia" w:ascii="宋体" w:hAnsi="宋体" w:cs="宋体"/>
          <w:color w:val="auto"/>
          <w:spacing w:val="-6"/>
          <w:sz w:val="21"/>
          <w:szCs w:val="21"/>
          <w:highlight w:val="none"/>
          <w:lang w:val="en-US" w:eastAsia="zh-CN"/>
        </w:rPr>
        <w:t>11</w:t>
      </w:r>
      <w:r>
        <w:rPr>
          <w:rFonts w:hint="eastAsia" w:ascii="宋体" w:hAnsi="宋体" w:eastAsia="宋体" w:cs="宋体"/>
          <w:color w:val="auto"/>
          <w:spacing w:val="-6"/>
          <w:sz w:val="21"/>
          <w:szCs w:val="21"/>
          <w:highlight w:val="none"/>
          <w:lang w:eastAsia="zh-CN"/>
        </w:rPr>
        <w:t>日</w:t>
      </w:r>
      <w:r>
        <w:rPr>
          <w:rFonts w:hint="eastAsia" w:ascii="宋体" w:hAnsi="宋体" w:eastAsia="宋体" w:cs="宋体"/>
          <w:color w:val="auto"/>
          <w:spacing w:val="-6"/>
          <w:sz w:val="21"/>
          <w:szCs w:val="21"/>
          <w:highlight w:val="none"/>
        </w:rPr>
        <w:t>上午09:00:00（北京时间）</w:t>
      </w:r>
    </w:p>
    <w:p>
      <w:pPr>
        <w:pageBreakBefore w:val="0"/>
        <w:kinsoku/>
        <w:overflowPunct/>
        <w:topLinePunct w:val="0"/>
        <w:bidi w:val="0"/>
        <w:spacing w:line="360" w:lineRule="auto"/>
        <w:ind w:firstLine="396" w:firstLineChars="200"/>
        <w:jc w:val="left"/>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rPr>
        <w:t>地点（网址）：浙江省台州市市府大道877号开投金融大厦</w:t>
      </w:r>
      <w:r>
        <w:rPr>
          <w:rFonts w:hint="eastAsia" w:ascii="宋体" w:hAnsi="宋体" w:cs="宋体"/>
          <w:color w:val="auto"/>
          <w:spacing w:val="-6"/>
          <w:sz w:val="21"/>
          <w:szCs w:val="21"/>
          <w:highlight w:val="none"/>
          <w:lang w:val="en-US" w:eastAsia="zh-CN"/>
        </w:rPr>
        <w:t>1</w:t>
      </w:r>
      <w:r>
        <w:rPr>
          <w:rFonts w:hint="eastAsia" w:ascii="宋体" w:hAnsi="宋体" w:eastAsia="宋体" w:cs="宋体"/>
          <w:color w:val="auto"/>
          <w:spacing w:val="-6"/>
          <w:sz w:val="21"/>
          <w:szCs w:val="21"/>
          <w:highlight w:val="none"/>
        </w:rPr>
        <w:t>幢</w:t>
      </w:r>
      <w:r>
        <w:rPr>
          <w:rFonts w:hint="eastAsia" w:ascii="宋体" w:hAnsi="宋体" w:cs="宋体"/>
          <w:color w:val="auto"/>
          <w:spacing w:val="-6"/>
          <w:sz w:val="21"/>
          <w:szCs w:val="21"/>
          <w:highlight w:val="none"/>
          <w:lang w:val="en-US" w:eastAsia="zh-CN"/>
        </w:rPr>
        <w:t>2楼会议室</w:t>
      </w:r>
    </w:p>
    <w:p>
      <w:pPr>
        <w:pageBreakBefore w:val="0"/>
        <w:kinsoku/>
        <w:overflowPunct/>
        <w:topLinePunct w:val="0"/>
        <w:bidi w:val="0"/>
        <w:spacing w:line="360" w:lineRule="auto"/>
        <w:ind w:firstLine="398" w:firstLineChars="200"/>
        <w:rPr>
          <w:rFonts w:hint="eastAsia" w:ascii="宋体" w:hAnsi="宋体" w:eastAsia="宋体" w:cs="宋体"/>
          <w:color w:val="auto"/>
          <w:spacing w:val="-6"/>
          <w:sz w:val="21"/>
          <w:szCs w:val="21"/>
          <w:highlight w:val="none"/>
        </w:rPr>
      </w:pPr>
      <w:r>
        <w:rPr>
          <w:rFonts w:hint="eastAsia" w:ascii="宋体" w:hAnsi="宋体" w:eastAsia="宋体" w:cs="宋体"/>
          <w:b/>
          <w:bCs/>
          <w:color w:val="auto"/>
          <w:spacing w:val="-6"/>
          <w:sz w:val="21"/>
          <w:szCs w:val="21"/>
          <w:highlight w:val="none"/>
        </w:rPr>
        <w:t>七、开标时间及地点</w:t>
      </w:r>
      <w:r>
        <w:rPr>
          <w:rFonts w:hint="eastAsia" w:ascii="宋体" w:hAnsi="宋体" w:eastAsia="宋体" w:cs="宋体"/>
          <w:color w:val="auto"/>
          <w:spacing w:val="-6"/>
          <w:sz w:val="21"/>
          <w:szCs w:val="21"/>
          <w:highlight w:val="none"/>
        </w:rPr>
        <w:t>：</w:t>
      </w:r>
    </w:p>
    <w:p>
      <w:pPr>
        <w:pageBreakBefore w:val="0"/>
        <w:kinsoku/>
        <w:overflowPunct/>
        <w:topLinePunct w:val="0"/>
        <w:bidi w:val="0"/>
        <w:spacing w:line="360" w:lineRule="auto"/>
        <w:ind w:firstLine="396"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时间：</w:t>
      </w:r>
      <w:r>
        <w:rPr>
          <w:rFonts w:hint="eastAsia" w:ascii="宋体" w:hAnsi="宋体" w:eastAsia="宋体" w:cs="宋体"/>
          <w:color w:val="auto"/>
          <w:spacing w:val="-6"/>
          <w:sz w:val="21"/>
          <w:szCs w:val="21"/>
          <w:highlight w:val="none"/>
          <w:lang w:eastAsia="zh-CN"/>
        </w:rPr>
        <w:t>2025年</w:t>
      </w:r>
      <w:r>
        <w:rPr>
          <w:rFonts w:hint="eastAsia" w:ascii="宋体" w:hAnsi="宋体" w:cs="宋体"/>
          <w:color w:val="auto"/>
          <w:spacing w:val="-6"/>
          <w:sz w:val="21"/>
          <w:szCs w:val="21"/>
          <w:highlight w:val="none"/>
          <w:lang w:val="en-US" w:eastAsia="zh-CN"/>
        </w:rPr>
        <w:t>11</w:t>
      </w:r>
      <w:r>
        <w:rPr>
          <w:rFonts w:hint="eastAsia" w:ascii="宋体" w:hAnsi="宋体" w:eastAsia="宋体" w:cs="宋体"/>
          <w:color w:val="auto"/>
          <w:spacing w:val="-6"/>
          <w:sz w:val="21"/>
          <w:szCs w:val="21"/>
          <w:highlight w:val="none"/>
          <w:lang w:eastAsia="zh-CN"/>
        </w:rPr>
        <w:t>月</w:t>
      </w:r>
      <w:r>
        <w:rPr>
          <w:rFonts w:hint="eastAsia" w:ascii="宋体" w:hAnsi="宋体" w:cs="宋体"/>
          <w:color w:val="auto"/>
          <w:spacing w:val="-6"/>
          <w:sz w:val="21"/>
          <w:szCs w:val="21"/>
          <w:highlight w:val="none"/>
          <w:lang w:val="en-US" w:eastAsia="zh-CN"/>
        </w:rPr>
        <w:t>11</w:t>
      </w:r>
      <w:r>
        <w:rPr>
          <w:rFonts w:hint="eastAsia" w:ascii="宋体" w:hAnsi="宋体" w:eastAsia="宋体" w:cs="宋体"/>
          <w:color w:val="auto"/>
          <w:spacing w:val="-6"/>
          <w:sz w:val="21"/>
          <w:szCs w:val="21"/>
          <w:highlight w:val="none"/>
          <w:lang w:eastAsia="zh-CN"/>
        </w:rPr>
        <w:t>日</w:t>
      </w:r>
      <w:r>
        <w:rPr>
          <w:rFonts w:hint="eastAsia" w:ascii="宋体" w:hAnsi="宋体" w:eastAsia="宋体" w:cs="宋体"/>
          <w:color w:val="auto"/>
          <w:spacing w:val="-6"/>
          <w:sz w:val="21"/>
          <w:szCs w:val="21"/>
          <w:highlight w:val="none"/>
        </w:rPr>
        <w:t>上午09:00:00（北京时间）</w:t>
      </w:r>
    </w:p>
    <w:p>
      <w:pPr>
        <w:pageBreakBefore w:val="0"/>
        <w:kinsoku/>
        <w:overflowPunct/>
        <w:topLinePunct w:val="0"/>
        <w:bidi w:val="0"/>
        <w:spacing w:line="360" w:lineRule="auto"/>
        <w:ind w:firstLine="396" w:firstLineChars="200"/>
        <w:jc w:val="left"/>
        <w:rPr>
          <w:rFonts w:hint="eastAsia" w:ascii="宋体" w:hAnsi="宋体" w:eastAsia="宋体" w:cs="宋体"/>
          <w:b/>
          <w:bCs/>
          <w:color w:val="auto"/>
          <w:spacing w:val="-6"/>
          <w:sz w:val="21"/>
          <w:szCs w:val="21"/>
          <w:highlight w:val="none"/>
          <w:lang w:val="en-US"/>
        </w:rPr>
      </w:pPr>
      <w:r>
        <w:rPr>
          <w:rFonts w:hint="eastAsia" w:ascii="宋体" w:hAnsi="宋体" w:eastAsia="宋体" w:cs="宋体"/>
          <w:color w:val="auto"/>
          <w:spacing w:val="-6"/>
          <w:sz w:val="21"/>
          <w:szCs w:val="21"/>
          <w:highlight w:val="none"/>
        </w:rPr>
        <w:t>地点（网址）：</w:t>
      </w:r>
      <w:r>
        <w:rPr>
          <w:rFonts w:hint="eastAsia" w:ascii="宋体" w:hAnsi="宋体" w:eastAsia="宋体" w:cs="宋体"/>
          <w:color w:val="auto"/>
          <w:spacing w:val="-6"/>
          <w:sz w:val="21"/>
          <w:szCs w:val="21"/>
          <w:highlight w:val="none"/>
          <w:lang w:eastAsia="zh-CN"/>
        </w:rPr>
        <w:t>浙江省台州市市府大道877号开投金融大厦</w:t>
      </w:r>
      <w:r>
        <w:rPr>
          <w:rFonts w:hint="eastAsia" w:ascii="宋体" w:hAnsi="宋体" w:cs="宋体"/>
          <w:color w:val="auto"/>
          <w:spacing w:val="-6"/>
          <w:sz w:val="21"/>
          <w:szCs w:val="21"/>
          <w:highlight w:val="none"/>
          <w:lang w:val="en-US" w:eastAsia="zh-CN"/>
        </w:rPr>
        <w:t>1</w:t>
      </w:r>
      <w:r>
        <w:rPr>
          <w:rFonts w:hint="eastAsia" w:ascii="宋体" w:hAnsi="宋体" w:eastAsia="宋体" w:cs="宋体"/>
          <w:color w:val="auto"/>
          <w:spacing w:val="-6"/>
          <w:sz w:val="21"/>
          <w:szCs w:val="21"/>
          <w:highlight w:val="none"/>
          <w:lang w:eastAsia="zh-CN"/>
        </w:rPr>
        <w:t>幢</w:t>
      </w:r>
      <w:r>
        <w:rPr>
          <w:rFonts w:hint="eastAsia" w:ascii="宋体" w:hAnsi="宋体" w:cs="宋体"/>
          <w:color w:val="auto"/>
          <w:spacing w:val="-6"/>
          <w:sz w:val="21"/>
          <w:szCs w:val="21"/>
          <w:highlight w:val="none"/>
          <w:lang w:val="en-US" w:eastAsia="zh-CN"/>
        </w:rPr>
        <w:t>2楼会议室</w:t>
      </w:r>
    </w:p>
    <w:p>
      <w:pPr>
        <w:pageBreakBefore w:val="0"/>
        <w:kinsoku/>
        <w:overflowPunct/>
        <w:topLinePunct w:val="0"/>
        <w:bidi w:val="0"/>
        <w:spacing w:line="360" w:lineRule="auto"/>
        <w:ind w:firstLine="398" w:firstLineChars="200"/>
        <w:jc w:val="left"/>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八、投标保证金：</w:t>
      </w:r>
    </w:p>
    <w:p>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投标保证金：人民币</w:t>
      </w:r>
      <w:r>
        <w:rPr>
          <w:rFonts w:hint="eastAsia" w:ascii="宋体" w:hAnsi="宋体" w:eastAsia="宋体" w:cs="宋体"/>
          <w:color w:val="auto"/>
          <w:kern w:val="0"/>
          <w:sz w:val="21"/>
          <w:szCs w:val="21"/>
          <w:highlight w:val="none"/>
          <w:lang w:val="en-US" w:eastAsia="zh-CN"/>
        </w:rPr>
        <w:t>伍仟</w:t>
      </w:r>
      <w:r>
        <w:rPr>
          <w:rFonts w:hint="eastAsia" w:ascii="宋体" w:hAnsi="宋体" w:eastAsia="宋体" w:cs="宋体"/>
          <w:color w:val="auto"/>
          <w:kern w:val="0"/>
          <w:sz w:val="21"/>
          <w:szCs w:val="21"/>
          <w:highlight w:val="none"/>
        </w:rPr>
        <w:t>元整</w:t>
      </w:r>
    </w:p>
    <w:p>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开户行：浙商银行股份有限公司台州分行集中采购保证金专用账户</w:t>
      </w:r>
      <w:r>
        <w:rPr>
          <w:rFonts w:hint="eastAsia" w:ascii="宋体" w:hAnsi="宋体" w:eastAsia="宋体" w:cs="宋体"/>
          <w:color w:val="auto"/>
          <w:kern w:val="0"/>
          <w:sz w:val="21"/>
          <w:szCs w:val="21"/>
          <w:highlight w:val="none"/>
          <w:lang w:val="en-US" w:eastAsia="zh-CN"/>
        </w:rPr>
        <w:t xml:space="preserve"> </w:t>
      </w:r>
    </w:p>
    <w:p>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账号</w:t>
      </w:r>
      <w:r>
        <w:rPr>
          <w:rFonts w:hint="eastAsia" w:ascii="宋体" w:hAnsi="宋体" w:eastAsia="宋体" w:cs="宋体"/>
          <w:color w:val="auto"/>
          <w:kern w:val="0"/>
          <w:sz w:val="21"/>
          <w:szCs w:val="21"/>
          <w:highlight w:val="none"/>
        </w:rPr>
        <w:t>：3450020010120100358862</w:t>
      </w:r>
    </w:p>
    <w:p>
      <w:pPr>
        <w:spacing w:line="360" w:lineRule="auto"/>
        <w:ind w:firstLine="420" w:firstLineChars="20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开户行： 浙商银行台州分行营业部</w:t>
      </w:r>
    </w:p>
    <w:p>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投标人应于</w:t>
      </w:r>
      <w:r>
        <w:rPr>
          <w:rFonts w:hint="eastAsia" w:ascii="宋体" w:hAnsi="宋体" w:eastAsia="宋体" w:cs="宋体"/>
          <w:color w:val="auto"/>
          <w:kern w:val="0"/>
          <w:sz w:val="21"/>
          <w:szCs w:val="21"/>
          <w:highlight w:val="none"/>
          <w:lang w:eastAsia="zh-CN"/>
        </w:rPr>
        <w:t>2025年</w:t>
      </w:r>
      <w:r>
        <w:rPr>
          <w:rFonts w:hint="eastAsia" w:ascii="宋体" w:hAnsi="宋体" w:cs="宋体"/>
          <w:color w:val="auto"/>
          <w:kern w:val="0"/>
          <w:sz w:val="21"/>
          <w:szCs w:val="21"/>
          <w:highlight w:val="none"/>
          <w:lang w:val="en-US" w:eastAsia="zh-CN"/>
        </w:rPr>
        <w:t>11</w:t>
      </w:r>
      <w:r>
        <w:rPr>
          <w:rFonts w:hint="eastAsia" w:ascii="宋体" w:hAnsi="宋体" w:eastAsia="宋体" w:cs="宋体"/>
          <w:color w:val="auto"/>
          <w:kern w:val="0"/>
          <w:sz w:val="21"/>
          <w:szCs w:val="21"/>
          <w:highlight w:val="none"/>
          <w:lang w:eastAsia="zh-CN"/>
        </w:rPr>
        <w:t>月</w:t>
      </w:r>
      <w:r>
        <w:rPr>
          <w:rFonts w:hint="eastAsia" w:ascii="宋体" w:hAnsi="宋体" w:cs="宋体"/>
          <w:color w:val="auto"/>
          <w:kern w:val="0"/>
          <w:sz w:val="21"/>
          <w:szCs w:val="21"/>
          <w:highlight w:val="none"/>
          <w:lang w:val="en-US" w:eastAsia="zh-CN"/>
        </w:rPr>
        <w:t>11</w:t>
      </w:r>
      <w:r>
        <w:rPr>
          <w:rFonts w:hint="eastAsia" w:ascii="宋体" w:hAnsi="宋体" w:eastAsia="宋体" w:cs="宋体"/>
          <w:color w:val="auto"/>
          <w:kern w:val="0"/>
          <w:sz w:val="21"/>
          <w:szCs w:val="21"/>
          <w:highlight w:val="none"/>
          <w:lang w:eastAsia="zh-CN"/>
        </w:rPr>
        <w:t>日</w:t>
      </w:r>
      <w:r>
        <w:rPr>
          <w:rFonts w:hint="eastAsia" w:ascii="宋体" w:hAnsi="宋体" w:eastAsia="宋体" w:cs="宋体"/>
          <w:color w:val="auto"/>
          <w:kern w:val="0"/>
          <w:sz w:val="21"/>
          <w:szCs w:val="21"/>
          <w:highlight w:val="none"/>
        </w:rPr>
        <w:t>09:00:00前缴纳并到账</w:t>
      </w:r>
    </w:p>
    <w:p>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备注：</w:t>
      </w:r>
      <w:r>
        <w:rPr>
          <w:rFonts w:hint="eastAsia" w:ascii="宋体" w:hAnsi="宋体" w:eastAsia="宋体" w:cs="宋体"/>
          <w:color w:val="auto"/>
          <w:kern w:val="0"/>
          <w:sz w:val="21"/>
          <w:szCs w:val="21"/>
          <w:highlight w:val="none"/>
        </w:rPr>
        <w:t>投标人缴纳投标保证金后，请携带保证金缴纳凭证（银行转账支票进账单、电汇单等，缴纳保证金用途必须注明项目名称）复印件，于投标文件递交截止时间前递交给招标人代理机构。</w:t>
      </w:r>
    </w:p>
    <w:p>
      <w:pPr>
        <w:pageBreakBefore w:val="0"/>
        <w:kinsoku/>
        <w:overflowPunct/>
        <w:topLinePunct w:val="0"/>
        <w:bidi w:val="0"/>
        <w:spacing w:line="360" w:lineRule="auto"/>
        <w:ind w:firstLine="398" w:firstLineChars="200"/>
        <w:rPr>
          <w:rFonts w:hint="eastAsia" w:ascii="宋体" w:hAnsi="宋体" w:eastAsia="宋体" w:cs="宋体"/>
          <w:b/>
          <w:color w:val="auto"/>
          <w:spacing w:val="-6"/>
          <w:sz w:val="21"/>
          <w:szCs w:val="21"/>
          <w:highlight w:val="none"/>
        </w:rPr>
      </w:pPr>
      <w:r>
        <w:rPr>
          <w:rFonts w:hint="eastAsia" w:ascii="宋体" w:hAnsi="宋体" w:eastAsia="宋体" w:cs="宋体"/>
          <w:b/>
          <w:color w:val="auto"/>
          <w:spacing w:val="-6"/>
          <w:sz w:val="21"/>
          <w:szCs w:val="21"/>
          <w:highlight w:val="none"/>
        </w:rPr>
        <w:t>九、公告发布媒介：</w:t>
      </w:r>
    </w:p>
    <w:p>
      <w:pPr>
        <w:pageBreakBefore w:val="0"/>
        <w:kinsoku/>
        <w:wordWrap w:val="0"/>
        <w:overflowPunct/>
        <w:topLinePunct w:val="0"/>
        <w:bidi w:val="0"/>
        <w:spacing w:line="360" w:lineRule="auto"/>
        <w:ind w:firstLine="396"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本次招标公告在</w:t>
      </w:r>
      <w:r>
        <w:rPr>
          <w:rFonts w:hint="eastAsia" w:ascii="宋体" w:hAnsi="宋体" w:eastAsia="宋体" w:cs="宋体"/>
          <w:color w:val="auto"/>
          <w:spacing w:val="-6"/>
          <w:kern w:val="2"/>
          <w:sz w:val="21"/>
          <w:szCs w:val="21"/>
          <w:highlight w:val="none"/>
        </w:rPr>
        <w:t>金采网（www.cfcpn.com）、</w:t>
      </w:r>
      <w:r>
        <w:rPr>
          <w:rFonts w:hint="eastAsia" w:ascii="宋体" w:hAnsi="宋体" w:eastAsia="宋体" w:cs="宋体"/>
          <w:color w:val="auto"/>
          <w:spacing w:val="-6"/>
          <w:sz w:val="21"/>
          <w:szCs w:val="21"/>
          <w:highlight w:val="none"/>
        </w:rPr>
        <w:t>浙江政府采购网（</w:t>
      </w:r>
      <w:r>
        <w:rPr>
          <w:rFonts w:hint="eastAsia" w:ascii="宋体" w:hAnsi="宋体" w:eastAsia="宋体" w:cs="宋体"/>
          <w:color w:val="auto"/>
          <w:spacing w:val="-6"/>
          <w:sz w:val="21"/>
          <w:szCs w:val="21"/>
          <w:highlight w:val="none"/>
        </w:rPr>
        <w:fldChar w:fldCharType="begin"/>
      </w:r>
      <w:r>
        <w:rPr>
          <w:rFonts w:hint="eastAsia" w:ascii="宋体" w:hAnsi="宋体" w:eastAsia="宋体" w:cs="宋体"/>
          <w:color w:val="auto"/>
          <w:spacing w:val="-6"/>
          <w:sz w:val="21"/>
          <w:szCs w:val="21"/>
          <w:highlight w:val="none"/>
        </w:rPr>
        <w:instrText xml:space="preserve"> HYPERLINK "http://www.zjzfcg.gov.cn/" </w:instrText>
      </w:r>
      <w:r>
        <w:rPr>
          <w:rFonts w:hint="eastAsia" w:ascii="宋体" w:hAnsi="宋体" w:eastAsia="宋体" w:cs="宋体"/>
          <w:color w:val="auto"/>
          <w:spacing w:val="-6"/>
          <w:sz w:val="21"/>
          <w:szCs w:val="21"/>
          <w:highlight w:val="none"/>
        </w:rPr>
        <w:fldChar w:fldCharType="separate"/>
      </w:r>
      <w:r>
        <w:rPr>
          <w:rFonts w:hint="eastAsia" w:ascii="宋体" w:hAnsi="宋体" w:eastAsia="宋体" w:cs="宋体"/>
          <w:color w:val="auto"/>
          <w:spacing w:val="-6"/>
          <w:sz w:val="21"/>
          <w:szCs w:val="21"/>
          <w:highlight w:val="none"/>
        </w:rPr>
        <w:t>http://zfcg.czt.zj.gov.cn</w:t>
      </w:r>
      <w:r>
        <w:rPr>
          <w:rFonts w:hint="eastAsia" w:ascii="宋体" w:hAnsi="宋体" w:eastAsia="宋体" w:cs="宋体"/>
          <w:color w:val="auto"/>
          <w:spacing w:val="-6"/>
          <w:sz w:val="21"/>
          <w:szCs w:val="21"/>
          <w:highlight w:val="none"/>
        </w:rPr>
        <w:fldChar w:fldCharType="end"/>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6"/>
          <w:kern w:val="2"/>
          <w:sz w:val="21"/>
          <w:szCs w:val="21"/>
          <w:highlight w:val="none"/>
        </w:rPr>
        <w:t>、</w:t>
      </w:r>
      <w:r>
        <w:rPr>
          <w:rFonts w:hint="eastAsia" w:ascii="宋体" w:hAnsi="宋体" w:eastAsia="宋体" w:cs="宋体"/>
          <w:color w:val="auto"/>
          <w:spacing w:val="-6"/>
          <w:kern w:val="2"/>
          <w:sz w:val="21"/>
          <w:szCs w:val="21"/>
          <w:highlight w:val="none"/>
          <w:lang w:eastAsia="zh-CN"/>
        </w:rPr>
        <w:t>浙商银行数智采购平台</w:t>
      </w:r>
      <w:r>
        <w:rPr>
          <w:rFonts w:hint="eastAsia" w:ascii="宋体" w:hAnsi="宋体" w:eastAsia="宋体" w:cs="宋体"/>
          <w:color w:val="auto"/>
          <w:spacing w:val="-6"/>
          <w:kern w:val="2"/>
          <w:sz w:val="21"/>
          <w:szCs w:val="21"/>
          <w:highlight w:val="none"/>
        </w:rPr>
        <w:t>（https://ccgp.szcgpt.czbank.com）</w:t>
      </w:r>
      <w:r>
        <w:rPr>
          <w:rFonts w:hint="eastAsia" w:ascii="宋体" w:hAnsi="宋体" w:eastAsia="宋体" w:cs="宋体"/>
          <w:color w:val="auto"/>
          <w:spacing w:val="-6"/>
          <w:sz w:val="21"/>
          <w:szCs w:val="21"/>
          <w:highlight w:val="none"/>
        </w:rPr>
        <w:t>发布</w:t>
      </w:r>
      <w:r>
        <w:rPr>
          <w:rFonts w:hint="eastAsia" w:ascii="宋体" w:hAnsi="宋体" w:eastAsia="宋体" w:cs="宋体"/>
          <w:color w:val="auto"/>
          <w:sz w:val="21"/>
          <w:szCs w:val="21"/>
          <w:highlight w:val="none"/>
        </w:rPr>
        <w:t>，因轻信其他组织、个人或媒体提供的信息而造成损失的，招标人、代理机构概不负责。</w:t>
      </w:r>
    </w:p>
    <w:p>
      <w:pPr>
        <w:pageBreakBefore w:val="0"/>
        <w:kinsoku/>
        <w:overflowPunct/>
        <w:topLinePunct w:val="0"/>
        <w:bidi w:val="0"/>
        <w:spacing w:line="360" w:lineRule="auto"/>
        <w:ind w:firstLine="398" w:firstLineChars="200"/>
        <w:rPr>
          <w:rFonts w:hint="eastAsia" w:ascii="宋体" w:hAnsi="宋体" w:eastAsia="宋体" w:cs="宋体"/>
          <w:b/>
          <w:color w:val="auto"/>
          <w:spacing w:val="-6"/>
          <w:sz w:val="21"/>
          <w:szCs w:val="21"/>
          <w:highlight w:val="none"/>
        </w:rPr>
      </w:pPr>
      <w:r>
        <w:rPr>
          <w:rFonts w:hint="eastAsia" w:ascii="宋体" w:hAnsi="宋体" w:eastAsia="宋体" w:cs="宋体"/>
          <w:b/>
          <w:color w:val="auto"/>
          <w:spacing w:val="-6"/>
          <w:sz w:val="21"/>
          <w:szCs w:val="21"/>
          <w:highlight w:val="none"/>
        </w:rPr>
        <w:t>十、业务咨询：</w:t>
      </w:r>
    </w:p>
    <w:p>
      <w:pPr>
        <w:pageBreakBefore w:val="0"/>
        <w:widowControl/>
        <w:kinsoku/>
        <w:overflowPunct/>
        <w:topLinePunct w:val="0"/>
        <w:bidi w:val="0"/>
        <w:spacing w:line="360" w:lineRule="auto"/>
        <w:ind w:firstLine="396" w:firstLineChars="200"/>
        <w:jc w:val="left"/>
        <w:rPr>
          <w:rFonts w:hint="eastAsia" w:ascii="宋体" w:hAnsi="宋体" w:eastAsia="宋体" w:cs="宋体"/>
          <w:color w:val="auto"/>
          <w:spacing w:val="-6"/>
          <w:kern w:val="0"/>
          <w:sz w:val="21"/>
          <w:szCs w:val="21"/>
          <w:highlight w:val="none"/>
          <w:lang w:eastAsia="zh-CN"/>
        </w:rPr>
      </w:pPr>
      <w:r>
        <w:rPr>
          <w:rFonts w:hint="eastAsia" w:ascii="宋体" w:hAnsi="宋体" w:eastAsia="宋体" w:cs="宋体"/>
          <w:color w:val="auto"/>
          <w:spacing w:val="-6"/>
          <w:kern w:val="0"/>
          <w:sz w:val="21"/>
          <w:szCs w:val="21"/>
          <w:highlight w:val="none"/>
        </w:rPr>
        <w:t>1.招标人名称：</w:t>
      </w:r>
      <w:r>
        <w:rPr>
          <w:rFonts w:hint="eastAsia" w:ascii="宋体" w:hAnsi="宋体" w:eastAsia="宋体" w:cs="宋体"/>
          <w:color w:val="auto"/>
          <w:spacing w:val="-6"/>
          <w:kern w:val="0"/>
          <w:sz w:val="21"/>
          <w:szCs w:val="21"/>
          <w:highlight w:val="none"/>
          <w:lang w:eastAsia="zh-CN"/>
        </w:rPr>
        <w:t>浙商银行股份有限公司台州分行</w:t>
      </w:r>
    </w:p>
    <w:p>
      <w:pPr>
        <w:pageBreakBefore w:val="0"/>
        <w:widowControl/>
        <w:kinsoku/>
        <w:overflowPunct/>
        <w:topLinePunct w:val="0"/>
        <w:bidi w:val="0"/>
        <w:spacing w:line="360" w:lineRule="auto"/>
        <w:ind w:firstLine="396" w:firstLineChars="200"/>
        <w:jc w:val="left"/>
        <w:rPr>
          <w:rFonts w:hint="default" w:ascii="宋体" w:hAnsi="宋体" w:eastAsia="宋体" w:cs="宋体"/>
          <w:color w:val="auto"/>
          <w:spacing w:val="-6"/>
          <w:kern w:val="0"/>
          <w:sz w:val="21"/>
          <w:szCs w:val="21"/>
          <w:highlight w:val="none"/>
          <w:lang w:val="en-US" w:eastAsia="zh-CN"/>
        </w:rPr>
      </w:pPr>
      <w:r>
        <w:rPr>
          <w:rFonts w:hint="eastAsia" w:ascii="宋体" w:hAnsi="宋体" w:eastAsia="宋体" w:cs="宋体"/>
          <w:color w:val="auto"/>
          <w:spacing w:val="-6"/>
          <w:kern w:val="0"/>
          <w:sz w:val="21"/>
          <w:szCs w:val="21"/>
          <w:highlight w:val="none"/>
        </w:rPr>
        <w:t>地址：</w:t>
      </w:r>
      <w:r>
        <w:rPr>
          <w:rFonts w:hint="eastAsia" w:ascii="宋体" w:hAnsi="宋体" w:eastAsia="宋体" w:cs="宋体"/>
          <w:color w:val="auto"/>
          <w:spacing w:val="-6"/>
          <w:kern w:val="0"/>
          <w:sz w:val="21"/>
          <w:szCs w:val="21"/>
          <w:highlight w:val="none"/>
          <w:lang w:eastAsia="zh-CN" w:bidi="ar"/>
        </w:rPr>
        <w:t>浙江省台州市市府大道</w:t>
      </w:r>
      <w:r>
        <w:rPr>
          <w:rFonts w:hint="eastAsia" w:ascii="宋体" w:hAnsi="宋体" w:eastAsia="宋体" w:cs="宋体"/>
          <w:color w:val="auto"/>
          <w:spacing w:val="-6"/>
          <w:kern w:val="0"/>
          <w:sz w:val="21"/>
          <w:szCs w:val="21"/>
          <w:highlight w:val="none"/>
          <w:lang w:val="en-US" w:eastAsia="zh-CN" w:bidi="ar"/>
        </w:rPr>
        <w:t>877号开投金融大厦</w:t>
      </w:r>
      <w:r>
        <w:rPr>
          <w:rFonts w:hint="eastAsia" w:ascii="宋体" w:hAnsi="宋体" w:cs="宋体"/>
          <w:color w:val="auto"/>
          <w:spacing w:val="-6"/>
          <w:kern w:val="0"/>
          <w:sz w:val="21"/>
          <w:szCs w:val="21"/>
          <w:highlight w:val="none"/>
          <w:lang w:val="en-US" w:eastAsia="zh-CN" w:bidi="ar"/>
        </w:rPr>
        <w:t>1</w:t>
      </w:r>
      <w:r>
        <w:rPr>
          <w:rFonts w:hint="eastAsia" w:ascii="宋体" w:hAnsi="宋体" w:eastAsia="宋体" w:cs="宋体"/>
          <w:color w:val="auto"/>
          <w:spacing w:val="-6"/>
          <w:kern w:val="0"/>
          <w:sz w:val="21"/>
          <w:szCs w:val="21"/>
          <w:highlight w:val="none"/>
          <w:lang w:val="en-US" w:eastAsia="zh-CN" w:bidi="ar"/>
        </w:rPr>
        <w:t>幢</w:t>
      </w:r>
      <w:r>
        <w:rPr>
          <w:rFonts w:hint="eastAsia" w:ascii="宋体" w:hAnsi="宋体" w:cs="宋体"/>
          <w:color w:val="auto"/>
          <w:spacing w:val="-6"/>
          <w:kern w:val="0"/>
          <w:sz w:val="21"/>
          <w:szCs w:val="21"/>
          <w:highlight w:val="none"/>
          <w:lang w:val="en-US" w:eastAsia="zh-CN" w:bidi="ar"/>
        </w:rPr>
        <w:t>18楼</w:t>
      </w:r>
    </w:p>
    <w:p>
      <w:pPr>
        <w:widowControl/>
        <w:spacing w:line="360" w:lineRule="auto"/>
        <w:ind w:firstLine="396" w:firstLineChars="200"/>
        <w:jc w:val="left"/>
        <w:rPr>
          <w:rFonts w:hint="eastAsia" w:ascii="宋体" w:hAnsi="宋体" w:eastAsia="宋体" w:cs="宋体"/>
          <w:color w:val="auto"/>
          <w:spacing w:val="-6"/>
          <w:kern w:val="0"/>
          <w:sz w:val="21"/>
          <w:szCs w:val="21"/>
          <w:highlight w:val="none"/>
          <w:lang w:val="en-US" w:eastAsia="zh-CN"/>
        </w:rPr>
      </w:pPr>
      <w:r>
        <w:rPr>
          <w:rFonts w:hint="eastAsia" w:ascii="宋体" w:hAnsi="宋体" w:eastAsia="宋体" w:cs="宋体"/>
          <w:color w:val="auto"/>
          <w:spacing w:val="-6"/>
          <w:kern w:val="0"/>
          <w:sz w:val="21"/>
          <w:szCs w:val="21"/>
          <w:highlight w:val="none"/>
        </w:rPr>
        <w:t>联系人：</w:t>
      </w:r>
      <w:r>
        <w:rPr>
          <w:rFonts w:hint="eastAsia" w:ascii="宋体" w:hAnsi="宋体" w:eastAsia="宋体" w:cs="宋体"/>
          <w:color w:val="auto"/>
          <w:spacing w:val="-6"/>
          <w:kern w:val="0"/>
          <w:sz w:val="21"/>
          <w:szCs w:val="21"/>
          <w:highlight w:val="none"/>
          <w:lang w:val="en-US" w:eastAsia="zh-CN"/>
        </w:rPr>
        <w:t>朱先生</w:t>
      </w:r>
    </w:p>
    <w:p>
      <w:pPr>
        <w:widowControl/>
        <w:spacing w:line="360" w:lineRule="auto"/>
        <w:ind w:firstLine="396" w:firstLineChars="200"/>
        <w:jc w:val="left"/>
        <w:rPr>
          <w:rFonts w:hint="eastAsia" w:ascii="宋体" w:hAnsi="宋体" w:eastAsia="宋体" w:cs="宋体"/>
          <w:color w:val="auto"/>
          <w:spacing w:val="-6"/>
          <w:kern w:val="0"/>
          <w:sz w:val="21"/>
          <w:szCs w:val="21"/>
          <w:highlight w:val="none"/>
          <w:lang w:val="en-US" w:eastAsia="zh-CN"/>
        </w:rPr>
      </w:pPr>
      <w:r>
        <w:rPr>
          <w:rFonts w:hint="eastAsia" w:ascii="宋体" w:hAnsi="宋体" w:eastAsia="宋体" w:cs="宋体"/>
          <w:color w:val="auto"/>
          <w:spacing w:val="-6"/>
          <w:kern w:val="0"/>
          <w:sz w:val="21"/>
          <w:szCs w:val="21"/>
          <w:highlight w:val="none"/>
        </w:rPr>
        <w:t>联系方法：057</w:t>
      </w:r>
      <w:r>
        <w:rPr>
          <w:rFonts w:hint="eastAsia" w:ascii="宋体" w:hAnsi="宋体" w:eastAsia="宋体" w:cs="宋体"/>
          <w:color w:val="auto"/>
          <w:spacing w:val="-6"/>
          <w:kern w:val="0"/>
          <w:sz w:val="21"/>
          <w:szCs w:val="21"/>
          <w:highlight w:val="none"/>
          <w:lang w:val="en-US" w:eastAsia="zh-CN"/>
        </w:rPr>
        <w:t>6-81880971</w:t>
      </w:r>
    </w:p>
    <w:p>
      <w:pPr>
        <w:pageBreakBefore w:val="0"/>
        <w:widowControl/>
        <w:kinsoku/>
        <w:overflowPunct/>
        <w:topLinePunct w:val="0"/>
        <w:bidi w:val="0"/>
        <w:spacing w:line="360" w:lineRule="auto"/>
        <w:ind w:firstLine="396" w:firstLineChars="200"/>
        <w:jc w:val="left"/>
        <w:rPr>
          <w:rFonts w:hint="eastAsia" w:ascii="宋体" w:hAnsi="宋体" w:eastAsia="宋体" w:cs="宋体"/>
          <w:color w:val="auto"/>
          <w:spacing w:val="-6"/>
          <w:kern w:val="0"/>
          <w:sz w:val="21"/>
          <w:szCs w:val="21"/>
          <w:highlight w:val="none"/>
          <w:lang w:eastAsia="zh-CN"/>
        </w:rPr>
      </w:pPr>
      <w:r>
        <w:rPr>
          <w:rFonts w:hint="eastAsia" w:ascii="宋体" w:hAnsi="宋体" w:eastAsia="宋体" w:cs="宋体"/>
          <w:color w:val="auto"/>
          <w:spacing w:val="-6"/>
          <w:kern w:val="0"/>
          <w:sz w:val="21"/>
          <w:szCs w:val="21"/>
          <w:highlight w:val="none"/>
        </w:rPr>
        <w:t>2.代理机构名称：</w:t>
      </w:r>
      <w:r>
        <w:rPr>
          <w:rFonts w:hint="eastAsia" w:ascii="宋体" w:hAnsi="宋体" w:eastAsia="宋体" w:cs="宋体"/>
          <w:color w:val="auto"/>
          <w:spacing w:val="-6"/>
          <w:kern w:val="0"/>
          <w:sz w:val="21"/>
          <w:szCs w:val="21"/>
          <w:highlight w:val="none"/>
          <w:lang w:eastAsia="zh-CN"/>
        </w:rPr>
        <w:t>浙江华夏工程管理有限公司</w:t>
      </w:r>
    </w:p>
    <w:p>
      <w:pPr>
        <w:pageBreakBefore w:val="0"/>
        <w:widowControl/>
        <w:kinsoku/>
        <w:overflowPunct/>
        <w:topLinePunct w:val="0"/>
        <w:bidi w:val="0"/>
        <w:spacing w:line="360" w:lineRule="auto"/>
        <w:ind w:firstLine="396" w:firstLineChars="200"/>
        <w:jc w:val="left"/>
        <w:rPr>
          <w:rFonts w:hint="eastAsia" w:ascii="宋体" w:hAnsi="宋体" w:eastAsia="宋体" w:cs="宋体"/>
          <w:color w:val="auto"/>
          <w:spacing w:val="-6"/>
          <w:kern w:val="0"/>
          <w:sz w:val="21"/>
          <w:szCs w:val="21"/>
          <w:highlight w:val="none"/>
          <w:lang w:eastAsia="zh-CN"/>
        </w:rPr>
      </w:pPr>
      <w:r>
        <w:rPr>
          <w:rFonts w:hint="eastAsia" w:ascii="宋体" w:hAnsi="宋体" w:eastAsia="宋体" w:cs="宋体"/>
          <w:color w:val="auto"/>
          <w:spacing w:val="-6"/>
          <w:kern w:val="0"/>
          <w:sz w:val="21"/>
          <w:szCs w:val="21"/>
          <w:highlight w:val="none"/>
        </w:rPr>
        <w:t>地址：杭州市西湖区振华路298号西港发展中心西3幢B单元13楼</w:t>
      </w:r>
    </w:p>
    <w:p>
      <w:pPr>
        <w:pageBreakBefore w:val="0"/>
        <w:widowControl/>
        <w:kinsoku/>
        <w:overflowPunct/>
        <w:topLinePunct w:val="0"/>
        <w:bidi w:val="0"/>
        <w:spacing w:line="360" w:lineRule="auto"/>
        <w:ind w:firstLine="396" w:firstLineChars="200"/>
        <w:jc w:val="left"/>
        <w:rPr>
          <w:rFonts w:hint="eastAsia" w:ascii="宋体" w:hAnsi="宋体" w:eastAsia="宋体" w:cs="宋体"/>
          <w:color w:val="auto"/>
          <w:spacing w:val="-6"/>
          <w:kern w:val="0"/>
          <w:sz w:val="21"/>
          <w:szCs w:val="21"/>
          <w:highlight w:val="none"/>
          <w:lang w:eastAsia="zh-CN"/>
        </w:rPr>
      </w:pPr>
      <w:r>
        <w:rPr>
          <w:rFonts w:hint="eastAsia" w:ascii="宋体" w:hAnsi="宋体" w:eastAsia="宋体" w:cs="宋体"/>
          <w:color w:val="auto"/>
          <w:spacing w:val="-6"/>
          <w:kern w:val="0"/>
          <w:sz w:val="21"/>
          <w:szCs w:val="21"/>
          <w:highlight w:val="none"/>
        </w:rPr>
        <w:t>业务联系人：</w:t>
      </w:r>
      <w:r>
        <w:rPr>
          <w:rFonts w:hint="eastAsia" w:ascii="宋体" w:hAnsi="宋体" w:eastAsia="宋体" w:cs="宋体"/>
          <w:color w:val="auto"/>
          <w:spacing w:val="-6"/>
          <w:kern w:val="0"/>
          <w:sz w:val="21"/>
          <w:szCs w:val="21"/>
          <w:highlight w:val="none"/>
          <w:lang w:val="en-US" w:eastAsia="zh-CN"/>
        </w:rPr>
        <w:t>邵璐、江俏俏</w:t>
      </w:r>
    </w:p>
    <w:p>
      <w:pPr>
        <w:pageBreakBefore w:val="0"/>
        <w:widowControl/>
        <w:kinsoku/>
        <w:overflowPunct/>
        <w:topLinePunct w:val="0"/>
        <w:bidi w:val="0"/>
        <w:spacing w:line="360" w:lineRule="auto"/>
        <w:ind w:firstLine="396" w:firstLineChars="200"/>
        <w:jc w:val="left"/>
        <w:rPr>
          <w:rFonts w:hint="eastAsia" w:ascii="宋体" w:hAnsi="宋体" w:eastAsia="宋体" w:cs="宋体"/>
          <w:color w:val="auto"/>
          <w:spacing w:val="-6"/>
          <w:kern w:val="0"/>
          <w:sz w:val="21"/>
          <w:szCs w:val="21"/>
          <w:highlight w:val="none"/>
          <w:lang w:eastAsia="zh-CN"/>
        </w:rPr>
      </w:pPr>
      <w:r>
        <w:rPr>
          <w:rFonts w:hint="eastAsia" w:ascii="宋体" w:hAnsi="宋体" w:eastAsia="宋体" w:cs="宋体"/>
          <w:color w:val="auto"/>
          <w:spacing w:val="-6"/>
          <w:kern w:val="0"/>
          <w:sz w:val="21"/>
          <w:szCs w:val="21"/>
          <w:highlight w:val="none"/>
        </w:rPr>
        <w:t>联系电话：</w:t>
      </w:r>
      <w:r>
        <w:rPr>
          <w:rFonts w:hint="eastAsia" w:ascii="宋体" w:hAnsi="宋体" w:eastAsia="宋体" w:cs="宋体"/>
          <w:color w:val="auto"/>
          <w:spacing w:val="-6"/>
          <w:kern w:val="0"/>
          <w:sz w:val="21"/>
          <w:szCs w:val="21"/>
          <w:highlight w:val="none"/>
          <w:lang w:eastAsia="zh-CN"/>
        </w:rPr>
        <w:t xml:space="preserve">15215879512、13075742820 </w:t>
      </w:r>
    </w:p>
    <w:p>
      <w:pPr>
        <w:pageBreakBefore w:val="0"/>
        <w:widowControl/>
        <w:kinsoku/>
        <w:overflowPunct/>
        <w:topLinePunct w:val="0"/>
        <w:bidi w:val="0"/>
        <w:spacing w:line="360" w:lineRule="auto"/>
        <w:ind w:firstLine="396" w:firstLineChars="200"/>
        <w:jc w:val="left"/>
        <w:rPr>
          <w:rFonts w:hint="eastAsia" w:ascii="宋体" w:hAnsi="宋体" w:eastAsia="宋体" w:cs="宋体"/>
          <w:color w:val="auto"/>
          <w:spacing w:val="-6"/>
          <w:kern w:val="0"/>
          <w:sz w:val="21"/>
          <w:szCs w:val="21"/>
          <w:highlight w:val="none"/>
          <w:lang w:val="en-US" w:eastAsia="zh-CN"/>
        </w:rPr>
      </w:pPr>
      <w:r>
        <w:rPr>
          <w:rFonts w:hint="eastAsia" w:ascii="宋体" w:hAnsi="宋体" w:eastAsia="宋体" w:cs="宋体"/>
          <w:color w:val="auto"/>
          <w:spacing w:val="-6"/>
          <w:kern w:val="0"/>
          <w:sz w:val="21"/>
          <w:szCs w:val="21"/>
          <w:highlight w:val="none"/>
          <w:lang w:bidi="ar"/>
        </w:rPr>
        <w:t>电子邮箱：</w:t>
      </w:r>
      <w:r>
        <w:rPr>
          <w:rFonts w:hint="eastAsia" w:ascii="宋体" w:hAnsi="宋体" w:eastAsia="宋体" w:cs="宋体"/>
          <w:color w:val="auto"/>
          <w:spacing w:val="-6"/>
          <w:kern w:val="0"/>
          <w:sz w:val="21"/>
          <w:szCs w:val="21"/>
          <w:highlight w:val="none"/>
          <w:lang w:val="en-US" w:eastAsia="zh-CN" w:bidi="ar"/>
        </w:rPr>
        <w:t>1207869884@qq.com</w:t>
      </w:r>
      <w:r>
        <w:rPr>
          <w:rFonts w:hint="eastAsia" w:ascii="宋体" w:hAnsi="宋体" w:eastAsia="宋体" w:cs="宋体"/>
          <w:color w:val="auto"/>
          <w:spacing w:val="-6"/>
          <w:kern w:val="0"/>
          <w:sz w:val="21"/>
          <w:szCs w:val="21"/>
          <w:highlight w:val="none"/>
          <w:lang w:bidi="ar"/>
        </w:rPr>
        <w:t xml:space="preserve"> </w:t>
      </w:r>
    </w:p>
    <w:p>
      <w:pPr>
        <w:pageBreakBefore w:val="0"/>
        <w:widowControl/>
        <w:kinsoku/>
        <w:overflowPunct/>
        <w:topLinePunct w:val="0"/>
        <w:bidi w:val="0"/>
        <w:spacing w:line="360" w:lineRule="auto"/>
        <w:ind w:firstLine="396" w:firstLineChars="200"/>
        <w:jc w:val="left"/>
        <w:rPr>
          <w:rFonts w:hint="eastAsia" w:ascii="宋体" w:hAnsi="宋体" w:eastAsia="宋体" w:cs="宋体"/>
          <w:color w:val="auto"/>
          <w:spacing w:val="-6"/>
          <w:kern w:val="0"/>
          <w:sz w:val="21"/>
          <w:szCs w:val="21"/>
          <w:highlight w:val="none"/>
          <w:lang w:val="en-US"/>
        </w:rPr>
      </w:pPr>
      <w:r>
        <w:rPr>
          <w:rFonts w:hint="eastAsia" w:ascii="宋体" w:hAnsi="宋体" w:eastAsia="宋体" w:cs="宋体"/>
          <w:color w:val="auto"/>
          <w:spacing w:val="-6"/>
          <w:kern w:val="0"/>
          <w:sz w:val="21"/>
          <w:szCs w:val="21"/>
          <w:highlight w:val="none"/>
        </w:rPr>
        <w:t>招标代理机构异议联系人：</w:t>
      </w:r>
      <w:r>
        <w:rPr>
          <w:rFonts w:hint="eastAsia" w:ascii="宋体" w:hAnsi="宋体" w:eastAsia="宋体" w:cs="宋体"/>
          <w:color w:val="auto"/>
          <w:spacing w:val="-6"/>
          <w:kern w:val="0"/>
          <w:sz w:val="21"/>
          <w:szCs w:val="21"/>
          <w:highlight w:val="none"/>
          <w:lang w:val="en-US" w:eastAsia="zh-CN"/>
        </w:rPr>
        <w:t xml:space="preserve">赵烨淇 </w:t>
      </w:r>
    </w:p>
    <w:p>
      <w:pPr>
        <w:pageBreakBefore w:val="0"/>
        <w:widowControl/>
        <w:kinsoku/>
        <w:overflowPunct/>
        <w:topLinePunct w:val="0"/>
        <w:bidi w:val="0"/>
        <w:spacing w:line="360" w:lineRule="auto"/>
        <w:ind w:firstLine="396" w:firstLineChars="200"/>
        <w:jc w:val="left"/>
        <w:rPr>
          <w:rFonts w:hint="eastAsia" w:ascii="宋体" w:hAnsi="宋体" w:eastAsia="宋体" w:cs="宋体"/>
          <w:color w:val="auto"/>
          <w:spacing w:val="-6"/>
          <w:kern w:val="0"/>
          <w:sz w:val="21"/>
          <w:szCs w:val="21"/>
          <w:highlight w:val="none"/>
        </w:rPr>
      </w:pPr>
      <w:r>
        <w:rPr>
          <w:rFonts w:hint="eastAsia" w:ascii="宋体" w:hAnsi="宋体" w:eastAsia="宋体" w:cs="宋体"/>
          <w:color w:val="auto"/>
          <w:spacing w:val="-6"/>
          <w:kern w:val="0"/>
          <w:sz w:val="21"/>
          <w:szCs w:val="21"/>
          <w:highlight w:val="none"/>
        </w:rPr>
        <w:t>联系电话：13958078490</w:t>
      </w:r>
    </w:p>
    <w:p>
      <w:pPr>
        <w:pageBreakBefore w:val="0"/>
        <w:kinsoku/>
        <w:overflowPunct/>
        <w:topLinePunct w:val="0"/>
        <w:bidi w:val="0"/>
        <w:spacing w:line="360" w:lineRule="auto"/>
        <w:jc w:val="center"/>
        <w:rPr>
          <w:rFonts w:hint="eastAsia" w:ascii="宋体" w:hAnsi="宋体" w:eastAsia="宋体" w:cs="宋体"/>
          <w:b/>
          <w:color w:val="auto"/>
          <w:sz w:val="32"/>
          <w:szCs w:val="32"/>
          <w:highlight w:val="none"/>
        </w:rPr>
      </w:pPr>
    </w:p>
    <w:p>
      <w:pPr>
        <w:pageBreakBefore w:val="0"/>
        <w:kinsoku/>
        <w:overflowPunct/>
        <w:topLinePunct w:val="0"/>
        <w:bidi w:val="0"/>
        <w:spacing w:line="360" w:lineRule="auto"/>
        <w:jc w:val="center"/>
        <w:rPr>
          <w:rFonts w:hint="eastAsia" w:ascii="宋体" w:hAnsi="宋体" w:eastAsia="宋体" w:cs="宋体"/>
          <w:b/>
          <w:color w:val="auto"/>
          <w:sz w:val="32"/>
          <w:szCs w:val="32"/>
          <w:highlight w:val="none"/>
        </w:rPr>
      </w:pPr>
    </w:p>
    <w:p>
      <w:pPr>
        <w:pageBreakBefore w:val="0"/>
        <w:kinsoku/>
        <w:overflowPunct/>
        <w:topLinePunct w:val="0"/>
        <w:bidi w:val="0"/>
        <w:spacing w:line="360" w:lineRule="auto"/>
        <w:jc w:val="center"/>
        <w:rPr>
          <w:rFonts w:hint="eastAsia" w:ascii="宋体" w:hAnsi="宋体" w:eastAsia="宋体" w:cs="宋体"/>
          <w:b/>
          <w:color w:val="auto"/>
          <w:sz w:val="32"/>
          <w:szCs w:val="32"/>
          <w:highlight w:val="none"/>
        </w:rPr>
      </w:pPr>
    </w:p>
    <w:p>
      <w:pPr>
        <w:pageBreakBefore w:val="0"/>
        <w:kinsoku/>
        <w:overflowPunct/>
        <w:topLinePunct w:val="0"/>
        <w:bidi w:val="0"/>
        <w:spacing w:line="360" w:lineRule="auto"/>
        <w:jc w:val="center"/>
        <w:rPr>
          <w:rFonts w:hint="eastAsia" w:ascii="宋体" w:hAnsi="宋体" w:eastAsia="宋体" w:cs="宋体"/>
          <w:b/>
          <w:color w:val="auto"/>
          <w:sz w:val="32"/>
          <w:szCs w:val="32"/>
          <w:highlight w:val="none"/>
        </w:rPr>
      </w:pPr>
    </w:p>
    <w:p>
      <w:pPr>
        <w:pageBreakBefore w:val="0"/>
        <w:kinsoku/>
        <w:overflowPunct/>
        <w:topLinePunct w:val="0"/>
        <w:bidi w:val="0"/>
        <w:spacing w:line="360" w:lineRule="auto"/>
        <w:jc w:val="center"/>
        <w:rPr>
          <w:rFonts w:hint="eastAsia" w:ascii="宋体" w:hAnsi="宋体" w:eastAsia="宋体" w:cs="宋体"/>
          <w:b/>
          <w:color w:val="auto"/>
          <w:sz w:val="32"/>
          <w:szCs w:val="32"/>
          <w:highlight w:val="none"/>
        </w:rPr>
      </w:pPr>
    </w:p>
    <w:p>
      <w:pPr>
        <w:pageBreakBefore w:val="0"/>
        <w:kinsoku/>
        <w:overflowPunct/>
        <w:topLinePunct w:val="0"/>
        <w:bidi w:val="0"/>
        <w:spacing w:line="240" w:lineRule="auto"/>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color w:val="auto"/>
          <w:sz w:val="32"/>
          <w:szCs w:val="32"/>
          <w:highlight w:val="none"/>
        </w:rPr>
        <w:t>第</w:t>
      </w:r>
      <w:r>
        <w:rPr>
          <w:rFonts w:hint="eastAsia" w:ascii="宋体" w:hAnsi="宋体" w:eastAsia="宋体" w:cs="宋体"/>
          <w:b/>
          <w:color w:val="auto"/>
          <w:sz w:val="32"/>
          <w:szCs w:val="32"/>
          <w:highlight w:val="none"/>
          <w:lang w:eastAsia="zh-CN"/>
        </w:rPr>
        <w:t>二</w:t>
      </w:r>
      <w:r>
        <w:rPr>
          <w:rFonts w:hint="eastAsia" w:ascii="宋体" w:hAnsi="宋体" w:eastAsia="宋体" w:cs="宋体"/>
          <w:b/>
          <w:color w:val="auto"/>
          <w:sz w:val="32"/>
          <w:szCs w:val="32"/>
          <w:highlight w:val="none"/>
        </w:rPr>
        <w:t>章 投标人须知</w:t>
      </w:r>
    </w:p>
    <w:p>
      <w:pPr>
        <w:pageBreakBefore w:val="0"/>
        <w:kinsoku/>
        <w:overflowPunct/>
        <w:topLinePunct w:val="0"/>
        <w:bidi w:val="0"/>
        <w:spacing w:line="360" w:lineRule="auto"/>
        <w:ind w:left="238"/>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投标人须知前附表</w:t>
      </w:r>
    </w:p>
    <w:tbl>
      <w:tblPr>
        <w:tblStyle w:val="21"/>
        <w:tblW w:w="9640" w:type="dxa"/>
        <w:tblInd w:w="-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4"/>
        <w:gridCol w:w="89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14"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892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14"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p>
        </w:tc>
        <w:tc>
          <w:tcPr>
            <w:tcW w:w="892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招标人：</w:t>
            </w:r>
            <w:r>
              <w:rPr>
                <w:rFonts w:hint="eastAsia" w:ascii="宋体" w:hAnsi="宋体" w:eastAsia="宋体" w:cs="宋体"/>
                <w:color w:val="auto"/>
                <w:sz w:val="21"/>
                <w:szCs w:val="21"/>
                <w:highlight w:val="none"/>
                <w:lang w:eastAsia="zh-CN"/>
              </w:rPr>
              <w:t>浙商银行股份有限公司</w:t>
            </w:r>
            <w:r>
              <w:rPr>
                <w:rFonts w:hint="eastAsia" w:ascii="宋体" w:hAnsi="宋体" w:eastAsia="宋体" w:cs="宋体"/>
                <w:color w:val="auto"/>
                <w:sz w:val="21"/>
                <w:szCs w:val="21"/>
                <w:highlight w:val="none"/>
                <w:lang w:val="en-US" w:eastAsia="zh-CN"/>
              </w:rPr>
              <w:t>台州</w:t>
            </w:r>
            <w:r>
              <w:rPr>
                <w:rFonts w:hint="eastAsia" w:ascii="宋体" w:hAnsi="宋体" w:eastAsia="宋体" w:cs="宋体"/>
                <w:color w:val="auto"/>
                <w:sz w:val="21"/>
                <w:szCs w:val="21"/>
                <w:highlight w:val="none"/>
                <w:lang w:eastAsia="zh-CN"/>
              </w:rPr>
              <w:t>分行</w:t>
            </w:r>
          </w:p>
          <w:p>
            <w:pPr>
              <w:pageBreakBefore w:val="0"/>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rPr>
              <w:t>浙商银行台州分行公司客户贷款抵押物（房屋建筑物）财产保险服务项目采购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14"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p>
        </w:tc>
        <w:tc>
          <w:tcPr>
            <w:tcW w:w="892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投标费用</w:t>
            </w:r>
          </w:p>
          <w:p>
            <w:pPr>
              <w:pageBreakBefore w:val="0"/>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1.不论投标结果如何，投标人均应自行承担所有与投标有关的全部费用；</w:t>
            </w:r>
          </w:p>
          <w:p>
            <w:pPr>
              <w:pageBreakBefore w:val="0"/>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2.本项目</w:t>
            </w:r>
            <w:r>
              <w:rPr>
                <w:rFonts w:hint="eastAsia" w:ascii="宋体" w:hAnsi="宋体" w:eastAsia="宋体" w:cs="宋体"/>
                <w:color w:val="auto"/>
                <w:sz w:val="21"/>
                <w:szCs w:val="21"/>
                <w:highlight w:val="none"/>
                <w:lang w:val="en-US" w:eastAsia="zh-CN"/>
              </w:rPr>
              <w:t>入围供应商</w:t>
            </w:r>
            <w:r>
              <w:rPr>
                <w:rFonts w:hint="eastAsia" w:ascii="宋体" w:hAnsi="宋体" w:eastAsia="宋体" w:cs="宋体"/>
                <w:color w:val="auto"/>
                <w:sz w:val="21"/>
                <w:szCs w:val="21"/>
                <w:highlight w:val="none"/>
              </w:rPr>
              <w:t>无需向代理机构交纳代理服务费。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714"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892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资格审查要求的资格证明材料(均需加盖公章)</w:t>
            </w:r>
          </w:p>
          <w:p>
            <w:pPr>
              <w:pageBreakBefore w:val="0"/>
              <w:kinsoku/>
              <w:overflowPunct/>
              <w:topLinePunct w:val="0"/>
              <w:bidi w:val="0"/>
              <w:spacing w:line="360" w:lineRule="auto"/>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在中华人民共和国境内登记（或注册），具有独立承担民事责任的能力。金融、保险、通讯等特定行业的全国性企业所设立的区域性分支机构，如果已经依法办理了工商、税务和社保登记手续，并且获得总公司（总机构）授权或能够提供房产权证或其他有效财产证明材料，证明其具备实际承担责任的能力和法定的缔结合同能力，允许其独立参加招投标活动。同一法人机构的法人机构与其任何分支机构（或同一法人机构的不同分支机构）不得同时对本项目进行投标，否则其投标均无效，分支机构需提供提供分支机构有效的法人或者其他组织的营业执照等证明文件复制件；</w:t>
            </w:r>
          </w:p>
          <w:p>
            <w:pPr>
              <w:pageBreakBefore w:val="0"/>
              <w:kinsoku/>
              <w:overflowPunct/>
              <w:topLinePunct w:val="0"/>
              <w:bidi w:val="0"/>
              <w:spacing w:line="360" w:lineRule="auto"/>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（2）具有良好的商业信誉和健全的财务会计制度；</w:t>
            </w:r>
          </w:p>
          <w:p>
            <w:pPr>
              <w:pageBreakBefore w:val="0"/>
              <w:kinsoku/>
              <w:overflowPunct/>
              <w:topLinePunct w:val="0"/>
              <w:bidi w:val="0"/>
              <w:spacing w:line="360" w:lineRule="auto"/>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（3）有依法缴纳税收和社会保障资金的良好记录；</w:t>
            </w:r>
          </w:p>
          <w:p>
            <w:pPr>
              <w:pageBreakBefore w:val="0"/>
              <w:kinsoku/>
              <w:overflowPunct/>
              <w:topLinePunct w:val="0"/>
              <w:bidi w:val="0"/>
              <w:spacing w:line="360" w:lineRule="auto"/>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人未被“中国执行信息公开网”（https://zxgk.court.gov.cn/shixin/）列入失信被执行人、未被“信用中国”（https://www.creditchina.gov.cn）列入重大税收违法失信主体、未被“中国政府采购网”（https://www.ccgp.gov.cn）列入政府采购严重违法失信行为记录名单、未被“国家企业信用信息公示系统”（https://www.gsxt.gov.cn/index.html）列入严重违法失信名单</w:t>
            </w:r>
            <w:r>
              <w:rPr>
                <w:rFonts w:hint="eastAsia" w:ascii="宋体" w:hAnsi="宋体" w:eastAsia="宋体" w:cs="宋体"/>
                <w:color w:val="auto"/>
                <w:sz w:val="21"/>
                <w:szCs w:val="21"/>
                <w:highlight w:val="none"/>
                <w:lang w:eastAsia="zh-CN"/>
              </w:rPr>
              <w:t>；</w:t>
            </w:r>
          </w:p>
          <w:p>
            <w:pPr>
              <w:pageBreakBefore w:val="0"/>
              <w:kinsoku/>
              <w:overflowPunct/>
              <w:topLinePunct w:val="0"/>
              <w:bidi w:val="0"/>
              <w:spacing w:line="360" w:lineRule="auto"/>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（5）单位负责人为同一人或者存在直接控股、管理关系的关联企业，不得参加同一合同项下的招标活动；</w:t>
            </w:r>
          </w:p>
          <w:p>
            <w:pPr>
              <w:pageBreakBefore w:val="0"/>
              <w:kinsoku/>
              <w:overflowPunct/>
              <w:topLinePunct w:val="0"/>
              <w:bidi w:val="0"/>
              <w:spacing w:line="360" w:lineRule="auto"/>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（6）投标人参加招标活动前三年内（新成立不满三年的公司自成立之日起算）在经营活动中没有重大违法记录；</w:t>
            </w:r>
          </w:p>
          <w:p>
            <w:pPr>
              <w:pageBreakBefore w:val="0"/>
              <w:kinsoku/>
              <w:overflowPunct/>
              <w:topLinePunct w:val="0"/>
              <w:bidi w:val="0"/>
              <w:spacing w:line="360" w:lineRule="auto"/>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（7）投标人须具有中国保险监督管理委员会核准颁发的《经营保险业务许可证》（业务范围须涵盖本项目保险服务）；</w:t>
            </w:r>
          </w:p>
          <w:p>
            <w:pPr>
              <w:pageBreakBefore w:val="0"/>
              <w:kinsoku/>
              <w:overflowPunct/>
              <w:topLinePunct w:val="0"/>
              <w:bidi w:val="0"/>
              <w:spacing w:line="360" w:lineRule="auto"/>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（8）本项目不接受联合体投标；</w:t>
            </w:r>
          </w:p>
          <w:p>
            <w:pPr>
              <w:pageBreakBefore w:val="0"/>
              <w:kinsoku/>
              <w:overflowPunct/>
              <w:topLinePunct w:val="0"/>
              <w:bidi w:val="0"/>
              <w:spacing w:line="360" w:lineRule="auto"/>
              <w:ind w:firstLine="0" w:firstLineChars="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eastAsia="zh-CN"/>
              </w:rPr>
              <w:t>（9）本项目不允许分包。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4"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w:t>
            </w:r>
          </w:p>
        </w:tc>
        <w:tc>
          <w:tcPr>
            <w:tcW w:w="892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纸质投标文件：</w:t>
            </w:r>
          </w:p>
          <w:p>
            <w:pPr>
              <w:pageBreakBefore w:val="0"/>
              <w:kinsoku/>
              <w:overflowPunct/>
              <w:topLinePunct w:val="0"/>
              <w:bidi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（1）份数：正本壹份，副本肆份，电子文件壹份；</w:t>
            </w:r>
          </w:p>
          <w:p>
            <w:pPr>
              <w:pageBreakBefore w:val="0"/>
              <w:kinsoku/>
              <w:overflowPunct/>
              <w:topLinePunct w:val="0"/>
              <w:bidi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（2）装订要求：采用胶装。</w:t>
            </w:r>
          </w:p>
          <w:p>
            <w:pPr>
              <w:pageBreakBefore w:val="0"/>
              <w:kinsoku/>
              <w:overflowPunct/>
              <w:topLinePunct w:val="0"/>
              <w:bidi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（3）密封要求：投标文件（含电子投标文件）应密封，并在外包装上加盖投标人单位公章。</w:t>
            </w:r>
          </w:p>
          <w:p>
            <w:pPr>
              <w:pageBreakBefore w:val="0"/>
              <w:kinsoku/>
              <w:overflowPunct/>
              <w:topLinePunct w:val="0"/>
              <w:bidi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并注明：招标人名称、（项目名称）项目投标文件、招标项目编号、投标单位名称。封套请载明: “报价文件”、“资格文件”、“商务技术文件”等对应内容。</w:t>
            </w:r>
          </w:p>
          <w:p>
            <w:pPr>
              <w:pageBreakBefore w:val="0"/>
              <w:kinsoku/>
              <w:overflowPunct/>
              <w:topLinePunct w:val="0"/>
              <w:bidi w:val="0"/>
              <w:spacing w:line="360" w:lineRule="auto"/>
              <w:rPr>
                <w:rFonts w:hint="eastAsia" w:ascii="宋体" w:hAnsi="宋体" w:eastAsia="宋体" w:cs="宋体"/>
                <w:b/>
                <w:bCs/>
                <w:color w:val="auto"/>
                <w:sz w:val="21"/>
                <w:szCs w:val="21"/>
                <w:highlight w:val="none"/>
                <w:lang w:val="en-US" w:eastAsia="zh-CN"/>
              </w:rPr>
            </w:pPr>
            <w:r>
              <w:rPr>
                <w:rFonts w:hint="eastAsia" w:ascii="宋体" w:hAnsi="宋体" w:cs="宋体"/>
                <w:color w:val="auto"/>
                <w:sz w:val="21"/>
                <w:szCs w:val="21"/>
                <w:highlight w:val="none"/>
              </w:rPr>
              <w:t>（4）“报价文件”、“资格文件”、“商务技术文件”应分别装订成册，分别密封。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714"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w:t>
            </w:r>
          </w:p>
        </w:tc>
        <w:tc>
          <w:tcPr>
            <w:tcW w:w="892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60" w:lineRule="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资格文件、商务技术文件、报价文件、电子投标文件须分别装订，纸质采用胶装（粘贴方式装订），不得采用活页夹等可随时拆换的方式装订。</w:t>
            </w:r>
          </w:p>
          <w:p>
            <w:pPr>
              <w:pageBreakBefore w:val="0"/>
              <w:kinsoku/>
              <w:overflowPunct/>
              <w:topLinePunct w:val="0"/>
              <w:bidi w:val="0"/>
              <w:spacing w:line="360" w:lineRule="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具体要求如下：</w:t>
            </w:r>
          </w:p>
          <w:p>
            <w:pPr>
              <w:pageBreakBefore w:val="0"/>
              <w:kinsoku/>
              <w:overflowPunct/>
              <w:topLinePunct w:val="0"/>
              <w:bidi w:val="0"/>
              <w:spacing w:line="360" w:lineRule="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（1）纸质投标文件，递交的具体要求如下：</w:t>
            </w:r>
          </w:p>
          <w:p>
            <w:pPr>
              <w:pageBreakBefore w:val="0"/>
              <w:kinsoku/>
              <w:overflowPunct/>
              <w:topLinePunct w:val="0"/>
              <w:bidi w:val="0"/>
              <w:spacing w:line="360" w:lineRule="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①制作：A4幅面、双面或单面打印、卡纸作封面、胶装、加盖投标人公章；</w:t>
            </w:r>
          </w:p>
          <w:p>
            <w:pPr>
              <w:pageBreakBefore w:val="0"/>
              <w:kinsoku/>
              <w:overflowPunct/>
              <w:topLinePunct w:val="0"/>
              <w:bidi w:val="0"/>
              <w:spacing w:line="360" w:lineRule="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②份数：正本壹份，副本肆份，电子文件壹份；</w:t>
            </w:r>
          </w:p>
          <w:p>
            <w:pPr>
              <w:pageBreakBefore w:val="0"/>
              <w:kinsoku/>
              <w:overflowPunct/>
              <w:topLinePunct w:val="0"/>
              <w:bidi w:val="0"/>
              <w:spacing w:line="360" w:lineRule="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③封装：单独封装在密封袋中，在密封袋上注明投标项目名称、“××文件”、投标单位名称并加盖投标人公章；</w:t>
            </w:r>
          </w:p>
          <w:p>
            <w:pPr>
              <w:pageBreakBefore w:val="0"/>
              <w:kinsoku/>
              <w:overflowPunct/>
              <w:topLinePunct w:val="0"/>
              <w:bidi w:val="0"/>
              <w:spacing w:line="360" w:lineRule="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（2）电子投标文件，递交的具体要求如下：</w:t>
            </w:r>
          </w:p>
          <w:p>
            <w:pPr>
              <w:pageBreakBefore w:val="0"/>
              <w:kinsoku/>
              <w:overflowPunct/>
              <w:topLinePunct w:val="0"/>
              <w:bidi w:val="0"/>
              <w:spacing w:line="360" w:lineRule="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①制作：制作要求同投标文件；电子文档需为签字且加盖公章后的投标文件完成版彩色扫描件及可编辑的word文档；</w:t>
            </w:r>
          </w:p>
          <w:p>
            <w:pPr>
              <w:pageBreakBefore w:val="0"/>
              <w:kinsoku/>
              <w:overflowPunct/>
              <w:topLinePunct w:val="0"/>
              <w:bidi w:val="0"/>
              <w:spacing w:line="360" w:lineRule="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②存储介质：U盘；</w:t>
            </w:r>
          </w:p>
          <w:p>
            <w:pPr>
              <w:pageBreakBefore w:val="0"/>
              <w:kinsoku/>
              <w:overflowPunct/>
              <w:topLinePunct w:val="0"/>
              <w:bidi w:val="0"/>
              <w:spacing w:line="360" w:lineRule="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③电子投标文件组成：资格文件及商务技术文件、报价文件；</w:t>
            </w:r>
          </w:p>
          <w:p>
            <w:pPr>
              <w:pageBreakBefore w:val="0"/>
              <w:kinsoku/>
              <w:overflowPunct/>
              <w:topLinePunct w:val="0"/>
              <w:bidi w:val="0"/>
              <w:spacing w:line="360" w:lineRule="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④封装：单独封装在密封袋中，在密封袋上注明投标项目名称、“××文件”、投标单位名称并加盖投标人公章；</w:t>
            </w:r>
          </w:p>
          <w:p>
            <w:pPr>
              <w:pageBreakBefore w:val="0"/>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cs="宋体"/>
                <w:b w:val="0"/>
                <w:bCs w:val="0"/>
                <w:color w:val="auto"/>
                <w:sz w:val="21"/>
                <w:szCs w:val="21"/>
                <w:highlight w:val="none"/>
              </w:rPr>
              <w:t>注：投标人仅递交投标文件或仅递交电子投标文件的，投标无效。当纸质投标文件与电子投标文件不一致时，除招标文件特别约定外，以纸质投标文件为准。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14"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6</w:t>
            </w:r>
          </w:p>
        </w:tc>
        <w:tc>
          <w:tcPr>
            <w:tcW w:w="892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1.本次投标采用人民币报价；</w:t>
            </w:r>
          </w:p>
          <w:p>
            <w:pPr>
              <w:pageBreakBefore w:val="0"/>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2.投标报价是指一次性报出不得更改的价格，投标报价应按招标文件中相关附表格式填写；</w:t>
            </w:r>
          </w:p>
          <w:p>
            <w:pPr>
              <w:pageBreakBefore w:val="0"/>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3.投标文件只允许有一个报价，有选择的报价将不予接受；</w:t>
            </w:r>
          </w:p>
          <w:p>
            <w:pPr>
              <w:pStyle w:val="4"/>
              <w:pageBreakBefore w:val="0"/>
              <w:kinsoku/>
              <w:overflowPunct/>
              <w:topLinePunct w:val="0"/>
              <w:bidi w:val="0"/>
              <w:spacing w:before="0" w:after="0" w:line="360" w:lineRule="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4.投标文件开标一览表是报价的唯一载体。</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14"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w:t>
            </w:r>
          </w:p>
        </w:tc>
        <w:tc>
          <w:tcPr>
            <w:tcW w:w="892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投标有效期：从提交投标文件的截止之日起90天。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14"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w:t>
            </w:r>
          </w:p>
        </w:tc>
        <w:tc>
          <w:tcPr>
            <w:tcW w:w="892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评标办法及评分标准：详见第四章《评标办法及评分标准》。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14"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9</w:t>
            </w:r>
          </w:p>
        </w:tc>
        <w:tc>
          <w:tcPr>
            <w:tcW w:w="892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评标结果公示：评标结果公示于金采网（www.cfcpn.com）、浙江政府采购网（http://zfcg.czt.zj.gov.cn）</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浙商银行数智采购平台</w:t>
            </w:r>
            <w:r>
              <w:rPr>
                <w:rFonts w:hint="eastAsia" w:ascii="宋体" w:hAnsi="宋体" w:eastAsia="宋体" w:cs="宋体"/>
                <w:color w:val="auto"/>
                <w:sz w:val="21"/>
                <w:szCs w:val="21"/>
                <w:highlight w:val="none"/>
              </w:rPr>
              <w:t>（https://ccgp.szcgpt.czbank.com）网站。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14"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10</w:t>
            </w:r>
          </w:p>
        </w:tc>
        <w:tc>
          <w:tcPr>
            <w:tcW w:w="892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签订合同：</w:t>
            </w:r>
            <w:r>
              <w:rPr>
                <w:rFonts w:hint="eastAsia" w:ascii="宋体" w:hAnsi="宋体" w:eastAsia="宋体" w:cs="宋体"/>
                <w:color w:val="auto"/>
                <w:sz w:val="21"/>
                <w:szCs w:val="21"/>
                <w:highlight w:val="none"/>
                <w:lang w:eastAsia="zh-CN"/>
              </w:rPr>
              <w:t>入围</w:t>
            </w:r>
            <w:r>
              <w:rPr>
                <w:rFonts w:hint="eastAsia" w:ascii="宋体" w:hAnsi="宋体" w:eastAsia="宋体" w:cs="宋体"/>
                <w:color w:val="auto"/>
                <w:sz w:val="21"/>
                <w:szCs w:val="21"/>
                <w:highlight w:val="none"/>
              </w:rPr>
              <w:t>通知书发出之日起30日内。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14"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60" w:lineRule="auto"/>
              <w:jc w:val="center"/>
              <w:rPr>
                <w:rFonts w:hint="eastAsia" w:ascii="宋体" w:hAnsi="宋体" w:eastAsia="宋体" w:cs="宋体"/>
                <w:b/>
                <w:bCs/>
                <w:color w:val="FF0000"/>
                <w:sz w:val="21"/>
                <w:szCs w:val="21"/>
                <w:highlight w:val="none"/>
              </w:rPr>
            </w:pPr>
            <w:r>
              <w:rPr>
                <w:rFonts w:hint="eastAsia" w:ascii="宋体" w:hAnsi="宋体" w:eastAsia="宋体" w:cs="宋体"/>
                <w:b/>
                <w:bCs/>
                <w:color w:val="auto"/>
                <w:sz w:val="21"/>
                <w:szCs w:val="21"/>
                <w:highlight w:val="none"/>
              </w:rPr>
              <w:t>11</w:t>
            </w:r>
          </w:p>
        </w:tc>
        <w:tc>
          <w:tcPr>
            <w:tcW w:w="8926"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投标保证金在投标截止时间前缴入以下指定账户：</w:t>
            </w:r>
          </w:p>
          <w:p>
            <w:pPr>
              <w:pageBreakBefore w:val="0"/>
              <w:kinsoku/>
              <w:wordWrap/>
              <w:overflowPunct/>
              <w:topLinePunct w:val="0"/>
              <w:bidi w:val="0"/>
              <w:spacing w:line="360" w:lineRule="auto"/>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投标保证金：人民币</w:t>
            </w:r>
            <w:r>
              <w:rPr>
                <w:rFonts w:hint="eastAsia" w:ascii="宋体" w:hAnsi="宋体" w:eastAsia="宋体" w:cs="宋体"/>
                <w:color w:val="auto"/>
                <w:sz w:val="21"/>
                <w:szCs w:val="21"/>
                <w:highlight w:val="none"/>
                <w:shd w:val="clear" w:color="auto" w:fill="auto"/>
                <w:lang w:val="en-US" w:eastAsia="zh-CN"/>
              </w:rPr>
              <w:t>伍仟</w:t>
            </w:r>
            <w:r>
              <w:rPr>
                <w:rFonts w:hint="eastAsia" w:ascii="宋体" w:hAnsi="宋体" w:eastAsia="宋体" w:cs="宋体"/>
                <w:color w:val="auto"/>
                <w:sz w:val="21"/>
                <w:szCs w:val="21"/>
                <w:highlight w:val="none"/>
                <w:shd w:val="clear" w:color="auto" w:fill="auto"/>
              </w:rPr>
              <w:t>元整</w:t>
            </w:r>
          </w:p>
          <w:p>
            <w:pPr>
              <w:pageBreakBefore w:val="0"/>
              <w:kinsoku/>
              <w:wordWrap/>
              <w:overflowPunct/>
              <w:topLinePunct w:val="0"/>
              <w:bidi w:val="0"/>
              <w:spacing w:line="360" w:lineRule="auto"/>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开户行：浙商银行股份有限公司</w:t>
            </w:r>
            <w:r>
              <w:rPr>
                <w:rFonts w:hint="eastAsia" w:ascii="宋体" w:hAnsi="宋体" w:cs="宋体"/>
                <w:color w:val="auto"/>
                <w:sz w:val="21"/>
                <w:szCs w:val="21"/>
                <w:highlight w:val="none"/>
                <w:shd w:val="clear" w:color="auto" w:fill="auto"/>
                <w:lang w:eastAsia="zh-CN"/>
              </w:rPr>
              <w:t>台州分行营业部</w:t>
            </w:r>
            <w:r>
              <w:rPr>
                <w:rFonts w:hint="eastAsia" w:ascii="宋体" w:hAnsi="宋体" w:eastAsia="宋体" w:cs="宋体"/>
                <w:color w:val="auto"/>
                <w:sz w:val="21"/>
                <w:szCs w:val="21"/>
                <w:highlight w:val="none"/>
                <w:shd w:val="clear" w:color="auto" w:fill="auto"/>
              </w:rPr>
              <w:t xml:space="preserve"> </w:t>
            </w:r>
          </w:p>
          <w:p>
            <w:pPr>
              <w:pageBreakBefore w:val="0"/>
              <w:kinsoku/>
              <w:wordWrap/>
              <w:overflowPunct/>
              <w:topLinePunct w:val="0"/>
              <w:bidi w:val="0"/>
              <w:spacing w:line="360" w:lineRule="auto"/>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行号：316345000027</w:t>
            </w:r>
          </w:p>
          <w:p>
            <w:pPr>
              <w:pageBreakBefore w:val="0"/>
              <w:kinsoku/>
              <w:wordWrap/>
              <w:overflowPunct/>
              <w:topLinePunct w:val="0"/>
              <w:bidi w:val="0"/>
              <w:spacing w:line="360" w:lineRule="auto"/>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投标人应于</w:t>
            </w:r>
            <w:r>
              <w:rPr>
                <w:rFonts w:hint="eastAsia" w:ascii="宋体" w:hAnsi="宋体" w:eastAsia="宋体" w:cs="宋体"/>
                <w:color w:val="auto"/>
                <w:sz w:val="21"/>
                <w:szCs w:val="21"/>
                <w:highlight w:val="none"/>
                <w:shd w:val="clear" w:color="auto" w:fill="auto"/>
                <w:lang w:eastAsia="zh-CN"/>
              </w:rPr>
              <w:t>2025年</w:t>
            </w:r>
            <w:r>
              <w:rPr>
                <w:rFonts w:hint="eastAsia" w:ascii="宋体" w:hAnsi="宋体" w:cs="宋体"/>
                <w:color w:val="auto"/>
                <w:sz w:val="21"/>
                <w:szCs w:val="21"/>
                <w:highlight w:val="none"/>
                <w:shd w:val="clear" w:color="auto" w:fill="auto"/>
                <w:lang w:val="en-US" w:eastAsia="zh-CN"/>
              </w:rPr>
              <w:t>11</w:t>
            </w:r>
            <w:r>
              <w:rPr>
                <w:rFonts w:hint="eastAsia" w:ascii="宋体" w:hAnsi="宋体" w:eastAsia="宋体" w:cs="宋体"/>
                <w:color w:val="auto"/>
                <w:sz w:val="21"/>
                <w:szCs w:val="21"/>
                <w:highlight w:val="none"/>
                <w:shd w:val="clear" w:color="auto" w:fill="auto"/>
                <w:lang w:eastAsia="zh-CN"/>
              </w:rPr>
              <w:t>月</w:t>
            </w:r>
            <w:r>
              <w:rPr>
                <w:rFonts w:hint="eastAsia" w:ascii="宋体" w:hAnsi="宋体" w:cs="宋体"/>
                <w:color w:val="auto"/>
                <w:sz w:val="21"/>
                <w:szCs w:val="21"/>
                <w:highlight w:val="none"/>
                <w:shd w:val="clear" w:color="auto" w:fill="auto"/>
                <w:lang w:val="en-US" w:eastAsia="zh-CN"/>
              </w:rPr>
              <w:t>11</w:t>
            </w:r>
            <w:r>
              <w:rPr>
                <w:rFonts w:hint="eastAsia" w:ascii="宋体" w:hAnsi="宋体" w:eastAsia="宋体" w:cs="宋体"/>
                <w:color w:val="auto"/>
                <w:sz w:val="21"/>
                <w:szCs w:val="21"/>
                <w:highlight w:val="none"/>
                <w:shd w:val="clear" w:color="auto" w:fill="auto"/>
                <w:lang w:eastAsia="zh-CN"/>
              </w:rPr>
              <w:t>日</w:t>
            </w:r>
            <w:r>
              <w:rPr>
                <w:rFonts w:hint="eastAsia" w:ascii="宋体" w:hAnsi="宋体" w:eastAsia="宋体" w:cs="宋体"/>
                <w:color w:val="auto"/>
                <w:sz w:val="21"/>
                <w:szCs w:val="21"/>
                <w:highlight w:val="none"/>
                <w:shd w:val="clear" w:color="auto" w:fill="auto"/>
              </w:rPr>
              <w:t>09:00:00前缴纳并到账</w:t>
            </w:r>
          </w:p>
          <w:p>
            <w:pPr>
              <w:pageBreakBefore w:val="0"/>
              <w:kinsoku/>
              <w:wordWrap/>
              <w:overflowPunct/>
              <w:topLinePunct w:val="0"/>
              <w:bidi w:val="0"/>
              <w:spacing w:line="360" w:lineRule="auto"/>
              <w:ind w:firstLine="0" w:firstLineChars="0"/>
              <w:rPr>
                <w:rFonts w:hint="eastAsia" w:ascii="宋体" w:hAnsi="宋体" w:eastAsia="宋体" w:cs="宋体"/>
                <w:color w:val="FF0000"/>
                <w:sz w:val="21"/>
                <w:szCs w:val="21"/>
                <w:highlight w:val="none"/>
                <w:lang w:eastAsia="zh-CN"/>
              </w:rPr>
            </w:pPr>
            <w:r>
              <w:rPr>
                <w:rFonts w:hint="eastAsia" w:ascii="宋体" w:hAnsi="宋体" w:eastAsia="宋体" w:cs="宋体"/>
                <w:color w:val="auto"/>
                <w:kern w:val="0"/>
                <w:sz w:val="21"/>
                <w:szCs w:val="21"/>
                <w:highlight w:val="none"/>
                <w:lang w:val="en-US" w:eastAsia="zh-CN"/>
              </w:rPr>
              <w:t>备注：</w:t>
            </w:r>
            <w:r>
              <w:rPr>
                <w:rFonts w:hint="eastAsia" w:ascii="宋体" w:hAnsi="宋体" w:eastAsia="宋体" w:cs="宋体"/>
                <w:color w:val="auto"/>
                <w:kern w:val="0"/>
                <w:sz w:val="21"/>
                <w:szCs w:val="21"/>
                <w:highlight w:val="none"/>
              </w:rPr>
              <w:t>投标人缴纳投标保证金后，请携带保证金缴纳凭证（银行转账支票进账单、电汇单等，缴纳保证金用途必须注明项目名称）复印件，于投标文件递交截止时间前递交给招标人代理机构。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14"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w:t>
            </w:r>
          </w:p>
        </w:tc>
        <w:tc>
          <w:tcPr>
            <w:tcW w:w="892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开标程序：</w:t>
            </w:r>
          </w:p>
          <w:p>
            <w:pPr>
              <w:pageBreakBefore w:val="0"/>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代理机构按照招标文件规定的时间、地点和程序组织开标，具体按以下程序进行：</w:t>
            </w:r>
          </w:p>
          <w:p>
            <w:pPr>
              <w:pageBreakBefore w:val="0"/>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1.至开标时间，招标人（代理）宣布开始开标。</w:t>
            </w:r>
          </w:p>
          <w:p>
            <w:pPr>
              <w:pageBreakBefore w:val="0"/>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2.检查投标文件的密封情况，由投标人代表或者其推选的代表检查。</w:t>
            </w:r>
          </w:p>
          <w:p>
            <w:pPr>
              <w:pageBreakBefore w:val="0"/>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3.招标人代表按照招标文件要求对投标人的“报价文件”、“资格文件”、“商务技术文件”进行拆封,并宣读投标文件份数；公布投标单位、投标报价及其他内容。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14"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13</w:t>
            </w:r>
          </w:p>
        </w:tc>
        <w:tc>
          <w:tcPr>
            <w:tcW w:w="892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评审澄清回复：</w:t>
            </w:r>
          </w:p>
          <w:p>
            <w:pPr>
              <w:pageBreakBefore w:val="0"/>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澄清回复时间不得超过发出通知后30分钟，投标人逾期或未按要求澄清回复的，将视为不予回复或确认，评标委员会有权否决其投标。投标人通讯不畅通，导致不能及时联系的，视作为投标人不予回复或确认。</w:t>
            </w:r>
          </w:p>
        </w:tc>
      </w:tr>
    </w:tbl>
    <w:p>
      <w:pPr>
        <w:pStyle w:val="9"/>
        <w:rPr>
          <w:rFonts w:hint="eastAsia"/>
        </w:rPr>
        <w:sectPr>
          <w:pgSz w:w="11906" w:h="16838"/>
          <w:pgMar w:top="1440" w:right="1800" w:bottom="1440" w:left="1800" w:header="851" w:footer="992" w:gutter="0"/>
          <w:cols w:space="425" w:num="1"/>
          <w:docGrid w:type="lines" w:linePitch="312" w:charSpace="0"/>
        </w:sectPr>
      </w:pPr>
    </w:p>
    <w:p>
      <w:pPr>
        <w:pStyle w:val="11"/>
        <w:pageBreakBefore w:val="0"/>
        <w:kinsoku/>
        <w:overflowPunct/>
        <w:topLinePunct w:val="0"/>
        <w:bidi w:val="0"/>
        <w:spacing w:beforeLines="0" w:afterLines="0" w:line="360" w:lineRule="auto"/>
        <w:outlineLvl w:val="1"/>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一、总  则</w:t>
      </w:r>
    </w:p>
    <w:p>
      <w:pPr>
        <w:pageBreakBefore w:val="0"/>
        <w:kinsoku/>
        <w:overflowPunct/>
        <w:topLinePunct w:val="0"/>
        <w:bidi w:val="0"/>
        <w:spacing w:line="360" w:lineRule="auto"/>
        <w:jc w:val="left"/>
        <w:outlineLvl w:val="1"/>
        <w:rPr>
          <w:rFonts w:hint="eastAsia" w:ascii="宋体" w:hAnsi="宋体" w:eastAsia="宋体" w:cs="宋体"/>
          <w:b/>
          <w:color w:val="auto"/>
          <w:spacing w:val="-6"/>
          <w:sz w:val="21"/>
          <w:szCs w:val="21"/>
          <w:highlight w:val="none"/>
        </w:rPr>
      </w:pPr>
      <w:r>
        <w:rPr>
          <w:rFonts w:hint="eastAsia" w:ascii="宋体" w:hAnsi="宋体" w:eastAsia="宋体" w:cs="宋体"/>
          <w:b/>
          <w:color w:val="auto"/>
          <w:spacing w:val="-6"/>
          <w:sz w:val="21"/>
          <w:szCs w:val="21"/>
          <w:highlight w:val="none"/>
        </w:rPr>
        <w:t>（一）适用范围</w:t>
      </w:r>
    </w:p>
    <w:p>
      <w:pPr>
        <w:pageBreakBefore w:val="0"/>
        <w:kinsoku/>
        <w:overflowPunct/>
        <w:topLinePunct w:val="0"/>
        <w:bidi w:val="0"/>
        <w:spacing w:line="360" w:lineRule="auto"/>
        <w:ind w:firstLine="396" w:firstLineChars="200"/>
        <w:jc w:val="left"/>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本招标文件适用于</w:t>
      </w:r>
      <w:r>
        <w:rPr>
          <w:rFonts w:hint="eastAsia" w:ascii="宋体" w:hAnsi="宋体" w:eastAsia="宋体" w:cs="宋体"/>
          <w:color w:val="auto"/>
          <w:spacing w:val="-6"/>
          <w:sz w:val="21"/>
          <w:szCs w:val="21"/>
          <w:highlight w:val="none"/>
          <w:lang w:eastAsia="zh-CN"/>
        </w:rPr>
        <w:t>浙商银行台州分行公司客户贷款抵押物（房屋建筑物）财产保险服务项目</w:t>
      </w:r>
      <w:r>
        <w:rPr>
          <w:rFonts w:hint="eastAsia" w:ascii="宋体" w:hAnsi="宋体" w:cs="宋体"/>
          <w:color w:val="auto"/>
          <w:spacing w:val="-6"/>
          <w:sz w:val="21"/>
          <w:szCs w:val="21"/>
          <w:highlight w:val="none"/>
          <w:lang w:val="en-US" w:eastAsia="zh-CN"/>
        </w:rPr>
        <w:t>采购</w:t>
      </w:r>
      <w:r>
        <w:rPr>
          <w:rFonts w:hint="eastAsia" w:ascii="宋体" w:hAnsi="宋体" w:eastAsia="宋体" w:cs="宋体"/>
          <w:color w:val="auto"/>
          <w:spacing w:val="-6"/>
          <w:sz w:val="21"/>
          <w:szCs w:val="21"/>
          <w:highlight w:val="none"/>
        </w:rPr>
        <w:t>的招标、评标、定标、验收、合同履约、付款等（法律、法规另有规定的，从其规定）。</w:t>
      </w:r>
    </w:p>
    <w:p>
      <w:pPr>
        <w:pageBreakBefore w:val="0"/>
        <w:kinsoku/>
        <w:overflowPunct/>
        <w:topLinePunct w:val="0"/>
        <w:bidi w:val="0"/>
        <w:spacing w:line="360" w:lineRule="auto"/>
        <w:jc w:val="left"/>
        <w:outlineLvl w:val="1"/>
        <w:rPr>
          <w:rFonts w:hint="eastAsia" w:ascii="宋体" w:hAnsi="宋体" w:eastAsia="宋体" w:cs="宋体"/>
          <w:b/>
          <w:color w:val="auto"/>
          <w:spacing w:val="-6"/>
          <w:sz w:val="21"/>
          <w:szCs w:val="21"/>
          <w:highlight w:val="none"/>
        </w:rPr>
      </w:pPr>
      <w:r>
        <w:rPr>
          <w:rFonts w:hint="eastAsia" w:ascii="宋体" w:hAnsi="宋体" w:eastAsia="宋体" w:cs="宋体"/>
          <w:b/>
          <w:color w:val="auto"/>
          <w:spacing w:val="-6"/>
          <w:sz w:val="21"/>
          <w:szCs w:val="21"/>
          <w:highlight w:val="none"/>
        </w:rPr>
        <w:t>（二）定义</w:t>
      </w:r>
    </w:p>
    <w:p>
      <w:pPr>
        <w:pageBreakBefore w:val="0"/>
        <w:kinsoku/>
        <w:overflowPunct/>
        <w:topLinePunct w:val="0"/>
        <w:bidi w:val="0"/>
        <w:spacing w:line="360" w:lineRule="auto"/>
        <w:ind w:firstLine="396" w:firstLineChars="200"/>
        <w:jc w:val="left"/>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1.“招标人”系指</w:t>
      </w:r>
      <w:r>
        <w:rPr>
          <w:rFonts w:hint="eastAsia" w:ascii="宋体" w:hAnsi="宋体" w:eastAsia="宋体" w:cs="宋体"/>
          <w:color w:val="auto"/>
          <w:spacing w:val="-6"/>
          <w:sz w:val="21"/>
          <w:szCs w:val="21"/>
          <w:highlight w:val="none"/>
          <w:lang w:eastAsia="zh-CN"/>
        </w:rPr>
        <w:t>浙商银行股份有限公司</w:t>
      </w:r>
      <w:r>
        <w:rPr>
          <w:rFonts w:hint="eastAsia" w:ascii="宋体" w:hAnsi="宋体" w:eastAsia="宋体" w:cs="宋体"/>
          <w:color w:val="auto"/>
          <w:spacing w:val="-6"/>
          <w:sz w:val="21"/>
          <w:szCs w:val="21"/>
          <w:highlight w:val="none"/>
          <w:lang w:val="en-US" w:eastAsia="zh-CN"/>
        </w:rPr>
        <w:t>台州</w:t>
      </w:r>
      <w:r>
        <w:rPr>
          <w:rFonts w:hint="eastAsia" w:ascii="宋体" w:hAnsi="宋体" w:eastAsia="宋体" w:cs="宋体"/>
          <w:color w:val="auto"/>
          <w:spacing w:val="-6"/>
          <w:sz w:val="21"/>
          <w:szCs w:val="21"/>
          <w:highlight w:val="none"/>
          <w:lang w:eastAsia="zh-CN"/>
        </w:rPr>
        <w:t>分行</w:t>
      </w:r>
      <w:r>
        <w:rPr>
          <w:rFonts w:hint="eastAsia" w:ascii="宋体" w:hAnsi="宋体" w:eastAsia="宋体" w:cs="宋体"/>
          <w:color w:val="auto"/>
          <w:spacing w:val="-6"/>
          <w:sz w:val="21"/>
          <w:szCs w:val="21"/>
          <w:highlight w:val="none"/>
        </w:rPr>
        <w:t>；</w:t>
      </w:r>
    </w:p>
    <w:p>
      <w:pPr>
        <w:pageBreakBefore w:val="0"/>
        <w:kinsoku/>
        <w:overflowPunct/>
        <w:topLinePunct w:val="0"/>
        <w:bidi w:val="0"/>
        <w:spacing w:line="360" w:lineRule="auto"/>
        <w:ind w:firstLine="396" w:firstLineChars="200"/>
        <w:jc w:val="left"/>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2.“代理机构”系指组织本次招标的</w:t>
      </w:r>
      <w:r>
        <w:rPr>
          <w:rFonts w:hint="eastAsia" w:ascii="宋体" w:hAnsi="宋体" w:eastAsia="宋体" w:cs="宋体"/>
          <w:color w:val="auto"/>
          <w:spacing w:val="-6"/>
          <w:sz w:val="21"/>
          <w:szCs w:val="21"/>
          <w:highlight w:val="none"/>
          <w:lang w:val="en-US" w:eastAsia="zh-CN"/>
        </w:rPr>
        <w:t>浙江华夏工程管理有限公司</w:t>
      </w:r>
      <w:r>
        <w:rPr>
          <w:rFonts w:hint="eastAsia" w:ascii="宋体" w:hAnsi="宋体" w:eastAsia="宋体" w:cs="宋体"/>
          <w:color w:val="auto"/>
          <w:spacing w:val="-6"/>
          <w:sz w:val="21"/>
          <w:szCs w:val="21"/>
          <w:highlight w:val="none"/>
        </w:rPr>
        <w:t>；</w:t>
      </w:r>
    </w:p>
    <w:p>
      <w:pPr>
        <w:pageBreakBefore w:val="0"/>
        <w:kinsoku/>
        <w:overflowPunct/>
        <w:topLinePunct w:val="0"/>
        <w:bidi w:val="0"/>
        <w:spacing w:line="360" w:lineRule="auto"/>
        <w:ind w:firstLine="396" w:firstLineChars="200"/>
        <w:jc w:val="left"/>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3.“投标人”系指响应招标、参加投标竞争的法人、其他组织；</w:t>
      </w:r>
    </w:p>
    <w:p>
      <w:pPr>
        <w:pageBreakBefore w:val="0"/>
        <w:kinsoku/>
        <w:overflowPunct/>
        <w:topLinePunct w:val="0"/>
        <w:bidi w:val="0"/>
        <w:spacing w:line="360" w:lineRule="auto"/>
        <w:ind w:firstLine="396" w:firstLineChars="200"/>
        <w:jc w:val="left"/>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4.“书面形式”包括信函、传真、电子邮件等；</w:t>
      </w:r>
    </w:p>
    <w:p>
      <w:pPr>
        <w:pageBreakBefore w:val="0"/>
        <w:kinsoku/>
        <w:overflowPunct/>
        <w:topLinePunct w:val="0"/>
        <w:bidi w:val="0"/>
        <w:spacing w:line="360" w:lineRule="auto"/>
        <w:ind w:firstLine="396" w:firstLineChars="200"/>
        <w:jc w:val="left"/>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5.“▲”系指实质性要求条款，投标人应当做出实质性响应。</w:t>
      </w:r>
    </w:p>
    <w:p>
      <w:pPr>
        <w:pageBreakBefore w:val="0"/>
        <w:kinsoku/>
        <w:overflowPunct/>
        <w:topLinePunct w:val="0"/>
        <w:bidi w:val="0"/>
        <w:spacing w:line="360" w:lineRule="auto"/>
        <w:jc w:val="left"/>
        <w:outlineLvl w:val="1"/>
        <w:rPr>
          <w:rFonts w:hint="eastAsia" w:ascii="宋体" w:hAnsi="宋体" w:eastAsia="宋体" w:cs="宋体"/>
          <w:b/>
          <w:color w:val="auto"/>
          <w:spacing w:val="-6"/>
          <w:sz w:val="21"/>
          <w:szCs w:val="21"/>
          <w:highlight w:val="none"/>
        </w:rPr>
      </w:pPr>
      <w:r>
        <w:rPr>
          <w:rFonts w:hint="eastAsia" w:ascii="宋体" w:hAnsi="宋体" w:eastAsia="宋体" w:cs="宋体"/>
          <w:b/>
          <w:color w:val="auto"/>
          <w:spacing w:val="-6"/>
          <w:sz w:val="21"/>
          <w:szCs w:val="21"/>
          <w:highlight w:val="none"/>
        </w:rPr>
        <w:t>（三）招标方式</w:t>
      </w:r>
    </w:p>
    <w:p>
      <w:pPr>
        <w:pageBreakBefore w:val="0"/>
        <w:kinsoku/>
        <w:overflowPunct/>
        <w:topLinePunct w:val="0"/>
        <w:bidi w:val="0"/>
        <w:spacing w:line="360" w:lineRule="auto"/>
        <w:ind w:firstLine="396" w:firstLineChars="200"/>
        <w:jc w:val="left"/>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本次招标采用公开招标方式进行。</w:t>
      </w:r>
    </w:p>
    <w:p>
      <w:pPr>
        <w:pageBreakBefore w:val="0"/>
        <w:kinsoku/>
        <w:overflowPunct/>
        <w:topLinePunct w:val="0"/>
        <w:bidi w:val="0"/>
        <w:spacing w:line="360" w:lineRule="auto"/>
        <w:jc w:val="left"/>
        <w:outlineLvl w:val="1"/>
        <w:rPr>
          <w:rFonts w:hint="eastAsia" w:ascii="宋体" w:hAnsi="宋体" w:eastAsia="宋体" w:cs="宋体"/>
          <w:b/>
          <w:color w:val="auto"/>
          <w:spacing w:val="-6"/>
          <w:sz w:val="21"/>
          <w:szCs w:val="21"/>
          <w:highlight w:val="none"/>
        </w:rPr>
      </w:pPr>
      <w:r>
        <w:rPr>
          <w:rFonts w:hint="eastAsia" w:ascii="宋体" w:hAnsi="宋体" w:eastAsia="宋体" w:cs="宋体"/>
          <w:b/>
          <w:color w:val="auto"/>
          <w:spacing w:val="-6"/>
          <w:sz w:val="21"/>
          <w:szCs w:val="21"/>
          <w:highlight w:val="none"/>
        </w:rPr>
        <w:t>（四）投标委托</w:t>
      </w:r>
    </w:p>
    <w:p>
      <w:pPr>
        <w:pageBreakBefore w:val="0"/>
        <w:kinsoku/>
        <w:overflowPunct/>
        <w:topLinePunct w:val="0"/>
        <w:bidi w:val="0"/>
        <w:spacing w:line="360" w:lineRule="auto"/>
        <w:ind w:firstLine="396"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投标人代表须携带有效身份证件。如投标人代表不是法定代表人，须有</w:t>
      </w:r>
      <w:r>
        <w:rPr>
          <w:rFonts w:hint="eastAsia" w:ascii="宋体" w:hAnsi="宋体" w:eastAsia="宋体" w:cs="宋体"/>
          <w:bCs/>
          <w:color w:val="auto"/>
          <w:spacing w:val="-6"/>
          <w:sz w:val="21"/>
          <w:szCs w:val="21"/>
          <w:highlight w:val="none"/>
        </w:rPr>
        <w:t>附有法定代表人资格证明书的法定代表人授权委托书</w:t>
      </w:r>
      <w:r>
        <w:rPr>
          <w:rFonts w:hint="eastAsia" w:ascii="宋体" w:hAnsi="宋体" w:eastAsia="宋体" w:cs="宋体"/>
          <w:color w:val="auto"/>
          <w:spacing w:val="-6"/>
          <w:sz w:val="21"/>
          <w:szCs w:val="21"/>
          <w:highlight w:val="none"/>
        </w:rPr>
        <w:t>（格式详见招标文件第六章），投标人未参加开标的，视同认可开标结果。</w:t>
      </w:r>
    </w:p>
    <w:p>
      <w:pPr>
        <w:pageBreakBefore w:val="0"/>
        <w:kinsoku/>
        <w:overflowPunct/>
        <w:topLinePunct w:val="0"/>
        <w:bidi w:val="0"/>
        <w:spacing w:line="360" w:lineRule="auto"/>
        <w:jc w:val="left"/>
        <w:outlineLvl w:val="1"/>
        <w:rPr>
          <w:rFonts w:hint="eastAsia" w:ascii="宋体" w:hAnsi="宋体" w:eastAsia="宋体" w:cs="宋体"/>
          <w:b/>
          <w:color w:val="auto"/>
          <w:spacing w:val="-6"/>
          <w:sz w:val="21"/>
          <w:szCs w:val="21"/>
          <w:highlight w:val="none"/>
        </w:rPr>
      </w:pPr>
      <w:r>
        <w:rPr>
          <w:rFonts w:hint="eastAsia" w:ascii="宋体" w:hAnsi="宋体" w:eastAsia="宋体" w:cs="宋体"/>
          <w:b/>
          <w:color w:val="auto"/>
          <w:spacing w:val="-6"/>
          <w:sz w:val="21"/>
          <w:szCs w:val="21"/>
          <w:highlight w:val="none"/>
        </w:rPr>
        <w:t>（五）投标费用</w:t>
      </w:r>
    </w:p>
    <w:p>
      <w:pPr>
        <w:pageBreakBefore w:val="0"/>
        <w:kinsoku/>
        <w:overflowPunct/>
        <w:topLinePunct w:val="0"/>
        <w:bidi w:val="0"/>
        <w:spacing w:line="360" w:lineRule="auto"/>
        <w:ind w:firstLine="396" w:firstLineChars="200"/>
        <w:jc w:val="left"/>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1.不论投标结果如何，投标人均应自行承担所有与投标有关的全部费用；</w:t>
      </w:r>
    </w:p>
    <w:p>
      <w:pPr>
        <w:pageBreakBefore w:val="0"/>
        <w:kinsoku/>
        <w:overflowPunct/>
        <w:topLinePunct w:val="0"/>
        <w:bidi w:val="0"/>
        <w:spacing w:line="360" w:lineRule="auto"/>
        <w:ind w:firstLine="396" w:firstLineChars="200"/>
        <w:jc w:val="left"/>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2.</w:t>
      </w: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val="en-US" w:eastAsia="zh-CN"/>
        </w:rPr>
        <w:t>入围供应商</w:t>
      </w:r>
      <w:r>
        <w:rPr>
          <w:rFonts w:hint="eastAsia" w:ascii="宋体" w:hAnsi="宋体" w:eastAsia="宋体" w:cs="宋体"/>
          <w:color w:val="auto"/>
          <w:sz w:val="21"/>
          <w:szCs w:val="21"/>
          <w:highlight w:val="none"/>
        </w:rPr>
        <w:t>无需向代理机构交纳代理服务费</w:t>
      </w:r>
      <w:r>
        <w:rPr>
          <w:rFonts w:hint="eastAsia" w:ascii="宋体" w:hAnsi="宋体" w:eastAsia="宋体" w:cs="宋体"/>
          <w:color w:val="auto"/>
          <w:spacing w:val="-6"/>
          <w:sz w:val="21"/>
          <w:szCs w:val="21"/>
          <w:highlight w:val="none"/>
        </w:rPr>
        <w:t>。</w:t>
      </w:r>
    </w:p>
    <w:p>
      <w:pPr>
        <w:pageBreakBefore w:val="0"/>
        <w:kinsoku/>
        <w:overflowPunct/>
        <w:topLinePunct w:val="0"/>
        <w:bidi w:val="0"/>
        <w:spacing w:line="360" w:lineRule="auto"/>
        <w:jc w:val="left"/>
        <w:outlineLvl w:val="1"/>
        <w:rPr>
          <w:rFonts w:hint="eastAsia" w:ascii="宋体" w:hAnsi="宋体" w:eastAsia="宋体" w:cs="宋体"/>
          <w:b/>
          <w:color w:val="auto"/>
          <w:spacing w:val="-6"/>
          <w:sz w:val="21"/>
          <w:szCs w:val="21"/>
          <w:highlight w:val="none"/>
        </w:rPr>
      </w:pPr>
      <w:r>
        <w:rPr>
          <w:rFonts w:hint="eastAsia" w:ascii="宋体" w:hAnsi="宋体" w:eastAsia="宋体" w:cs="宋体"/>
          <w:b/>
          <w:color w:val="auto"/>
          <w:spacing w:val="-6"/>
          <w:sz w:val="21"/>
          <w:szCs w:val="21"/>
          <w:highlight w:val="none"/>
        </w:rPr>
        <w:t>（六）联合体投标</w:t>
      </w:r>
    </w:p>
    <w:p>
      <w:pPr>
        <w:pageBreakBefore w:val="0"/>
        <w:kinsoku/>
        <w:overflowPunct/>
        <w:topLinePunct w:val="0"/>
        <w:bidi w:val="0"/>
        <w:spacing w:line="360" w:lineRule="auto"/>
        <w:ind w:firstLine="396" w:firstLineChars="200"/>
        <w:jc w:val="left"/>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本项目不接受联合体投标。</w:t>
      </w:r>
    </w:p>
    <w:p>
      <w:pPr>
        <w:pageBreakBefore w:val="0"/>
        <w:kinsoku/>
        <w:overflowPunct/>
        <w:topLinePunct w:val="0"/>
        <w:bidi w:val="0"/>
        <w:spacing w:line="360" w:lineRule="auto"/>
        <w:jc w:val="left"/>
        <w:outlineLvl w:val="1"/>
        <w:rPr>
          <w:rFonts w:hint="eastAsia" w:ascii="宋体" w:hAnsi="宋体" w:eastAsia="宋体" w:cs="宋体"/>
          <w:b/>
          <w:color w:val="auto"/>
          <w:spacing w:val="-6"/>
          <w:sz w:val="21"/>
          <w:szCs w:val="21"/>
          <w:highlight w:val="none"/>
        </w:rPr>
      </w:pPr>
      <w:r>
        <w:rPr>
          <w:rFonts w:hint="eastAsia" w:ascii="宋体" w:hAnsi="宋体" w:eastAsia="宋体" w:cs="宋体"/>
          <w:b/>
          <w:color w:val="auto"/>
          <w:spacing w:val="-6"/>
          <w:sz w:val="21"/>
          <w:szCs w:val="21"/>
          <w:highlight w:val="none"/>
        </w:rPr>
        <w:t>（七）转包与分包</w:t>
      </w:r>
    </w:p>
    <w:p>
      <w:pPr>
        <w:pageBreakBefore w:val="0"/>
        <w:kinsoku/>
        <w:overflowPunct/>
        <w:topLinePunct w:val="0"/>
        <w:bidi w:val="0"/>
        <w:spacing w:line="360" w:lineRule="auto"/>
        <w:ind w:firstLine="396" w:firstLineChars="200"/>
        <w:jc w:val="left"/>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1.</w:t>
      </w:r>
      <w:r>
        <w:rPr>
          <w:rFonts w:hint="eastAsia" w:ascii="宋体" w:hAnsi="宋体" w:eastAsia="宋体" w:cs="宋体"/>
          <w:color w:val="auto"/>
          <w:sz w:val="21"/>
          <w:szCs w:val="21"/>
          <w:highlight w:val="none"/>
          <w:lang w:val="en-US" w:eastAsia="zh-CN"/>
        </w:rPr>
        <w:t>入围供应商</w:t>
      </w:r>
      <w:r>
        <w:rPr>
          <w:rFonts w:hint="eastAsia" w:ascii="宋体" w:hAnsi="宋体" w:eastAsia="宋体" w:cs="宋体"/>
          <w:color w:val="auto"/>
          <w:spacing w:val="-6"/>
          <w:sz w:val="21"/>
          <w:szCs w:val="21"/>
          <w:highlight w:val="none"/>
        </w:rPr>
        <w:t>不得向他人转让</w:t>
      </w:r>
      <w:r>
        <w:rPr>
          <w:rFonts w:hint="eastAsia" w:ascii="宋体" w:hAnsi="宋体" w:eastAsia="宋体" w:cs="宋体"/>
          <w:color w:val="auto"/>
          <w:spacing w:val="-6"/>
          <w:sz w:val="21"/>
          <w:szCs w:val="21"/>
          <w:highlight w:val="none"/>
          <w:lang w:val="en-US" w:eastAsia="zh-CN"/>
        </w:rPr>
        <w:t>入围</w:t>
      </w:r>
      <w:r>
        <w:rPr>
          <w:rFonts w:hint="eastAsia" w:ascii="宋体" w:hAnsi="宋体" w:eastAsia="宋体" w:cs="宋体"/>
          <w:color w:val="auto"/>
          <w:spacing w:val="-6"/>
          <w:sz w:val="21"/>
          <w:szCs w:val="21"/>
          <w:highlight w:val="none"/>
        </w:rPr>
        <w:t>项目，也不得将</w:t>
      </w:r>
      <w:r>
        <w:rPr>
          <w:rFonts w:hint="eastAsia" w:ascii="宋体" w:hAnsi="宋体" w:eastAsia="宋体" w:cs="宋体"/>
          <w:color w:val="auto"/>
          <w:spacing w:val="-6"/>
          <w:sz w:val="21"/>
          <w:szCs w:val="21"/>
          <w:highlight w:val="none"/>
          <w:lang w:val="en-US" w:eastAsia="zh-CN"/>
        </w:rPr>
        <w:t>入围</w:t>
      </w:r>
      <w:r>
        <w:rPr>
          <w:rFonts w:hint="eastAsia" w:ascii="宋体" w:hAnsi="宋体" w:eastAsia="宋体" w:cs="宋体"/>
          <w:color w:val="auto"/>
          <w:spacing w:val="-6"/>
          <w:sz w:val="21"/>
          <w:szCs w:val="21"/>
          <w:highlight w:val="none"/>
        </w:rPr>
        <w:t>项目肢解后分别向他人转让。</w:t>
      </w:r>
    </w:p>
    <w:p>
      <w:pPr>
        <w:pageBreakBefore w:val="0"/>
        <w:kinsoku/>
        <w:overflowPunct/>
        <w:topLinePunct w:val="0"/>
        <w:bidi w:val="0"/>
        <w:spacing w:line="360" w:lineRule="auto"/>
        <w:ind w:firstLine="396" w:firstLineChars="200"/>
        <w:jc w:val="left"/>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2.投标人根据招标文件载明的项目实际情况，拟在</w:t>
      </w:r>
      <w:r>
        <w:rPr>
          <w:rFonts w:hint="eastAsia" w:ascii="宋体" w:hAnsi="宋体" w:eastAsia="宋体" w:cs="宋体"/>
          <w:color w:val="auto"/>
          <w:spacing w:val="-6"/>
          <w:sz w:val="21"/>
          <w:szCs w:val="21"/>
          <w:highlight w:val="none"/>
          <w:lang w:eastAsia="zh-CN"/>
        </w:rPr>
        <w:t>入围</w:t>
      </w:r>
      <w:r>
        <w:rPr>
          <w:rFonts w:hint="eastAsia" w:ascii="宋体" w:hAnsi="宋体" w:eastAsia="宋体" w:cs="宋体"/>
          <w:color w:val="auto"/>
          <w:spacing w:val="-6"/>
          <w:sz w:val="21"/>
          <w:szCs w:val="21"/>
          <w:highlight w:val="none"/>
        </w:rPr>
        <w:t>后将</w:t>
      </w:r>
      <w:r>
        <w:rPr>
          <w:rFonts w:hint="eastAsia" w:ascii="宋体" w:hAnsi="宋体" w:eastAsia="宋体" w:cs="宋体"/>
          <w:color w:val="auto"/>
          <w:spacing w:val="-6"/>
          <w:sz w:val="21"/>
          <w:szCs w:val="21"/>
          <w:highlight w:val="none"/>
          <w:lang w:eastAsia="zh-CN"/>
        </w:rPr>
        <w:t>入围</w:t>
      </w:r>
      <w:r>
        <w:rPr>
          <w:rFonts w:hint="eastAsia" w:ascii="宋体" w:hAnsi="宋体" w:eastAsia="宋体" w:cs="宋体"/>
          <w:color w:val="auto"/>
          <w:spacing w:val="-6"/>
          <w:sz w:val="21"/>
          <w:szCs w:val="21"/>
          <w:highlight w:val="none"/>
        </w:rPr>
        <w:t>项目的部分非主体、非关键性工作进行分包的，应当在投标文件中载明。</w:t>
      </w:r>
    </w:p>
    <w:p>
      <w:pPr>
        <w:pageBreakBefore w:val="0"/>
        <w:kinsoku/>
        <w:overflowPunct/>
        <w:topLinePunct w:val="0"/>
        <w:bidi w:val="0"/>
        <w:spacing w:line="360" w:lineRule="auto"/>
        <w:ind w:firstLine="396" w:firstLineChars="200"/>
        <w:jc w:val="left"/>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3.</w:t>
      </w:r>
      <w:r>
        <w:rPr>
          <w:rFonts w:hint="eastAsia" w:ascii="宋体" w:hAnsi="宋体" w:eastAsia="宋体" w:cs="宋体"/>
          <w:color w:val="auto"/>
          <w:sz w:val="21"/>
          <w:szCs w:val="21"/>
          <w:highlight w:val="none"/>
          <w:lang w:val="en-US" w:eastAsia="zh-CN"/>
        </w:rPr>
        <w:t>入围供应商</w:t>
      </w:r>
      <w:r>
        <w:rPr>
          <w:rFonts w:hint="eastAsia" w:ascii="宋体" w:hAnsi="宋体" w:eastAsia="宋体" w:cs="宋体"/>
          <w:color w:val="auto"/>
          <w:spacing w:val="-6"/>
          <w:sz w:val="21"/>
          <w:szCs w:val="21"/>
          <w:highlight w:val="none"/>
        </w:rPr>
        <w:t>按照合同约定或者经招标人同意，可以将</w:t>
      </w:r>
      <w:r>
        <w:rPr>
          <w:rFonts w:hint="eastAsia" w:ascii="宋体" w:hAnsi="宋体" w:eastAsia="宋体" w:cs="宋体"/>
          <w:color w:val="auto"/>
          <w:spacing w:val="-6"/>
          <w:sz w:val="21"/>
          <w:szCs w:val="21"/>
          <w:highlight w:val="none"/>
          <w:lang w:eastAsia="zh-CN"/>
        </w:rPr>
        <w:t>入围</w:t>
      </w:r>
      <w:r>
        <w:rPr>
          <w:rFonts w:hint="eastAsia" w:ascii="宋体" w:hAnsi="宋体" w:eastAsia="宋体" w:cs="宋体"/>
          <w:color w:val="auto"/>
          <w:spacing w:val="-6"/>
          <w:sz w:val="21"/>
          <w:szCs w:val="21"/>
          <w:highlight w:val="none"/>
        </w:rPr>
        <w:t>项目的部分非主体、非关键性工作分包给他人完成。接受分包的人应当具备相应的资格条件，并不得再次分包。</w:t>
      </w:r>
      <w:r>
        <w:rPr>
          <w:rFonts w:hint="eastAsia" w:ascii="宋体" w:hAnsi="宋体" w:eastAsia="宋体" w:cs="宋体"/>
          <w:color w:val="auto"/>
          <w:sz w:val="21"/>
          <w:szCs w:val="21"/>
          <w:highlight w:val="none"/>
          <w:lang w:val="en-US" w:eastAsia="zh-CN"/>
        </w:rPr>
        <w:t>入围供应商</w:t>
      </w:r>
      <w:r>
        <w:rPr>
          <w:rFonts w:hint="eastAsia" w:ascii="宋体" w:hAnsi="宋体" w:eastAsia="宋体" w:cs="宋体"/>
          <w:color w:val="auto"/>
          <w:spacing w:val="-6"/>
          <w:sz w:val="21"/>
          <w:szCs w:val="21"/>
          <w:highlight w:val="none"/>
        </w:rPr>
        <w:t>应当就分包项目向招标人负责，接受分包的人就分包项目承担连带责任。</w:t>
      </w:r>
    </w:p>
    <w:p>
      <w:pPr>
        <w:pageBreakBefore w:val="0"/>
        <w:kinsoku/>
        <w:overflowPunct/>
        <w:topLinePunct w:val="0"/>
        <w:bidi w:val="0"/>
        <w:spacing w:line="360" w:lineRule="auto"/>
        <w:jc w:val="left"/>
        <w:outlineLvl w:val="1"/>
        <w:rPr>
          <w:rFonts w:hint="eastAsia" w:ascii="宋体" w:hAnsi="宋体" w:eastAsia="宋体" w:cs="宋体"/>
          <w:b/>
          <w:color w:val="auto"/>
          <w:spacing w:val="-6"/>
          <w:sz w:val="21"/>
          <w:szCs w:val="21"/>
          <w:highlight w:val="none"/>
        </w:rPr>
      </w:pPr>
      <w:r>
        <w:rPr>
          <w:rFonts w:hint="eastAsia" w:ascii="宋体" w:hAnsi="宋体" w:eastAsia="宋体" w:cs="宋体"/>
          <w:b/>
          <w:color w:val="auto"/>
          <w:spacing w:val="-6"/>
          <w:sz w:val="21"/>
          <w:szCs w:val="21"/>
          <w:highlight w:val="none"/>
        </w:rPr>
        <w:t>（八）特别说明</w:t>
      </w:r>
    </w:p>
    <w:p>
      <w:pPr>
        <w:pStyle w:val="10"/>
        <w:pageBreakBefore w:val="0"/>
        <w:kinsoku/>
        <w:overflowPunct/>
        <w:topLinePunct w:val="0"/>
        <w:bidi w:val="0"/>
        <w:spacing w:line="360" w:lineRule="auto"/>
        <w:ind w:firstLine="396" w:firstLineChars="200"/>
        <w:jc w:val="left"/>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1.投标人应仔细阅读招标文件的所有内容，按照招标文件的要求提交投标文件，并对所提供的全部资料的真实性承担法律责任。</w:t>
      </w:r>
    </w:p>
    <w:p>
      <w:pPr>
        <w:pStyle w:val="10"/>
        <w:pageBreakBefore w:val="0"/>
        <w:kinsoku/>
        <w:overflowPunct/>
        <w:topLinePunct w:val="0"/>
        <w:bidi w:val="0"/>
        <w:spacing w:line="360" w:lineRule="auto"/>
        <w:ind w:firstLine="396" w:firstLineChars="200"/>
        <w:jc w:val="left"/>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2.与招标人存在利害关系可能影响招标公正性的法人、其他组织或者个人，不得参加投标。单位负责人为同一人或者存在控股、管理关系的不同单位，不得参加同一标项投标或者未划分标项的同一招标项目投标。违反前两款规定的，相关投标均无效。</w:t>
      </w:r>
    </w:p>
    <w:p>
      <w:pPr>
        <w:pageBreakBefore w:val="0"/>
        <w:kinsoku/>
        <w:overflowPunct/>
        <w:topLinePunct w:val="0"/>
        <w:bidi w:val="0"/>
        <w:spacing w:line="360" w:lineRule="auto"/>
        <w:jc w:val="left"/>
        <w:outlineLvl w:val="1"/>
        <w:rPr>
          <w:rFonts w:hint="eastAsia" w:ascii="宋体" w:hAnsi="宋体" w:eastAsia="宋体" w:cs="宋体"/>
          <w:b/>
          <w:color w:val="auto"/>
          <w:spacing w:val="-6"/>
          <w:sz w:val="21"/>
          <w:szCs w:val="21"/>
          <w:highlight w:val="none"/>
        </w:rPr>
      </w:pPr>
      <w:r>
        <w:rPr>
          <w:rFonts w:hint="eastAsia" w:ascii="宋体" w:hAnsi="宋体" w:eastAsia="宋体" w:cs="宋体"/>
          <w:b/>
          <w:color w:val="auto"/>
          <w:spacing w:val="-6"/>
          <w:sz w:val="21"/>
          <w:szCs w:val="21"/>
          <w:highlight w:val="none"/>
        </w:rPr>
        <w:t>（九）异议的提出及处理</w:t>
      </w:r>
    </w:p>
    <w:p>
      <w:pPr>
        <w:pStyle w:val="10"/>
        <w:pageBreakBefore w:val="0"/>
        <w:kinsoku/>
        <w:overflowPunct/>
        <w:topLinePunct w:val="0"/>
        <w:bidi w:val="0"/>
        <w:spacing w:line="360" w:lineRule="auto"/>
        <w:ind w:firstLine="396" w:firstLineChars="200"/>
        <w:jc w:val="left"/>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投标人和其他利害关系人认为招标投标活动不符合《中华人民共和国招标投标法》有关规定的，有权向招标人提出异议。</w:t>
      </w:r>
    </w:p>
    <w:p>
      <w:pPr>
        <w:pStyle w:val="10"/>
        <w:pageBreakBefore w:val="0"/>
        <w:kinsoku/>
        <w:overflowPunct/>
        <w:topLinePunct w:val="0"/>
        <w:bidi w:val="0"/>
        <w:spacing w:line="360" w:lineRule="auto"/>
        <w:ind w:firstLine="396" w:firstLineChars="200"/>
        <w:jc w:val="left"/>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1.对招标文件有异议的，应当在投标截止时间10日前提出；</w:t>
      </w:r>
    </w:p>
    <w:p>
      <w:pPr>
        <w:pStyle w:val="10"/>
        <w:pageBreakBefore w:val="0"/>
        <w:kinsoku/>
        <w:overflowPunct/>
        <w:topLinePunct w:val="0"/>
        <w:bidi w:val="0"/>
        <w:spacing w:line="360" w:lineRule="auto"/>
        <w:ind w:firstLine="396" w:firstLineChars="200"/>
        <w:jc w:val="left"/>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2.投标人对开标有异议的，应当在开标现场提出；</w:t>
      </w:r>
    </w:p>
    <w:p>
      <w:pPr>
        <w:pStyle w:val="10"/>
        <w:pageBreakBefore w:val="0"/>
        <w:kinsoku/>
        <w:overflowPunct/>
        <w:topLinePunct w:val="0"/>
        <w:bidi w:val="0"/>
        <w:spacing w:line="360" w:lineRule="auto"/>
        <w:ind w:firstLine="396"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pacing w:val="-6"/>
          <w:sz w:val="21"/>
          <w:szCs w:val="21"/>
          <w:highlight w:val="none"/>
        </w:rPr>
        <w:t>3.投标人或者其他利害关系人对评标结果有异议的，应当在评审结果发布之日起3个工作日内提出。招标人自收到异议之日起3个工作日内作出答复；</w:t>
      </w:r>
    </w:p>
    <w:p>
      <w:pPr>
        <w:pStyle w:val="10"/>
        <w:pageBreakBefore w:val="0"/>
        <w:kinsoku/>
        <w:overflowPunct/>
        <w:topLinePunct w:val="0"/>
        <w:bidi w:val="0"/>
        <w:spacing w:line="360" w:lineRule="auto"/>
        <w:ind w:firstLine="396"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pacing w:val="-6"/>
          <w:sz w:val="21"/>
          <w:szCs w:val="21"/>
          <w:highlight w:val="none"/>
        </w:rPr>
        <w:t>4.对招标文件或评标结果提出异议的应当采用书面形式，明确阐述招标文件、评标结果违反《中华人民共和国招标投标法》的有关条款，并</w:t>
      </w:r>
      <w:r>
        <w:rPr>
          <w:rFonts w:hint="eastAsia" w:ascii="宋体" w:hAnsi="宋体" w:eastAsia="宋体" w:cs="宋体"/>
          <w:color w:val="auto"/>
          <w:sz w:val="21"/>
          <w:szCs w:val="21"/>
          <w:highlight w:val="none"/>
        </w:rPr>
        <w:t>应当有明确的请求和必要的证明材料。</w:t>
      </w:r>
    </w:p>
    <w:p>
      <w:pPr>
        <w:pStyle w:val="10"/>
        <w:pageBreakBefore w:val="0"/>
        <w:kinsoku/>
        <w:overflowPunct/>
        <w:topLinePunct w:val="0"/>
        <w:bidi w:val="0"/>
        <w:spacing w:line="360" w:lineRule="auto"/>
        <w:ind w:firstLine="0"/>
        <w:outlineLvl w:val="1"/>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br w:type="page"/>
      </w:r>
      <w:r>
        <w:rPr>
          <w:rFonts w:hint="eastAsia" w:ascii="宋体" w:hAnsi="宋体" w:eastAsia="宋体" w:cs="宋体"/>
          <w:b/>
          <w:color w:val="auto"/>
          <w:spacing w:val="-6"/>
          <w:sz w:val="32"/>
          <w:szCs w:val="32"/>
          <w:highlight w:val="none"/>
        </w:rPr>
        <w:t>二、招标文件</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b/>
          <w:color w:val="auto"/>
          <w:spacing w:val="-6"/>
          <w:sz w:val="21"/>
          <w:szCs w:val="21"/>
          <w:highlight w:val="none"/>
        </w:rPr>
      </w:pPr>
      <w:r>
        <w:rPr>
          <w:rFonts w:hint="eastAsia" w:ascii="宋体" w:hAnsi="宋体" w:eastAsia="宋体" w:cs="宋体"/>
          <w:b/>
          <w:color w:val="auto"/>
          <w:spacing w:val="-6"/>
          <w:sz w:val="21"/>
          <w:szCs w:val="21"/>
          <w:highlight w:val="none"/>
        </w:rPr>
        <w:t>（一）招标文件的构成</w:t>
      </w:r>
    </w:p>
    <w:p>
      <w:pPr>
        <w:pStyle w:val="10"/>
        <w:keepNext w:val="0"/>
        <w:keepLines w:val="0"/>
        <w:pageBreakBefore w:val="0"/>
        <w:widowControl w:val="0"/>
        <w:kinsoku/>
        <w:wordWrap/>
        <w:overflowPunct/>
        <w:topLinePunct w:val="0"/>
        <w:autoSpaceDE/>
        <w:autoSpaceDN/>
        <w:bidi w:val="0"/>
        <w:adjustRightInd/>
        <w:snapToGrid/>
        <w:spacing w:line="360" w:lineRule="auto"/>
        <w:ind w:firstLine="398" w:firstLineChars="200"/>
        <w:jc w:val="left"/>
        <w:textAlignment w:val="auto"/>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本招标文件由以下部分组成：</w:t>
      </w:r>
    </w:p>
    <w:p>
      <w:pPr>
        <w:pStyle w:val="10"/>
        <w:keepNext w:val="0"/>
        <w:keepLines w:val="0"/>
        <w:pageBreakBefore w:val="0"/>
        <w:widowControl w:val="0"/>
        <w:kinsoku/>
        <w:wordWrap/>
        <w:overflowPunct/>
        <w:topLinePunct w:val="0"/>
        <w:autoSpaceDE/>
        <w:autoSpaceDN/>
        <w:bidi w:val="0"/>
        <w:adjustRightInd/>
        <w:snapToGrid/>
        <w:spacing w:line="360" w:lineRule="auto"/>
        <w:ind w:firstLine="396" w:firstLineChars="200"/>
        <w:jc w:val="left"/>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1.招标公告</w:t>
      </w:r>
    </w:p>
    <w:p>
      <w:pPr>
        <w:pStyle w:val="10"/>
        <w:keepNext w:val="0"/>
        <w:keepLines w:val="0"/>
        <w:pageBreakBefore w:val="0"/>
        <w:widowControl w:val="0"/>
        <w:kinsoku/>
        <w:wordWrap/>
        <w:overflowPunct/>
        <w:topLinePunct w:val="0"/>
        <w:autoSpaceDE/>
        <w:autoSpaceDN/>
        <w:bidi w:val="0"/>
        <w:adjustRightInd/>
        <w:snapToGrid/>
        <w:spacing w:line="360" w:lineRule="auto"/>
        <w:ind w:firstLine="396" w:firstLineChars="200"/>
        <w:jc w:val="left"/>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2.投标人须知</w:t>
      </w:r>
    </w:p>
    <w:p>
      <w:pPr>
        <w:pStyle w:val="10"/>
        <w:keepNext w:val="0"/>
        <w:keepLines w:val="0"/>
        <w:pageBreakBefore w:val="0"/>
        <w:widowControl w:val="0"/>
        <w:kinsoku/>
        <w:wordWrap/>
        <w:overflowPunct/>
        <w:topLinePunct w:val="0"/>
        <w:autoSpaceDE/>
        <w:autoSpaceDN/>
        <w:bidi w:val="0"/>
        <w:adjustRightInd/>
        <w:snapToGrid/>
        <w:spacing w:line="360" w:lineRule="auto"/>
        <w:ind w:firstLine="396" w:firstLineChars="200"/>
        <w:jc w:val="left"/>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3.招标需求</w:t>
      </w:r>
    </w:p>
    <w:p>
      <w:pPr>
        <w:pStyle w:val="10"/>
        <w:keepNext w:val="0"/>
        <w:keepLines w:val="0"/>
        <w:pageBreakBefore w:val="0"/>
        <w:widowControl w:val="0"/>
        <w:kinsoku/>
        <w:wordWrap/>
        <w:overflowPunct/>
        <w:topLinePunct w:val="0"/>
        <w:autoSpaceDE/>
        <w:autoSpaceDN/>
        <w:bidi w:val="0"/>
        <w:adjustRightInd/>
        <w:snapToGrid/>
        <w:spacing w:line="360" w:lineRule="auto"/>
        <w:ind w:firstLine="396" w:firstLineChars="200"/>
        <w:jc w:val="left"/>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4.评标办法及评分标准</w:t>
      </w:r>
    </w:p>
    <w:p>
      <w:pPr>
        <w:pStyle w:val="10"/>
        <w:keepNext w:val="0"/>
        <w:keepLines w:val="0"/>
        <w:pageBreakBefore w:val="0"/>
        <w:widowControl w:val="0"/>
        <w:kinsoku/>
        <w:wordWrap/>
        <w:overflowPunct/>
        <w:topLinePunct w:val="0"/>
        <w:autoSpaceDE/>
        <w:autoSpaceDN/>
        <w:bidi w:val="0"/>
        <w:adjustRightInd/>
        <w:snapToGrid/>
        <w:spacing w:line="360" w:lineRule="auto"/>
        <w:ind w:firstLine="396" w:firstLineChars="200"/>
        <w:jc w:val="left"/>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5.拟签订合同的主要条款</w:t>
      </w:r>
    </w:p>
    <w:p>
      <w:pPr>
        <w:pStyle w:val="10"/>
        <w:keepNext w:val="0"/>
        <w:keepLines w:val="0"/>
        <w:pageBreakBefore w:val="0"/>
        <w:widowControl w:val="0"/>
        <w:kinsoku/>
        <w:wordWrap/>
        <w:overflowPunct/>
        <w:topLinePunct w:val="0"/>
        <w:autoSpaceDE/>
        <w:autoSpaceDN/>
        <w:bidi w:val="0"/>
        <w:adjustRightInd/>
        <w:snapToGrid/>
        <w:spacing w:line="360" w:lineRule="auto"/>
        <w:ind w:firstLine="396" w:firstLineChars="200"/>
        <w:jc w:val="left"/>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6.投标文件格式</w:t>
      </w:r>
    </w:p>
    <w:p>
      <w:pPr>
        <w:pStyle w:val="10"/>
        <w:keepNext w:val="0"/>
        <w:keepLines w:val="0"/>
        <w:pageBreakBefore w:val="0"/>
        <w:widowControl w:val="0"/>
        <w:kinsoku/>
        <w:wordWrap/>
        <w:overflowPunct/>
        <w:topLinePunct w:val="0"/>
        <w:autoSpaceDE/>
        <w:autoSpaceDN/>
        <w:bidi w:val="0"/>
        <w:adjustRightInd/>
        <w:snapToGrid/>
        <w:spacing w:line="360" w:lineRule="auto"/>
        <w:ind w:firstLine="396" w:firstLineChars="200"/>
        <w:jc w:val="left"/>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7.本项目招标文件的澄清、答复、修改、补充的内容</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b/>
          <w:color w:val="auto"/>
          <w:spacing w:val="-6"/>
          <w:sz w:val="21"/>
          <w:szCs w:val="21"/>
          <w:highlight w:val="none"/>
        </w:rPr>
      </w:pPr>
      <w:r>
        <w:rPr>
          <w:rFonts w:hint="eastAsia" w:ascii="宋体" w:hAnsi="宋体" w:eastAsia="宋体" w:cs="宋体"/>
          <w:b/>
          <w:color w:val="auto"/>
          <w:spacing w:val="-6"/>
          <w:sz w:val="21"/>
          <w:szCs w:val="21"/>
          <w:highlight w:val="none"/>
        </w:rPr>
        <w:t>（二）投标人的风险</w:t>
      </w:r>
    </w:p>
    <w:p>
      <w:pPr>
        <w:pStyle w:val="10"/>
        <w:keepNext w:val="0"/>
        <w:keepLines w:val="0"/>
        <w:pageBreakBefore w:val="0"/>
        <w:widowControl w:val="0"/>
        <w:kinsoku/>
        <w:wordWrap/>
        <w:overflowPunct/>
        <w:topLinePunct w:val="0"/>
        <w:autoSpaceDE/>
        <w:autoSpaceDN/>
        <w:bidi w:val="0"/>
        <w:adjustRightInd/>
        <w:snapToGrid/>
        <w:spacing w:line="360" w:lineRule="auto"/>
        <w:ind w:firstLine="396" w:firstLineChars="200"/>
        <w:jc w:val="left"/>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投标人没有按照招标文件要求提供全部资料，或者投标人没有对招标文件在各方面作出实质性响应是投标人的风险，并可能导致其投标被拒绝。</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b/>
          <w:color w:val="auto"/>
          <w:spacing w:val="-6"/>
          <w:sz w:val="21"/>
          <w:szCs w:val="21"/>
          <w:highlight w:val="none"/>
        </w:rPr>
      </w:pPr>
      <w:r>
        <w:rPr>
          <w:rFonts w:hint="eastAsia" w:ascii="宋体" w:hAnsi="宋体" w:eastAsia="宋体" w:cs="宋体"/>
          <w:b/>
          <w:color w:val="auto"/>
          <w:spacing w:val="-6"/>
          <w:sz w:val="21"/>
          <w:szCs w:val="21"/>
          <w:highlight w:val="none"/>
        </w:rPr>
        <w:t>（三）招标文件的澄清与修改</w:t>
      </w:r>
    </w:p>
    <w:p>
      <w:pPr>
        <w:pStyle w:val="10"/>
        <w:keepNext w:val="0"/>
        <w:keepLines w:val="0"/>
        <w:pageBreakBefore w:val="0"/>
        <w:widowControl w:val="0"/>
        <w:kinsoku/>
        <w:wordWrap/>
        <w:overflowPunct/>
        <w:topLinePunct w:val="0"/>
        <w:autoSpaceDE/>
        <w:autoSpaceDN/>
        <w:bidi w:val="0"/>
        <w:adjustRightInd/>
        <w:snapToGrid/>
        <w:spacing w:line="360" w:lineRule="auto"/>
        <w:ind w:firstLine="396" w:firstLineChars="200"/>
        <w:jc w:val="left"/>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1.招标人或者代理机构可以对已发出的招标文件进行必要的澄清或者修改，澄清或者修改会在原公告发布媒体上发布澄清公告，澄清或者修改的内容为招标文件的组成部分。</w:t>
      </w:r>
    </w:p>
    <w:p>
      <w:pPr>
        <w:pStyle w:val="10"/>
        <w:keepNext w:val="0"/>
        <w:keepLines w:val="0"/>
        <w:pageBreakBefore w:val="0"/>
        <w:widowControl w:val="0"/>
        <w:kinsoku/>
        <w:wordWrap/>
        <w:overflowPunct/>
        <w:topLinePunct w:val="0"/>
        <w:autoSpaceDE/>
        <w:autoSpaceDN/>
        <w:bidi w:val="0"/>
        <w:adjustRightInd/>
        <w:snapToGrid/>
        <w:spacing w:line="360" w:lineRule="auto"/>
        <w:ind w:firstLine="396" w:firstLineChars="200"/>
        <w:jc w:val="left"/>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澄清或者修改的内容可能影响投标文件编制的，招标人或者代理机构会在投标截止时间至少15日前，以书面形式通知所有获取招标文件的潜在投标人；不足15日的，招标人或者代理机构会顺延提交投标文件的截止时间。</w:t>
      </w:r>
    </w:p>
    <w:p>
      <w:pPr>
        <w:pStyle w:val="10"/>
        <w:keepNext w:val="0"/>
        <w:keepLines w:val="0"/>
        <w:pageBreakBefore w:val="0"/>
        <w:widowControl w:val="0"/>
        <w:kinsoku/>
        <w:wordWrap/>
        <w:overflowPunct/>
        <w:topLinePunct w:val="0"/>
        <w:autoSpaceDE/>
        <w:autoSpaceDN/>
        <w:bidi w:val="0"/>
        <w:adjustRightInd/>
        <w:snapToGrid/>
        <w:spacing w:line="360" w:lineRule="auto"/>
        <w:ind w:firstLine="396" w:firstLineChars="200"/>
        <w:jc w:val="left"/>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2.招标文件的修改将以更正公告形式通知所有购买招标文件的投标人，并对其具有约束力。</w:t>
      </w:r>
    </w:p>
    <w:p>
      <w:pPr>
        <w:pStyle w:val="10"/>
        <w:keepNext w:val="0"/>
        <w:keepLines w:val="0"/>
        <w:pageBreakBefore w:val="0"/>
        <w:widowControl w:val="0"/>
        <w:kinsoku/>
        <w:wordWrap/>
        <w:overflowPunct/>
        <w:topLinePunct w:val="0"/>
        <w:autoSpaceDE/>
        <w:autoSpaceDN/>
        <w:bidi w:val="0"/>
        <w:adjustRightInd/>
        <w:snapToGrid/>
        <w:spacing w:line="360" w:lineRule="auto"/>
        <w:ind w:firstLine="396" w:firstLineChars="200"/>
        <w:jc w:val="left"/>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3.澄清回复时间不得超过在发出通知后30分钟，投标人逾期或未按要求澄清回复的，将视为不予回复或确认，评标委员会有权否决其投标。投标人通讯不畅通，导致不能及时联系的，视作投标人不予回复或确认。</w:t>
      </w:r>
    </w:p>
    <w:p>
      <w:pPr>
        <w:pStyle w:val="10"/>
        <w:pageBreakBefore w:val="0"/>
        <w:kinsoku/>
        <w:overflowPunct/>
        <w:topLinePunct w:val="0"/>
        <w:bidi w:val="0"/>
        <w:spacing w:line="360" w:lineRule="auto"/>
        <w:ind w:firstLine="0"/>
        <w:outlineLvl w:val="1"/>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br w:type="page"/>
      </w:r>
      <w:r>
        <w:rPr>
          <w:rFonts w:hint="eastAsia" w:ascii="宋体" w:hAnsi="宋体" w:eastAsia="宋体" w:cs="宋体"/>
          <w:b/>
          <w:color w:val="auto"/>
          <w:spacing w:val="-6"/>
          <w:sz w:val="32"/>
          <w:szCs w:val="32"/>
          <w:highlight w:val="none"/>
        </w:rPr>
        <w:t>三、投标文件的编制</w:t>
      </w:r>
    </w:p>
    <w:p>
      <w:pPr>
        <w:keepNext w:val="0"/>
        <w:keepLines w:val="0"/>
        <w:pageBreakBefore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b/>
          <w:color w:val="auto"/>
          <w:spacing w:val="-6"/>
          <w:sz w:val="21"/>
          <w:szCs w:val="21"/>
          <w:highlight w:val="none"/>
        </w:rPr>
      </w:pPr>
      <w:r>
        <w:rPr>
          <w:rFonts w:hint="eastAsia" w:ascii="宋体" w:hAnsi="宋体" w:eastAsia="宋体" w:cs="宋体"/>
          <w:b/>
          <w:color w:val="auto"/>
          <w:spacing w:val="-6"/>
          <w:sz w:val="21"/>
          <w:szCs w:val="21"/>
          <w:highlight w:val="none"/>
        </w:rPr>
        <w:t>（一）投标文件的组成</w:t>
      </w:r>
    </w:p>
    <w:p>
      <w:pPr>
        <w:pStyle w:val="10"/>
        <w:keepNext w:val="0"/>
        <w:keepLines w:val="0"/>
        <w:pageBreakBefore w:val="0"/>
        <w:kinsoku/>
        <w:wordWrap/>
        <w:overflowPunct/>
        <w:topLinePunct w:val="0"/>
        <w:autoSpaceDE/>
        <w:autoSpaceDN/>
        <w:bidi w:val="0"/>
        <w:adjustRightInd/>
        <w:snapToGrid/>
        <w:spacing w:line="360" w:lineRule="auto"/>
        <w:ind w:firstLine="396" w:firstLineChars="200"/>
        <w:jc w:val="left"/>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投标文件由</w:t>
      </w:r>
      <w:r>
        <w:rPr>
          <w:rFonts w:hint="eastAsia" w:ascii="宋体" w:hAnsi="宋体" w:eastAsia="宋体" w:cs="宋体"/>
          <w:b/>
          <w:color w:val="auto"/>
          <w:spacing w:val="-6"/>
          <w:sz w:val="21"/>
          <w:szCs w:val="21"/>
          <w:highlight w:val="none"/>
        </w:rPr>
        <w:t>报价文件、资格文件、商务技术文件</w:t>
      </w:r>
      <w:r>
        <w:rPr>
          <w:rFonts w:hint="eastAsia" w:ascii="宋体" w:hAnsi="宋体" w:eastAsia="宋体" w:cs="宋体"/>
          <w:bCs/>
          <w:color w:val="auto"/>
          <w:spacing w:val="-6"/>
          <w:sz w:val="21"/>
          <w:szCs w:val="21"/>
          <w:highlight w:val="none"/>
        </w:rPr>
        <w:t>三部分组成</w:t>
      </w:r>
      <w:r>
        <w:rPr>
          <w:rFonts w:hint="eastAsia" w:ascii="宋体" w:hAnsi="宋体" w:eastAsia="宋体" w:cs="宋体"/>
          <w:color w:val="auto"/>
          <w:spacing w:val="-6"/>
          <w:sz w:val="21"/>
          <w:szCs w:val="21"/>
          <w:highlight w:val="none"/>
        </w:rPr>
        <w:t>（格式详见招标文件第六章）</w:t>
      </w:r>
    </w:p>
    <w:p>
      <w:pPr>
        <w:keepNext w:val="0"/>
        <w:keepLines w:val="0"/>
        <w:pageBreakBefore w:val="0"/>
        <w:kinsoku/>
        <w:wordWrap/>
        <w:overflowPunct/>
        <w:topLinePunct w:val="0"/>
        <w:autoSpaceDE/>
        <w:autoSpaceDN/>
        <w:bidi w:val="0"/>
        <w:adjustRightInd/>
        <w:snapToGrid/>
        <w:spacing w:line="360" w:lineRule="auto"/>
        <w:ind w:firstLine="398" w:firstLineChars="200"/>
        <w:jc w:val="left"/>
        <w:textAlignment w:val="auto"/>
        <w:rPr>
          <w:rFonts w:hint="eastAsia" w:ascii="宋体" w:hAnsi="宋体" w:eastAsia="宋体" w:cs="宋体"/>
          <w:b/>
          <w:color w:val="auto"/>
          <w:spacing w:val="-6"/>
          <w:sz w:val="21"/>
          <w:szCs w:val="21"/>
          <w:highlight w:val="none"/>
        </w:rPr>
      </w:pPr>
      <w:r>
        <w:rPr>
          <w:rFonts w:hint="eastAsia" w:ascii="宋体" w:hAnsi="宋体" w:eastAsia="宋体" w:cs="宋体"/>
          <w:b/>
          <w:color w:val="auto"/>
          <w:spacing w:val="-6"/>
          <w:sz w:val="21"/>
          <w:szCs w:val="21"/>
          <w:highlight w:val="none"/>
        </w:rPr>
        <w:t>1.报价文件</w:t>
      </w:r>
    </w:p>
    <w:p>
      <w:pPr>
        <w:pStyle w:val="10"/>
        <w:keepNext w:val="0"/>
        <w:keepLines w:val="0"/>
        <w:pageBreakBefore w:val="0"/>
        <w:kinsoku/>
        <w:wordWrap/>
        <w:overflowPunct/>
        <w:topLinePunct w:val="0"/>
        <w:autoSpaceDE/>
        <w:autoSpaceDN/>
        <w:bidi w:val="0"/>
        <w:adjustRightInd/>
        <w:snapToGrid/>
        <w:spacing w:line="360" w:lineRule="auto"/>
        <w:ind w:firstLine="396" w:firstLineChars="200"/>
        <w:jc w:val="left"/>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1）开标一览表</w:t>
      </w:r>
    </w:p>
    <w:p>
      <w:pPr>
        <w:pStyle w:val="10"/>
        <w:keepNext w:val="0"/>
        <w:keepLines w:val="0"/>
        <w:pageBreakBefore w:val="0"/>
        <w:kinsoku/>
        <w:wordWrap/>
        <w:overflowPunct/>
        <w:topLinePunct w:val="0"/>
        <w:autoSpaceDE/>
        <w:autoSpaceDN/>
        <w:bidi w:val="0"/>
        <w:adjustRightInd/>
        <w:snapToGrid/>
        <w:spacing w:line="360" w:lineRule="auto"/>
        <w:ind w:firstLine="396" w:firstLineChars="200"/>
        <w:jc w:val="left"/>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2）报价明细表</w:t>
      </w:r>
    </w:p>
    <w:p>
      <w:pPr>
        <w:keepNext w:val="0"/>
        <w:keepLines w:val="0"/>
        <w:pageBreakBefore w:val="0"/>
        <w:kinsoku/>
        <w:wordWrap/>
        <w:overflowPunct/>
        <w:topLinePunct w:val="0"/>
        <w:autoSpaceDE/>
        <w:autoSpaceDN/>
        <w:bidi w:val="0"/>
        <w:adjustRightInd/>
        <w:snapToGrid/>
        <w:spacing w:line="360" w:lineRule="auto"/>
        <w:ind w:firstLine="396" w:firstLineChars="200"/>
        <w:jc w:val="left"/>
        <w:textAlignment w:val="auto"/>
        <w:rPr>
          <w:rFonts w:hint="eastAsia" w:ascii="宋体" w:hAnsi="宋体" w:eastAsia="宋体" w:cs="宋体"/>
          <w:b/>
          <w:color w:val="auto"/>
          <w:spacing w:val="-6"/>
          <w:sz w:val="21"/>
          <w:szCs w:val="21"/>
          <w:highlight w:val="none"/>
        </w:rPr>
      </w:pPr>
      <w:r>
        <w:rPr>
          <w:rFonts w:hint="eastAsia" w:ascii="宋体" w:hAnsi="宋体" w:eastAsia="宋体" w:cs="宋体"/>
          <w:color w:val="auto"/>
          <w:spacing w:val="-6"/>
          <w:sz w:val="21"/>
          <w:szCs w:val="21"/>
          <w:highlight w:val="none"/>
        </w:rPr>
        <w:t>▲</w:t>
      </w:r>
      <w:r>
        <w:rPr>
          <w:rFonts w:hint="eastAsia" w:ascii="宋体" w:hAnsi="宋体" w:eastAsia="宋体" w:cs="宋体"/>
          <w:b/>
          <w:color w:val="auto"/>
          <w:spacing w:val="-6"/>
          <w:sz w:val="21"/>
          <w:szCs w:val="21"/>
          <w:highlight w:val="none"/>
        </w:rPr>
        <w:t>2.资格文件</w:t>
      </w:r>
    </w:p>
    <w:p>
      <w:pPr>
        <w:keepNext w:val="0"/>
        <w:keepLines w:val="0"/>
        <w:pageBreakBefore w:val="0"/>
        <w:kinsoku/>
        <w:wordWrap/>
        <w:overflowPunct/>
        <w:topLinePunct w:val="0"/>
        <w:autoSpaceDE/>
        <w:autoSpaceDN/>
        <w:bidi w:val="0"/>
        <w:adjustRightInd/>
        <w:snapToGrid/>
        <w:spacing w:line="360" w:lineRule="auto"/>
        <w:ind w:firstLine="398" w:firstLineChars="200"/>
        <w:jc w:val="left"/>
        <w:textAlignment w:val="auto"/>
        <w:rPr>
          <w:rFonts w:hint="eastAsia" w:ascii="宋体" w:hAnsi="宋体" w:eastAsia="宋体" w:cs="宋体"/>
          <w:b/>
          <w:color w:val="auto"/>
          <w:spacing w:val="-6"/>
          <w:sz w:val="21"/>
          <w:szCs w:val="21"/>
          <w:highlight w:val="none"/>
        </w:rPr>
      </w:pPr>
      <w:r>
        <w:rPr>
          <w:rFonts w:hint="eastAsia" w:ascii="宋体" w:hAnsi="宋体" w:eastAsia="宋体" w:cs="宋体"/>
          <w:b/>
          <w:color w:val="auto"/>
          <w:spacing w:val="-6"/>
          <w:sz w:val="21"/>
          <w:szCs w:val="21"/>
          <w:highlight w:val="none"/>
        </w:rPr>
        <w:t>资格审查要求的资格证明材料(均需加盖公章)</w:t>
      </w:r>
    </w:p>
    <w:p>
      <w:pPr>
        <w:pageBreakBefore w:val="0"/>
        <w:numPr>
          <w:ilvl w:val="0"/>
          <w:numId w:val="3"/>
        </w:numPr>
        <w:kinsoku/>
        <w:overflowPunct/>
        <w:topLinePunct w:val="0"/>
        <w:bidi w:val="0"/>
        <w:spacing w:line="360" w:lineRule="auto"/>
        <w:ind w:left="425" w:leftChars="0" w:hanging="425" w:firstLineChars="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rPr>
        <w:t>在中华人民共和国境内登记（或注册），具有独立承担民事责任的能力。金融、保险、通讯等特定行业的全国性企业所设立的区域性分支机构，如果已经依法办理了工商、税务和社保登记手续，并且获得总公司（总机构）授权或能够提供房产权证或其他有效财产证明材料，证明其具备实际承担责任的能力和法定的缔结合同能力，允许其独立参加招投标活动。同一法人机构的法人机构与其任何分支机构（或同一法人机构的不同分支机构）不得同时对本项目进行投标，否则其投标均无效，分支机构需提供提供分支机构有效的法人或者其他组织的营业执照等证明文件复制件；</w:t>
      </w:r>
    </w:p>
    <w:p>
      <w:pPr>
        <w:pageBreakBefore w:val="0"/>
        <w:numPr>
          <w:ilvl w:val="0"/>
          <w:numId w:val="3"/>
        </w:numPr>
        <w:kinsoku/>
        <w:overflowPunct/>
        <w:topLinePunct w:val="0"/>
        <w:bidi w:val="0"/>
        <w:spacing w:line="360" w:lineRule="auto"/>
        <w:ind w:left="425" w:leftChars="0" w:hanging="425" w:firstLineChars="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具有良好的商业信誉和健全的财务会计制度；</w:t>
      </w:r>
    </w:p>
    <w:p>
      <w:pPr>
        <w:pageBreakBefore w:val="0"/>
        <w:numPr>
          <w:ilvl w:val="0"/>
          <w:numId w:val="3"/>
        </w:numPr>
        <w:kinsoku/>
        <w:overflowPunct/>
        <w:topLinePunct w:val="0"/>
        <w:bidi w:val="0"/>
        <w:spacing w:line="360" w:lineRule="auto"/>
        <w:ind w:left="425" w:leftChars="0" w:hanging="425" w:firstLineChars="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有依法缴纳税收和社会保障资金的良好记录；</w:t>
      </w:r>
    </w:p>
    <w:p>
      <w:pPr>
        <w:pageBreakBefore w:val="0"/>
        <w:numPr>
          <w:ilvl w:val="0"/>
          <w:numId w:val="3"/>
        </w:numPr>
        <w:kinsoku/>
        <w:overflowPunct/>
        <w:topLinePunct w:val="0"/>
        <w:bidi w:val="0"/>
        <w:spacing w:line="360" w:lineRule="auto"/>
        <w:ind w:left="425" w:leftChars="0" w:hanging="425" w:firstLineChars="0"/>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投标人未被“中国执行信息公开网”（https://zxgk.court.gov.cn/shixin/）</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列入失信被执行人、未被“信用中国”（https://www.creditchina.gov.cn）列入重大税收违法失信主体、未被“中国政府采购网”（https://www.ccgp.gov.cn）列入政府采购严重违法失信行为记录名单、未被“国家企业信用信息公示系统”（https://www.gsxt.gov.cn/index.html）列入严重违法失信名单</w:t>
      </w:r>
      <w:r>
        <w:rPr>
          <w:rFonts w:hint="eastAsia" w:ascii="宋体" w:hAnsi="宋体" w:cs="宋体"/>
          <w:color w:val="auto"/>
          <w:sz w:val="21"/>
          <w:szCs w:val="21"/>
          <w:highlight w:val="none"/>
          <w:lang w:eastAsia="zh-CN"/>
        </w:rPr>
        <w:t>；</w:t>
      </w:r>
    </w:p>
    <w:p>
      <w:pPr>
        <w:pageBreakBefore w:val="0"/>
        <w:numPr>
          <w:ilvl w:val="0"/>
          <w:numId w:val="3"/>
        </w:numPr>
        <w:kinsoku/>
        <w:overflowPunct/>
        <w:topLinePunct w:val="0"/>
        <w:bidi w:val="0"/>
        <w:spacing w:line="360" w:lineRule="auto"/>
        <w:ind w:left="425" w:leftChars="0" w:hanging="425" w:firstLineChars="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单位负责人为同一人或者存在直接控股、管理关系的关联企业，不得参加同一合同项下的招标活动；</w:t>
      </w:r>
    </w:p>
    <w:p>
      <w:pPr>
        <w:pageBreakBefore w:val="0"/>
        <w:numPr>
          <w:ilvl w:val="0"/>
          <w:numId w:val="3"/>
        </w:numPr>
        <w:kinsoku/>
        <w:overflowPunct/>
        <w:topLinePunct w:val="0"/>
        <w:bidi w:val="0"/>
        <w:spacing w:line="360" w:lineRule="auto"/>
        <w:ind w:left="425" w:leftChars="0" w:hanging="425" w:firstLineChars="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投标人参加招标活动前三年内（新成立不满三年的公司自成立之日起算）在经营活动中没有重大违法记录；</w:t>
      </w:r>
    </w:p>
    <w:p>
      <w:pPr>
        <w:pageBreakBefore w:val="0"/>
        <w:numPr>
          <w:ilvl w:val="0"/>
          <w:numId w:val="3"/>
        </w:numPr>
        <w:kinsoku/>
        <w:overflowPunct/>
        <w:topLinePunct w:val="0"/>
        <w:bidi w:val="0"/>
        <w:spacing w:line="360" w:lineRule="auto"/>
        <w:ind w:left="425" w:leftChars="0" w:hanging="425" w:firstLineChars="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投标人须具有中国保险监督管理委员会核准颁发的《经营保险业务许可证》（业务范围须涵盖本项目保险服务）；</w:t>
      </w:r>
    </w:p>
    <w:p>
      <w:pPr>
        <w:pageBreakBefore w:val="0"/>
        <w:numPr>
          <w:ilvl w:val="0"/>
          <w:numId w:val="3"/>
        </w:numPr>
        <w:kinsoku/>
        <w:overflowPunct/>
        <w:topLinePunct w:val="0"/>
        <w:bidi w:val="0"/>
        <w:spacing w:line="360" w:lineRule="auto"/>
        <w:ind w:left="425" w:leftChars="0" w:hanging="425" w:firstLineChars="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本项目不接受联合体投标；</w:t>
      </w:r>
    </w:p>
    <w:p>
      <w:pPr>
        <w:pageBreakBefore w:val="0"/>
        <w:numPr>
          <w:ilvl w:val="0"/>
          <w:numId w:val="3"/>
        </w:numPr>
        <w:kinsoku/>
        <w:overflowPunct/>
        <w:topLinePunct w:val="0"/>
        <w:bidi w:val="0"/>
        <w:spacing w:line="360" w:lineRule="auto"/>
        <w:ind w:left="425" w:leftChars="0" w:hanging="425" w:firstLineChars="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本项目不允许分包。</w:t>
      </w:r>
    </w:p>
    <w:p>
      <w:pPr>
        <w:keepNext w:val="0"/>
        <w:keepLines w:val="0"/>
        <w:pageBreakBefore w:val="0"/>
        <w:kinsoku/>
        <w:wordWrap/>
        <w:overflowPunct/>
        <w:topLinePunct w:val="0"/>
        <w:autoSpaceDE/>
        <w:autoSpaceDN/>
        <w:bidi w:val="0"/>
        <w:adjustRightInd/>
        <w:snapToGrid/>
        <w:spacing w:line="360" w:lineRule="auto"/>
        <w:ind w:firstLine="398" w:firstLineChars="200"/>
        <w:jc w:val="left"/>
        <w:textAlignment w:val="auto"/>
        <w:rPr>
          <w:rFonts w:hint="eastAsia" w:ascii="宋体" w:hAnsi="宋体" w:eastAsia="宋体" w:cs="宋体"/>
          <w:color w:val="auto"/>
          <w:spacing w:val="-6"/>
          <w:sz w:val="21"/>
          <w:szCs w:val="21"/>
          <w:highlight w:val="none"/>
        </w:rPr>
      </w:pPr>
      <w:r>
        <w:rPr>
          <w:rFonts w:hint="eastAsia" w:ascii="宋体" w:hAnsi="宋体" w:eastAsia="宋体" w:cs="宋体"/>
          <w:b/>
          <w:color w:val="auto"/>
          <w:spacing w:val="-6"/>
          <w:sz w:val="21"/>
          <w:szCs w:val="21"/>
          <w:highlight w:val="none"/>
        </w:rPr>
        <w:t>3.商务技术文件</w:t>
      </w:r>
    </w:p>
    <w:p>
      <w:pPr>
        <w:keepNext w:val="0"/>
        <w:keepLines w:val="0"/>
        <w:pageBreakBefore w:val="0"/>
        <w:kinsoku/>
        <w:wordWrap/>
        <w:overflowPunct/>
        <w:topLinePunct w:val="0"/>
        <w:autoSpaceDE/>
        <w:autoSpaceDN/>
        <w:bidi w:val="0"/>
        <w:adjustRightInd/>
        <w:snapToGrid/>
        <w:spacing w:line="360" w:lineRule="auto"/>
        <w:ind w:firstLine="396" w:firstLineChars="200"/>
        <w:jc w:val="left"/>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A.商务文件</w:t>
      </w:r>
    </w:p>
    <w:p>
      <w:pPr>
        <w:keepNext w:val="0"/>
        <w:keepLines w:val="0"/>
        <w:pageBreakBefore w:val="0"/>
        <w:kinsoku/>
        <w:wordWrap/>
        <w:overflowPunct/>
        <w:topLinePunct w:val="0"/>
        <w:autoSpaceDE/>
        <w:autoSpaceDN/>
        <w:bidi w:val="0"/>
        <w:adjustRightInd/>
        <w:snapToGrid/>
        <w:spacing w:line="360" w:lineRule="auto"/>
        <w:ind w:firstLine="396" w:firstLineChars="200"/>
        <w:jc w:val="left"/>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1）投标函</w:t>
      </w:r>
    </w:p>
    <w:p>
      <w:pPr>
        <w:pStyle w:val="10"/>
        <w:keepNext w:val="0"/>
        <w:keepLines w:val="0"/>
        <w:pageBreakBefore w:val="0"/>
        <w:kinsoku/>
        <w:wordWrap/>
        <w:overflowPunct/>
        <w:topLinePunct w:val="0"/>
        <w:autoSpaceDE/>
        <w:autoSpaceDN/>
        <w:bidi w:val="0"/>
        <w:adjustRightInd/>
        <w:snapToGrid/>
        <w:spacing w:line="360" w:lineRule="auto"/>
        <w:ind w:firstLine="396" w:firstLineChars="200"/>
        <w:jc w:val="left"/>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2）承诺函</w:t>
      </w:r>
    </w:p>
    <w:p>
      <w:pPr>
        <w:pStyle w:val="10"/>
        <w:keepNext w:val="0"/>
        <w:keepLines w:val="0"/>
        <w:pageBreakBefore w:val="0"/>
        <w:kinsoku/>
        <w:wordWrap/>
        <w:overflowPunct/>
        <w:topLinePunct w:val="0"/>
        <w:autoSpaceDE/>
        <w:autoSpaceDN/>
        <w:bidi w:val="0"/>
        <w:adjustRightInd/>
        <w:snapToGrid/>
        <w:spacing w:line="360" w:lineRule="auto"/>
        <w:ind w:firstLine="396" w:firstLineChars="200"/>
        <w:jc w:val="left"/>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3）法定代表人资格证明书、法定代表人授权委托书</w:t>
      </w:r>
    </w:p>
    <w:p>
      <w:pPr>
        <w:pStyle w:val="10"/>
        <w:keepNext w:val="0"/>
        <w:keepLines w:val="0"/>
        <w:pageBreakBefore w:val="0"/>
        <w:kinsoku/>
        <w:wordWrap/>
        <w:overflowPunct/>
        <w:topLinePunct w:val="0"/>
        <w:autoSpaceDE/>
        <w:autoSpaceDN/>
        <w:bidi w:val="0"/>
        <w:adjustRightInd/>
        <w:snapToGrid/>
        <w:spacing w:line="360" w:lineRule="auto"/>
        <w:ind w:firstLine="396" w:firstLineChars="200"/>
        <w:jc w:val="left"/>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4）</w:t>
      </w:r>
      <w:r>
        <w:rPr>
          <w:rFonts w:hint="eastAsia" w:hAnsi="宋体" w:cs="宋体"/>
          <w:color w:val="auto"/>
          <w:spacing w:val="-6"/>
          <w:sz w:val="21"/>
          <w:szCs w:val="21"/>
          <w:highlight w:val="none"/>
          <w:lang w:val="en-US" w:eastAsia="zh-CN"/>
        </w:rPr>
        <w:t>2025年6月至今</w:t>
      </w:r>
      <w:r>
        <w:rPr>
          <w:rFonts w:hint="eastAsia" w:ascii="宋体" w:hAnsi="宋体" w:eastAsia="宋体" w:cs="宋体"/>
          <w:color w:val="auto"/>
          <w:spacing w:val="-6"/>
          <w:sz w:val="21"/>
          <w:szCs w:val="21"/>
          <w:highlight w:val="none"/>
        </w:rPr>
        <w:t>任意一月的投标授权代表的社保缴纳证明</w:t>
      </w:r>
    </w:p>
    <w:p>
      <w:pPr>
        <w:pStyle w:val="10"/>
        <w:keepNext w:val="0"/>
        <w:keepLines w:val="0"/>
        <w:pageBreakBefore w:val="0"/>
        <w:kinsoku/>
        <w:wordWrap/>
        <w:overflowPunct/>
        <w:topLinePunct w:val="0"/>
        <w:autoSpaceDE/>
        <w:autoSpaceDN/>
        <w:bidi w:val="0"/>
        <w:adjustRightInd/>
        <w:snapToGrid/>
        <w:spacing w:line="360" w:lineRule="auto"/>
        <w:ind w:left="555" w:leftChars="141" w:hanging="160" w:hangingChars="81"/>
        <w:jc w:val="left"/>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5）投标人情况简介</w:t>
      </w:r>
    </w:p>
    <w:p>
      <w:pPr>
        <w:pStyle w:val="10"/>
        <w:keepNext w:val="0"/>
        <w:keepLines w:val="0"/>
        <w:pageBreakBefore w:val="0"/>
        <w:kinsoku/>
        <w:wordWrap/>
        <w:overflowPunct/>
        <w:topLinePunct w:val="0"/>
        <w:autoSpaceDE/>
        <w:autoSpaceDN/>
        <w:bidi w:val="0"/>
        <w:adjustRightInd/>
        <w:snapToGrid/>
        <w:spacing w:line="360" w:lineRule="auto"/>
        <w:ind w:left="555" w:leftChars="141" w:hanging="160" w:hangingChars="81"/>
        <w:jc w:val="left"/>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6）</w:t>
      </w:r>
      <w:r>
        <w:rPr>
          <w:rFonts w:hint="eastAsia" w:ascii="宋体" w:hAnsi="宋体" w:eastAsia="宋体" w:cs="宋体"/>
          <w:color w:val="auto"/>
          <w:spacing w:val="-6"/>
          <w:sz w:val="21"/>
          <w:szCs w:val="21"/>
          <w:highlight w:val="none"/>
          <w:lang w:val="en-US" w:eastAsia="zh-CN"/>
        </w:rPr>
        <w:t>招标需求</w:t>
      </w:r>
      <w:r>
        <w:rPr>
          <w:rFonts w:hint="eastAsia" w:ascii="宋体" w:hAnsi="宋体" w:eastAsia="宋体" w:cs="宋体"/>
          <w:color w:val="auto"/>
          <w:spacing w:val="-6"/>
          <w:sz w:val="21"/>
          <w:szCs w:val="21"/>
          <w:highlight w:val="none"/>
        </w:rPr>
        <w:t>偏离表</w:t>
      </w:r>
    </w:p>
    <w:p>
      <w:pPr>
        <w:pStyle w:val="10"/>
        <w:keepNext w:val="0"/>
        <w:keepLines w:val="0"/>
        <w:pageBreakBefore w:val="0"/>
        <w:kinsoku/>
        <w:wordWrap/>
        <w:overflowPunct/>
        <w:topLinePunct w:val="0"/>
        <w:autoSpaceDE/>
        <w:autoSpaceDN/>
        <w:bidi w:val="0"/>
        <w:adjustRightInd/>
        <w:snapToGrid/>
        <w:spacing w:line="360" w:lineRule="auto"/>
        <w:ind w:left="555" w:leftChars="141" w:hanging="160" w:hangingChars="81"/>
        <w:jc w:val="left"/>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lang w:val="en-US" w:eastAsia="zh-CN"/>
        </w:rPr>
        <w:t>7</w:t>
      </w:r>
      <w:r>
        <w:rPr>
          <w:rFonts w:hint="eastAsia" w:ascii="宋体" w:hAnsi="宋体" w:eastAsia="宋体" w:cs="宋体"/>
          <w:color w:val="auto"/>
          <w:spacing w:val="-6"/>
          <w:sz w:val="21"/>
          <w:szCs w:val="21"/>
          <w:highlight w:val="none"/>
        </w:rPr>
        <w:t>）浙银善标</w:t>
      </w:r>
    </w:p>
    <w:p>
      <w:pPr>
        <w:pStyle w:val="10"/>
        <w:keepNext w:val="0"/>
        <w:keepLines w:val="0"/>
        <w:pageBreakBefore w:val="0"/>
        <w:kinsoku/>
        <w:wordWrap/>
        <w:overflowPunct/>
        <w:topLinePunct w:val="0"/>
        <w:autoSpaceDE/>
        <w:autoSpaceDN/>
        <w:bidi w:val="0"/>
        <w:adjustRightInd/>
        <w:snapToGrid/>
        <w:spacing w:line="360" w:lineRule="auto"/>
        <w:ind w:left="555" w:leftChars="141" w:hanging="160" w:hangingChars="81"/>
        <w:jc w:val="left"/>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lang w:val="en-US" w:eastAsia="zh-CN"/>
        </w:rPr>
        <w:t>8</w:t>
      </w:r>
      <w:r>
        <w:rPr>
          <w:rFonts w:hint="eastAsia" w:ascii="宋体" w:hAnsi="宋体" w:eastAsia="宋体" w:cs="宋体"/>
          <w:color w:val="auto"/>
          <w:spacing w:val="-6"/>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项目保障措施</w:t>
      </w:r>
    </w:p>
    <w:p>
      <w:pPr>
        <w:pStyle w:val="10"/>
        <w:keepNext w:val="0"/>
        <w:keepLines w:val="0"/>
        <w:pageBreakBefore w:val="0"/>
        <w:kinsoku/>
        <w:wordWrap/>
        <w:overflowPunct/>
        <w:topLinePunct w:val="0"/>
        <w:autoSpaceDE/>
        <w:autoSpaceDN/>
        <w:bidi w:val="0"/>
        <w:adjustRightInd/>
        <w:snapToGrid/>
        <w:spacing w:line="360" w:lineRule="auto"/>
        <w:ind w:left="555" w:leftChars="141" w:hanging="160" w:hangingChars="81"/>
        <w:jc w:val="left"/>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lang w:val="en-US" w:eastAsia="zh-CN"/>
        </w:rPr>
        <w:t>9</w:t>
      </w:r>
      <w:r>
        <w:rPr>
          <w:rFonts w:hint="eastAsia" w:ascii="宋体" w:hAnsi="宋体" w:eastAsia="宋体" w:cs="宋体"/>
          <w:color w:val="auto"/>
          <w:spacing w:val="-6"/>
          <w:sz w:val="21"/>
          <w:szCs w:val="21"/>
          <w:highlight w:val="none"/>
        </w:rPr>
        <w:t>）企业经营情况</w:t>
      </w:r>
    </w:p>
    <w:p>
      <w:pPr>
        <w:pStyle w:val="10"/>
        <w:keepNext w:val="0"/>
        <w:keepLines w:val="0"/>
        <w:pageBreakBefore w:val="0"/>
        <w:kinsoku/>
        <w:wordWrap/>
        <w:overflowPunct/>
        <w:topLinePunct w:val="0"/>
        <w:autoSpaceDE/>
        <w:autoSpaceDN/>
        <w:bidi w:val="0"/>
        <w:adjustRightInd/>
        <w:snapToGrid/>
        <w:spacing w:line="360" w:lineRule="auto"/>
        <w:ind w:left="555" w:leftChars="141" w:hanging="160" w:hangingChars="81"/>
        <w:jc w:val="left"/>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lang w:val="en-US" w:eastAsia="zh-CN"/>
        </w:rPr>
        <w:t>10</w:t>
      </w:r>
      <w:r>
        <w:rPr>
          <w:rFonts w:hint="eastAsia" w:ascii="宋体" w:hAnsi="宋体" w:eastAsia="宋体" w:cs="宋体"/>
          <w:color w:val="auto"/>
          <w:spacing w:val="-6"/>
          <w:sz w:val="21"/>
          <w:szCs w:val="21"/>
          <w:highlight w:val="none"/>
        </w:rPr>
        <w:t>）业绩情况</w:t>
      </w:r>
    </w:p>
    <w:p>
      <w:pPr>
        <w:pStyle w:val="10"/>
        <w:keepNext w:val="0"/>
        <w:keepLines w:val="0"/>
        <w:pageBreakBefore w:val="0"/>
        <w:kinsoku/>
        <w:wordWrap/>
        <w:overflowPunct/>
        <w:topLinePunct w:val="0"/>
        <w:autoSpaceDE/>
        <w:autoSpaceDN/>
        <w:bidi w:val="0"/>
        <w:adjustRightInd/>
        <w:snapToGrid/>
        <w:spacing w:line="360" w:lineRule="auto"/>
        <w:ind w:left="555" w:leftChars="141" w:hanging="160" w:hangingChars="81"/>
        <w:jc w:val="left"/>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lang w:val="en-US" w:eastAsia="zh-CN"/>
        </w:rPr>
        <w:t>11</w:t>
      </w:r>
      <w:r>
        <w:rPr>
          <w:rFonts w:hint="eastAsia" w:ascii="宋体" w:hAnsi="宋体" w:eastAsia="宋体" w:cs="宋体"/>
          <w:color w:val="auto"/>
          <w:spacing w:val="-6"/>
          <w:sz w:val="21"/>
          <w:szCs w:val="21"/>
          <w:highlight w:val="none"/>
        </w:rPr>
        <w:t>）投标人需要说明的其他文件和材料</w:t>
      </w:r>
    </w:p>
    <w:p>
      <w:pPr>
        <w:keepNext w:val="0"/>
        <w:keepLines w:val="0"/>
        <w:pageBreakBefore w:val="0"/>
        <w:kinsoku/>
        <w:wordWrap/>
        <w:overflowPunct/>
        <w:topLinePunct w:val="0"/>
        <w:autoSpaceDE/>
        <w:autoSpaceDN/>
        <w:bidi w:val="0"/>
        <w:adjustRightInd/>
        <w:snapToGrid/>
        <w:spacing w:line="360" w:lineRule="auto"/>
        <w:ind w:firstLine="396" w:firstLineChars="200"/>
        <w:jc w:val="left"/>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B.技术文件</w:t>
      </w:r>
    </w:p>
    <w:p>
      <w:pPr>
        <w:keepNext w:val="0"/>
        <w:keepLines w:val="0"/>
        <w:pageBreakBefore w:val="0"/>
        <w:kinsoku/>
        <w:wordWrap/>
        <w:overflowPunct/>
        <w:topLinePunct w:val="0"/>
        <w:autoSpaceDE/>
        <w:autoSpaceDN/>
        <w:bidi w:val="0"/>
        <w:adjustRightInd/>
        <w:snapToGrid/>
        <w:spacing w:line="360" w:lineRule="auto"/>
        <w:ind w:firstLine="396" w:firstLineChars="200"/>
        <w:jc w:val="left"/>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1）技术服务方案 （详见第六章投标文件格式）</w:t>
      </w:r>
    </w:p>
    <w:p>
      <w:pPr>
        <w:pageBreakBefore w:val="0"/>
        <w:kinsoku/>
        <w:overflowPunct/>
        <w:topLinePunct w:val="0"/>
        <w:bidi w:val="0"/>
        <w:spacing w:line="360" w:lineRule="auto"/>
        <w:jc w:val="left"/>
        <w:outlineLvl w:val="1"/>
        <w:rPr>
          <w:rFonts w:hint="eastAsia" w:ascii="宋体" w:hAnsi="宋体" w:eastAsia="宋体" w:cs="宋体"/>
          <w:b/>
          <w:color w:val="auto"/>
          <w:spacing w:val="-6"/>
          <w:sz w:val="21"/>
          <w:szCs w:val="21"/>
          <w:highlight w:val="none"/>
        </w:rPr>
      </w:pPr>
      <w:r>
        <w:rPr>
          <w:rFonts w:hint="eastAsia" w:ascii="宋体" w:hAnsi="宋体" w:eastAsia="宋体" w:cs="宋体"/>
          <w:b/>
          <w:color w:val="auto"/>
          <w:spacing w:val="-6"/>
          <w:sz w:val="21"/>
          <w:szCs w:val="21"/>
          <w:highlight w:val="none"/>
        </w:rPr>
        <w:t>（二）投标文件的编制与签署</w:t>
      </w:r>
    </w:p>
    <w:p>
      <w:pPr>
        <w:pageBreakBefore w:val="0"/>
        <w:kinsoku/>
        <w:overflowPunct/>
        <w:topLinePunct w:val="0"/>
        <w:bidi w:val="0"/>
        <w:spacing w:line="360" w:lineRule="auto"/>
        <w:ind w:firstLine="396"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1.投标人应按本招标文件规定的格式和顺序编制，投标文件内容不完整、编排混乱导致投标文件被误读、漏读或者查找不到相关内容的，是投标人的责任。</w:t>
      </w:r>
    </w:p>
    <w:p>
      <w:pPr>
        <w:pageBreakBefore w:val="0"/>
        <w:kinsoku/>
        <w:overflowPunct/>
        <w:topLinePunct w:val="0"/>
        <w:bidi w:val="0"/>
        <w:spacing w:line="360" w:lineRule="auto"/>
        <w:ind w:firstLine="396"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2.投标文件须由投标人在规定位置盖章并由投标人代表签署，投标人应写全称。</w:t>
      </w:r>
    </w:p>
    <w:p>
      <w:pPr>
        <w:pageBreakBefore w:val="0"/>
        <w:kinsoku/>
        <w:overflowPunct/>
        <w:topLinePunct w:val="0"/>
        <w:bidi w:val="0"/>
        <w:spacing w:line="360" w:lineRule="auto"/>
        <w:ind w:firstLine="396"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3.投标文件不得涂改，若有修改错漏处，须由投标人代表签字并加盖公章。投标文件因字迹潦草或表达不清所引起的后果由投标人负责。</w:t>
      </w:r>
    </w:p>
    <w:p>
      <w:pPr>
        <w:pageBreakBefore w:val="0"/>
        <w:kinsoku/>
        <w:overflowPunct/>
        <w:topLinePunct w:val="0"/>
        <w:bidi w:val="0"/>
        <w:spacing w:line="360" w:lineRule="auto"/>
        <w:jc w:val="left"/>
        <w:outlineLvl w:val="1"/>
        <w:rPr>
          <w:rFonts w:hint="eastAsia" w:ascii="宋体" w:hAnsi="宋体" w:eastAsia="宋体" w:cs="宋体"/>
          <w:b/>
          <w:color w:val="auto"/>
          <w:spacing w:val="-6"/>
          <w:sz w:val="21"/>
          <w:szCs w:val="21"/>
          <w:highlight w:val="none"/>
        </w:rPr>
      </w:pPr>
      <w:r>
        <w:rPr>
          <w:rFonts w:hint="eastAsia" w:ascii="宋体" w:hAnsi="宋体" w:eastAsia="宋体" w:cs="宋体"/>
          <w:b/>
          <w:color w:val="auto"/>
          <w:spacing w:val="-6"/>
          <w:sz w:val="21"/>
          <w:szCs w:val="21"/>
          <w:highlight w:val="none"/>
        </w:rPr>
        <w:t>（三）投标文件递交、修改和撤回</w:t>
      </w:r>
    </w:p>
    <w:p>
      <w:pPr>
        <w:pageBreakBefore w:val="0"/>
        <w:kinsoku/>
        <w:overflowPunct/>
        <w:topLinePunct w:val="0"/>
        <w:bidi w:val="0"/>
        <w:spacing w:line="360" w:lineRule="auto"/>
        <w:ind w:firstLine="396"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1.投标人应当在投标截止时间前完成投标文件的递交，并可以补充、修改或者撤回投标文件。补充或者修改投标文件的，应当先行撤回原文件，补充、修改后重新递交。投标截止时间前未完成递交的，视为撤回投标文件。投标截止时间后递交的投标文件，招标人或招标代理机构将拒收。</w:t>
      </w:r>
    </w:p>
    <w:p>
      <w:pPr>
        <w:pageBreakBefore w:val="0"/>
        <w:kinsoku/>
        <w:overflowPunct/>
        <w:topLinePunct w:val="0"/>
        <w:bidi w:val="0"/>
        <w:spacing w:line="360" w:lineRule="auto"/>
        <w:ind w:firstLine="396"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2.招标人、代理机构可以视情况延长投标文件递交的截止时间。在上述情况下，代理机构与投标人以前在投标截止期方面的全部权利、责任和义务，将适用于延长至新的投标截止期。</w:t>
      </w:r>
    </w:p>
    <w:p>
      <w:pPr>
        <w:pageBreakBefore w:val="0"/>
        <w:kinsoku/>
        <w:overflowPunct/>
        <w:topLinePunct w:val="0"/>
        <w:bidi w:val="0"/>
        <w:spacing w:line="360" w:lineRule="auto"/>
        <w:ind w:firstLine="396"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3. 投标文件份数及递交要求见投标人须知前附表3.11。</w:t>
      </w:r>
    </w:p>
    <w:p>
      <w:pPr>
        <w:pageBreakBefore w:val="0"/>
        <w:kinsoku/>
        <w:overflowPunct/>
        <w:topLinePunct w:val="0"/>
        <w:bidi w:val="0"/>
        <w:spacing w:line="360" w:lineRule="auto"/>
        <w:ind w:firstLine="0" w:firstLineChars="0"/>
        <w:jc w:val="left"/>
        <w:outlineLvl w:val="1"/>
        <w:rPr>
          <w:rFonts w:hint="eastAsia" w:ascii="宋体" w:hAnsi="宋体" w:eastAsia="宋体" w:cs="宋体"/>
          <w:b/>
          <w:color w:val="auto"/>
          <w:spacing w:val="-6"/>
          <w:sz w:val="21"/>
          <w:szCs w:val="21"/>
          <w:highlight w:val="none"/>
        </w:rPr>
      </w:pPr>
      <w:r>
        <w:rPr>
          <w:rFonts w:hint="eastAsia" w:ascii="宋体" w:hAnsi="宋体" w:eastAsia="宋体" w:cs="宋体"/>
          <w:b/>
          <w:color w:val="auto"/>
          <w:spacing w:val="-6"/>
          <w:sz w:val="21"/>
          <w:szCs w:val="21"/>
          <w:highlight w:val="none"/>
        </w:rPr>
        <w:t>（四）投标文件的语言及计量</w:t>
      </w:r>
    </w:p>
    <w:p>
      <w:pPr>
        <w:pageBreakBefore w:val="0"/>
        <w:kinsoku/>
        <w:overflowPunct/>
        <w:topLinePunct w:val="0"/>
        <w:bidi w:val="0"/>
        <w:spacing w:line="360" w:lineRule="auto"/>
        <w:ind w:firstLine="396" w:firstLineChars="200"/>
        <w:jc w:val="left"/>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投标文件以及投标人与招标人或代理机构就有关投标事宜的所有来往函电，均应以中文汉语书写。除签名、盖章、专用名称等特殊情形外，以中文汉语以外的文字表述的投标文件视同未提供（有中文汉语说明的除外）。</w:t>
      </w:r>
    </w:p>
    <w:p>
      <w:pPr>
        <w:pageBreakBefore w:val="0"/>
        <w:kinsoku/>
        <w:overflowPunct/>
        <w:topLinePunct w:val="0"/>
        <w:bidi w:val="0"/>
        <w:spacing w:line="360" w:lineRule="auto"/>
        <w:jc w:val="left"/>
        <w:outlineLvl w:val="1"/>
        <w:rPr>
          <w:rFonts w:hint="eastAsia" w:ascii="宋体" w:hAnsi="宋体" w:eastAsia="宋体" w:cs="宋体"/>
          <w:b/>
          <w:color w:val="auto"/>
          <w:spacing w:val="-6"/>
          <w:sz w:val="21"/>
          <w:szCs w:val="21"/>
          <w:highlight w:val="none"/>
        </w:rPr>
      </w:pPr>
      <w:r>
        <w:rPr>
          <w:rFonts w:hint="eastAsia" w:ascii="宋体" w:hAnsi="宋体" w:eastAsia="宋体" w:cs="宋体"/>
          <w:b/>
          <w:color w:val="auto"/>
          <w:spacing w:val="-6"/>
          <w:sz w:val="21"/>
          <w:szCs w:val="21"/>
          <w:highlight w:val="none"/>
        </w:rPr>
        <w:t>（五）投标报价</w:t>
      </w:r>
    </w:p>
    <w:p>
      <w:pPr>
        <w:pStyle w:val="11"/>
        <w:pageBreakBefore w:val="0"/>
        <w:kinsoku/>
        <w:overflowPunct/>
        <w:topLinePunct w:val="0"/>
        <w:bidi w:val="0"/>
        <w:spacing w:beforeLines="0" w:afterLines="0" w:line="360" w:lineRule="auto"/>
        <w:ind w:firstLine="398" w:firstLineChars="200"/>
        <w:jc w:val="left"/>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1.本次投标采用人民币报价；</w:t>
      </w:r>
    </w:p>
    <w:p>
      <w:pPr>
        <w:pStyle w:val="11"/>
        <w:pageBreakBefore w:val="0"/>
        <w:kinsoku/>
        <w:overflowPunct/>
        <w:topLinePunct w:val="0"/>
        <w:bidi w:val="0"/>
        <w:spacing w:beforeLines="0" w:afterLines="0" w:line="360" w:lineRule="auto"/>
        <w:ind w:firstLine="396" w:firstLineChars="200"/>
        <w:jc w:val="left"/>
        <w:rPr>
          <w:rFonts w:hint="eastAsia" w:ascii="宋体" w:hAnsi="宋体" w:eastAsia="宋体" w:cs="宋体"/>
          <w:b/>
          <w:bCs/>
          <w:color w:val="auto"/>
          <w:spacing w:val="-6"/>
          <w:sz w:val="21"/>
          <w:szCs w:val="21"/>
          <w:highlight w:val="none"/>
        </w:rPr>
      </w:pPr>
      <w:r>
        <w:rPr>
          <w:rFonts w:hint="eastAsia" w:ascii="宋体" w:hAnsi="宋体" w:eastAsia="宋体" w:cs="宋体"/>
          <w:color w:val="auto"/>
          <w:spacing w:val="-6"/>
          <w:sz w:val="21"/>
          <w:szCs w:val="21"/>
          <w:highlight w:val="none"/>
        </w:rPr>
        <w:t>▲</w:t>
      </w:r>
      <w:r>
        <w:rPr>
          <w:rFonts w:hint="eastAsia" w:ascii="宋体" w:hAnsi="宋体" w:eastAsia="宋体" w:cs="宋体"/>
          <w:b/>
          <w:bCs/>
          <w:color w:val="auto"/>
          <w:spacing w:val="-6"/>
          <w:sz w:val="21"/>
          <w:szCs w:val="21"/>
          <w:highlight w:val="none"/>
        </w:rPr>
        <w:t>2.投标报价是指一次性报出不得更改的价格，投标报价应按招标文件中相关附表格式填写；</w:t>
      </w:r>
    </w:p>
    <w:p>
      <w:pPr>
        <w:pStyle w:val="11"/>
        <w:pageBreakBefore w:val="0"/>
        <w:kinsoku/>
        <w:overflowPunct/>
        <w:topLinePunct w:val="0"/>
        <w:bidi w:val="0"/>
        <w:spacing w:beforeLines="0" w:afterLines="0" w:line="360" w:lineRule="auto"/>
        <w:ind w:firstLine="398" w:firstLineChars="200"/>
        <w:jc w:val="left"/>
        <w:rPr>
          <w:rFonts w:hint="eastAsia" w:ascii="宋体" w:hAnsi="宋体" w:eastAsia="宋体" w:cs="宋体"/>
          <w:color w:val="auto"/>
          <w:spacing w:val="-6"/>
          <w:sz w:val="21"/>
          <w:szCs w:val="21"/>
          <w:highlight w:val="none"/>
        </w:rPr>
      </w:pPr>
      <w:r>
        <w:rPr>
          <w:rFonts w:hint="eastAsia" w:ascii="宋体" w:hAnsi="宋体" w:eastAsia="宋体" w:cs="宋体"/>
          <w:b/>
          <w:bCs/>
          <w:color w:val="auto"/>
          <w:spacing w:val="-6"/>
          <w:sz w:val="21"/>
          <w:szCs w:val="21"/>
          <w:highlight w:val="none"/>
        </w:rPr>
        <w:t>▲3.</w:t>
      </w:r>
      <w:r>
        <w:rPr>
          <w:rFonts w:hint="eastAsia" w:ascii="宋体" w:hAnsi="宋体" w:eastAsia="宋体" w:cs="宋体"/>
          <w:color w:val="auto"/>
          <w:spacing w:val="-6"/>
          <w:sz w:val="21"/>
          <w:szCs w:val="21"/>
          <w:highlight w:val="none"/>
        </w:rPr>
        <w:t>投标文件只允许有一个报价，有选择的报价将不予接受。</w:t>
      </w:r>
    </w:p>
    <w:p>
      <w:pPr>
        <w:pageBreakBefore w:val="0"/>
        <w:kinsoku/>
        <w:overflowPunct/>
        <w:topLinePunct w:val="0"/>
        <w:bidi w:val="0"/>
        <w:spacing w:line="360" w:lineRule="auto"/>
        <w:jc w:val="left"/>
        <w:outlineLvl w:val="1"/>
        <w:rPr>
          <w:rFonts w:hint="eastAsia" w:ascii="宋体" w:hAnsi="宋体" w:eastAsia="宋体" w:cs="宋体"/>
          <w:b/>
          <w:color w:val="auto"/>
          <w:spacing w:val="-6"/>
          <w:sz w:val="21"/>
          <w:szCs w:val="21"/>
          <w:highlight w:val="none"/>
        </w:rPr>
      </w:pPr>
      <w:r>
        <w:rPr>
          <w:rFonts w:hint="eastAsia" w:ascii="宋体" w:hAnsi="宋体" w:eastAsia="宋体" w:cs="宋体"/>
          <w:b/>
          <w:color w:val="auto"/>
          <w:spacing w:val="-6"/>
          <w:sz w:val="21"/>
          <w:szCs w:val="21"/>
          <w:highlight w:val="none"/>
        </w:rPr>
        <w:t>（六）投标有效期</w:t>
      </w:r>
    </w:p>
    <w:p>
      <w:pPr>
        <w:pageBreakBefore w:val="0"/>
        <w:kinsoku/>
        <w:overflowPunct/>
        <w:topLinePunct w:val="0"/>
        <w:bidi w:val="0"/>
        <w:spacing w:line="360" w:lineRule="auto"/>
        <w:ind w:firstLine="198" w:firstLineChars="100"/>
        <w:jc w:val="left"/>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▲1.从提交投标文件的截止之日起90天。</w:t>
      </w:r>
    </w:p>
    <w:p>
      <w:pPr>
        <w:pageBreakBefore w:val="0"/>
        <w:kinsoku/>
        <w:overflowPunct/>
        <w:topLinePunct w:val="0"/>
        <w:bidi w:val="0"/>
        <w:spacing w:line="360" w:lineRule="auto"/>
        <w:ind w:firstLine="396" w:firstLineChars="200"/>
        <w:jc w:val="left"/>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2.在原投标有效期满之前，如果出现特殊情况，招标人或代理机构以书面形式通知投标人延长投标有效期。</w:t>
      </w:r>
    </w:p>
    <w:p>
      <w:pPr>
        <w:pStyle w:val="26"/>
        <w:pageBreakBefore w:val="0"/>
        <w:kinsoku/>
        <w:overflowPunct/>
        <w:topLinePunct w:val="0"/>
        <w:bidi w:val="0"/>
        <w:spacing w:before="0"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pacing w:val="-6"/>
          <w:sz w:val="21"/>
          <w:szCs w:val="21"/>
          <w:highlight w:val="none"/>
        </w:rPr>
        <w:t>（七）</w:t>
      </w:r>
      <w:r>
        <w:rPr>
          <w:rFonts w:hint="eastAsia" w:ascii="宋体" w:hAnsi="宋体" w:eastAsia="宋体" w:cs="宋体"/>
          <w:b/>
          <w:color w:val="auto"/>
          <w:sz w:val="21"/>
          <w:szCs w:val="21"/>
          <w:highlight w:val="none"/>
        </w:rPr>
        <w:t>投标保证金</w:t>
      </w:r>
    </w:p>
    <w:p>
      <w:pPr>
        <w:pageBreakBefore w:val="0"/>
        <w:kinsoku/>
        <w:overflowPunct/>
        <w:topLinePunct w:val="0"/>
        <w:bidi w:val="0"/>
        <w:spacing w:line="360" w:lineRule="auto"/>
        <w:ind w:firstLine="396" w:firstLineChars="200"/>
        <w:jc w:val="left"/>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1.投标人应提供前附表中的投标保证金缴纳凭证，作为投标文件的一个组成部分。</w:t>
      </w:r>
    </w:p>
    <w:p>
      <w:pPr>
        <w:pageBreakBefore w:val="0"/>
        <w:kinsoku/>
        <w:overflowPunct/>
        <w:topLinePunct w:val="0"/>
        <w:bidi w:val="0"/>
        <w:spacing w:line="360" w:lineRule="auto"/>
        <w:ind w:firstLine="396" w:firstLineChars="200"/>
        <w:jc w:val="left"/>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2.投标保证金可以用支票、银行汇票及电汇的形式缴纳。</w:t>
      </w:r>
    </w:p>
    <w:p>
      <w:pPr>
        <w:pageBreakBefore w:val="0"/>
        <w:kinsoku/>
        <w:overflowPunct/>
        <w:topLinePunct w:val="0"/>
        <w:bidi w:val="0"/>
        <w:spacing w:line="360" w:lineRule="auto"/>
        <w:ind w:firstLine="396" w:firstLineChars="200"/>
        <w:jc w:val="left"/>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3.采购代理机构将拒绝未能按规定时间和数额提交投标保证金的投标人。</w:t>
      </w:r>
    </w:p>
    <w:p>
      <w:pPr>
        <w:pageBreakBefore w:val="0"/>
        <w:kinsoku/>
        <w:overflowPunct/>
        <w:topLinePunct w:val="0"/>
        <w:bidi w:val="0"/>
        <w:spacing w:line="360" w:lineRule="auto"/>
        <w:ind w:firstLine="396" w:firstLineChars="200"/>
        <w:jc w:val="left"/>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4.</w:t>
      </w:r>
      <w:r>
        <w:rPr>
          <w:rFonts w:hint="eastAsia" w:ascii="宋体" w:hAnsi="宋体" w:eastAsia="宋体" w:cs="宋体"/>
          <w:color w:val="auto"/>
          <w:sz w:val="21"/>
          <w:szCs w:val="21"/>
          <w:highlight w:val="none"/>
          <w:lang w:val="en-US" w:eastAsia="zh-CN"/>
        </w:rPr>
        <w:t>入围供应商</w:t>
      </w:r>
      <w:r>
        <w:rPr>
          <w:rFonts w:hint="eastAsia" w:ascii="宋体" w:hAnsi="宋体" w:eastAsia="宋体" w:cs="宋体"/>
          <w:color w:val="auto"/>
          <w:spacing w:val="-6"/>
          <w:sz w:val="21"/>
          <w:szCs w:val="21"/>
          <w:highlight w:val="none"/>
        </w:rPr>
        <w:t>的投标保证金，自合同签订后五个工作日内退还（因</w:t>
      </w:r>
      <w:r>
        <w:rPr>
          <w:rFonts w:hint="eastAsia" w:ascii="宋体" w:hAnsi="宋体" w:eastAsia="宋体" w:cs="宋体"/>
          <w:color w:val="auto"/>
          <w:sz w:val="21"/>
          <w:szCs w:val="21"/>
          <w:highlight w:val="none"/>
          <w:lang w:val="en-US" w:eastAsia="zh-CN"/>
        </w:rPr>
        <w:t>入围供应商</w:t>
      </w:r>
      <w:r>
        <w:rPr>
          <w:rFonts w:hint="eastAsia" w:ascii="宋体" w:hAnsi="宋体" w:eastAsia="宋体" w:cs="宋体"/>
          <w:color w:val="auto"/>
          <w:spacing w:val="-6"/>
          <w:sz w:val="21"/>
          <w:szCs w:val="21"/>
          <w:highlight w:val="none"/>
        </w:rPr>
        <w:t>自身原因导致无法及时退还的除外）。</w:t>
      </w:r>
    </w:p>
    <w:p>
      <w:pPr>
        <w:pageBreakBefore w:val="0"/>
        <w:kinsoku/>
        <w:overflowPunct/>
        <w:topLinePunct w:val="0"/>
        <w:bidi w:val="0"/>
        <w:spacing w:line="360" w:lineRule="auto"/>
        <w:ind w:firstLine="396" w:firstLineChars="200"/>
        <w:jc w:val="left"/>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5.未</w:t>
      </w:r>
      <w:r>
        <w:rPr>
          <w:rFonts w:hint="eastAsia" w:ascii="宋体" w:hAnsi="宋体" w:eastAsia="宋体" w:cs="宋体"/>
          <w:color w:val="auto"/>
          <w:spacing w:val="-6"/>
          <w:sz w:val="21"/>
          <w:szCs w:val="21"/>
          <w:highlight w:val="none"/>
          <w:lang w:val="en-US" w:eastAsia="zh-CN"/>
        </w:rPr>
        <w:t>入围</w:t>
      </w:r>
      <w:r>
        <w:rPr>
          <w:rFonts w:hint="eastAsia" w:ascii="宋体" w:hAnsi="宋体" w:eastAsia="宋体" w:cs="宋体"/>
          <w:color w:val="auto"/>
          <w:spacing w:val="-6"/>
          <w:sz w:val="21"/>
          <w:szCs w:val="21"/>
          <w:highlight w:val="none"/>
        </w:rPr>
        <w:t>的投标保证金，自</w:t>
      </w:r>
      <w:r>
        <w:rPr>
          <w:rFonts w:hint="eastAsia" w:ascii="宋体" w:hAnsi="宋体" w:eastAsia="宋体" w:cs="宋体"/>
          <w:color w:val="auto"/>
          <w:spacing w:val="-6"/>
          <w:sz w:val="21"/>
          <w:szCs w:val="21"/>
          <w:highlight w:val="none"/>
          <w:lang w:eastAsia="zh-CN"/>
        </w:rPr>
        <w:t>入围</w:t>
      </w:r>
      <w:r>
        <w:rPr>
          <w:rFonts w:hint="eastAsia" w:ascii="宋体" w:hAnsi="宋体" w:eastAsia="宋体" w:cs="宋体"/>
          <w:color w:val="auto"/>
          <w:spacing w:val="-6"/>
          <w:sz w:val="21"/>
          <w:szCs w:val="21"/>
          <w:highlight w:val="none"/>
        </w:rPr>
        <w:t>通知书发出后五个工作日内退还（因</w:t>
      </w:r>
      <w:r>
        <w:rPr>
          <w:rFonts w:hint="eastAsia" w:ascii="宋体" w:hAnsi="宋体" w:eastAsia="宋体" w:cs="宋体"/>
          <w:color w:val="auto"/>
          <w:sz w:val="21"/>
          <w:szCs w:val="21"/>
          <w:highlight w:val="none"/>
          <w:lang w:val="en-US" w:eastAsia="zh-CN"/>
        </w:rPr>
        <w:t>入围供应商</w:t>
      </w:r>
      <w:r>
        <w:rPr>
          <w:rFonts w:hint="eastAsia" w:ascii="宋体" w:hAnsi="宋体" w:eastAsia="宋体" w:cs="宋体"/>
          <w:color w:val="auto"/>
          <w:spacing w:val="-6"/>
          <w:sz w:val="21"/>
          <w:szCs w:val="21"/>
          <w:highlight w:val="none"/>
        </w:rPr>
        <w:t>自身原因导致无法及时退还的除外）。</w:t>
      </w:r>
    </w:p>
    <w:p>
      <w:pPr>
        <w:pageBreakBefore w:val="0"/>
        <w:kinsoku/>
        <w:overflowPunct/>
        <w:topLinePunct w:val="0"/>
        <w:bidi w:val="0"/>
        <w:spacing w:line="360" w:lineRule="auto"/>
        <w:ind w:firstLine="396" w:firstLineChars="200"/>
        <w:jc w:val="left"/>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6.如投标人有下列情况，投标保证金将不予退还：</w:t>
      </w:r>
    </w:p>
    <w:p>
      <w:pPr>
        <w:pageBreakBefore w:val="0"/>
        <w:kinsoku/>
        <w:overflowPunct/>
        <w:topLinePunct w:val="0"/>
        <w:bidi w:val="0"/>
        <w:spacing w:line="360" w:lineRule="auto"/>
        <w:ind w:firstLine="396" w:firstLineChars="200"/>
        <w:jc w:val="left"/>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1）投标人在投标截止时间后撤销投标文件的；</w:t>
      </w:r>
    </w:p>
    <w:p>
      <w:pPr>
        <w:pageBreakBefore w:val="0"/>
        <w:kinsoku/>
        <w:overflowPunct/>
        <w:topLinePunct w:val="0"/>
        <w:bidi w:val="0"/>
        <w:spacing w:line="360" w:lineRule="auto"/>
        <w:ind w:firstLine="396" w:firstLineChars="200"/>
        <w:jc w:val="left"/>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2）投标人在投标期间有弄虚作假、串标、哄抬标价等违规违法行为；</w:t>
      </w:r>
    </w:p>
    <w:p>
      <w:pPr>
        <w:pageBreakBefore w:val="0"/>
        <w:kinsoku/>
        <w:overflowPunct/>
        <w:topLinePunct w:val="0"/>
        <w:bidi w:val="0"/>
        <w:spacing w:line="360" w:lineRule="auto"/>
        <w:ind w:firstLine="396" w:firstLineChars="200"/>
        <w:jc w:val="left"/>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3）投标人未按规定签订合同或转让</w:t>
      </w:r>
      <w:r>
        <w:rPr>
          <w:rFonts w:hint="eastAsia" w:ascii="宋体" w:hAnsi="宋体" w:eastAsia="宋体" w:cs="宋体"/>
          <w:color w:val="auto"/>
          <w:spacing w:val="-6"/>
          <w:sz w:val="21"/>
          <w:szCs w:val="21"/>
          <w:highlight w:val="none"/>
          <w:lang w:eastAsia="zh-CN"/>
        </w:rPr>
        <w:t>入围</w:t>
      </w:r>
      <w:r>
        <w:rPr>
          <w:rFonts w:hint="eastAsia" w:ascii="宋体" w:hAnsi="宋体" w:eastAsia="宋体" w:cs="宋体"/>
          <w:color w:val="auto"/>
          <w:spacing w:val="-6"/>
          <w:sz w:val="21"/>
          <w:szCs w:val="21"/>
          <w:highlight w:val="none"/>
        </w:rPr>
        <w:t>的。</w:t>
      </w:r>
    </w:p>
    <w:p>
      <w:pPr>
        <w:pageBreakBefore w:val="0"/>
        <w:kinsoku/>
        <w:overflowPunct/>
        <w:topLinePunct w:val="0"/>
        <w:bidi w:val="0"/>
        <w:spacing w:line="360" w:lineRule="auto"/>
        <w:jc w:val="left"/>
        <w:outlineLvl w:val="1"/>
        <w:rPr>
          <w:rFonts w:hint="eastAsia" w:ascii="宋体" w:hAnsi="宋体" w:eastAsia="宋体" w:cs="宋体"/>
          <w:b/>
          <w:color w:val="auto"/>
          <w:spacing w:val="-6"/>
          <w:sz w:val="21"/>
          <w:szCs w:val="21"/>
          <w:highlight w:val="none"/>
        </w:rPr>
      </w:pPr>
      <w:r>
        <w:rPr>
          <w:rFonts w:hint="eastAsia" w:ascii="宋体" w:hAnsi="宋体" w:eastAsia="宋体" w:cs="宋体"/>
          <w:b/>
          <w:color w:val="auto"/>
          <w:spacing w:val="-6"/>
          <w:sz w:val="21"/>
          <w:szCs w:val="21"/>
          <w:highlight w:val="none"/>
        </w:rPr>
        <w:t>（八）资格审查不通过、投标无效的情形</w:t>
      </w:r>
    </w:p>
    <w:p>
      <w:pPr>
        <w:pageBreakBefore w:val="0"/>
        <w:widowControl/>
        <w:kinsoku/>
        <w:overflowPunct/>
        <w:topLinePunct w:val="0"/>
        <w:bidi w:val="0"/>
        <w:spacing w:line="360" w:lineRule="auto"/>
        <w:ind w:firstLine="398" w:firstLineChars="200"/>
        <w:jc w:val="left"/>
        <w:rPr>
          <w:rFonts w:hint="eastAsia" w:ascii="宋体" w:hAnsi="宋体" w:eastAsia="宋体" w:cs="宋体"/>
          <w:b/>
          <w:color w:val="auto"/>
          <w:spacing w:val="-6"/>
          <w:sz w:val="21"/>
          <w:szCs w:val="21"/>
          <w:highlight w:val="none"/>
        </w:rPr>
      </w:pPr>
      <w:r>
        <w:rPr>
          <w:rFonts w:hint="eastAsia" w:ascii="宋体" w:hAnsi="宋体" w:eastAsia="宋体" w:cs="宋体"/>
          <w:b/>
          <w:color w:val="auto"/>
          <w:spacing w:val="-6"/>
          <w:sz w:val="21"/>
          <w:szCs w:val="21"/>
          <w:highlight w:val="none"/>
        </w:rPr>
        <w:t>1.在资格审查时，如发现下列情形之一的，投标人将被视为资格审查不通过：</w:t>
      </w:r>
    </w:p>
    <w:p>
      <w:pPr>
        <w:pageBreakBefore w:val="0"/>
        <w:kinsoku/>
        <w:overflowPunct/>
        <w:topLinePunct w:val="0"/>
        <w:bidi w:val="0"/>
        <w:spacing w:line="360" w:lineRule="auto"/>
        <w:ind w:firstLine="396"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1）资格证明材料不全的，或者不符合招标文件要求的；</w:t>
      </w:r>
    </w:p>
    <w:p>
      <w:pPr>
        <w:pageBreakBefore w:val="0"/>
        <w:kinsoku/>
        <w:overflowPunct/>
        <w:topLinePunct w:val="0"/>
        <w:bidi w:val="0"/>
        <w:spacing w:line="360" w:lineRule="auto"/>
        <w:ind w:firstLine="396"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2）投标人不具备招标文件中规定的资格要求的。</w:t>
      </w:r>
    </w:p>
    <w:p>
      <w:pPr>
        <w:pageBreakBefore w:val="0"/>
        <w:kinsoku/>
        <w:overflowPunct/>
        <w:topLinePunct w:val="0"/>
        <w:bidi w:val="0"/>
        <w:spacing w:line="360" w:lineRule="auto"/>
        <w:ind w:firstLine="398" w:firstLineChars="200"/>
        <w:rPr>
          <w:rFonts w:hint="eastAsia" w:ascii="宋体" w:hAnsi="宋体" w:eastAsia="宋体" w:cs="宋体"/>
          <w:b/>
          <w:color w:val="auto"/>
          <w:spacing w:val="-6"/>
          <w:sz w:val="21"/>
          <w:szCs w:val="21"/>
          <w:highlight w:val="none"/>
        </w:rPr>
      </w:pPr>
      <w:r>
        <w:rPr>
          <w:rFonts w:hint="eastAsia" w:ascii="宋体" w:hAnsi="宋体" w:eastAsia="宋体" w:cs="宋体"/>
          <w:b/>
          <w:color w:val="auto"/>
          <w:spacing w:val="-6"/>
          <w:sz w:val="21"/>
          <w:szCs w:val="21"/>
          <w:highlight w:val="none"/>
        </w:rPr>
        <w:t>2.在符合性审查、商务和技术评审时，如发现下列情形之一的，投标文件将被视为无效：</w:t>
      </w:r>
    </w:p>
    <w:p>
      <w:pPr>
        <w:pageBreakBefore w:val="0"/>
        <w:kinsoku/>
        <w:overflowPunct/>
        <w:topLinePunct w:val="0"/>
        <w:bidi w:val="0"/>
        <w:spacing w:line="360" w:lineRule="auto"/>
        <w:ind w:firstLine="396"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1）资格文件及商务技术文件未按要求签署、盖章的；</w:t>
      </w:r>
    </w:p>
    <w:p>
      <w:pPr>
        <w:pageBreakBefore w:val="0"/>
        <w:kinsoku/>
        <w:overflowPunct/>
        <w:topLinePunct w:val="0"/>
        <w:bidi w:val="0"/>
        <w:spacing w:line="360" w:lineRule="auto"/>
        <w:ind w:firstLine="396"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2）未提供或未按要求提供投标函、法定代表人资格证明书、法定代表人授权委托书的；</w:t>
      </w:r>
    </w:p>
    <w:p>
      <w:pPr>
        <w:pageBreakBefore w:val="0"/>
        <w:kinsoku/>
        <w:overflowPunct/>
        <w:topLinePunct w:val="0"/>
        <w:bidi w:val="0"/>
        <w:spacing w:line="360" w:lineRule="auto"/>
        <w:ind w:firstLine="396"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3）</w:t>
      </w:r>
      <w:r>
        <w:rPr>
          <w:rFonts w:hint="eastAsia" w:ascii="宋体" w:hAnsi="宋体" w:eastAsia="宋体" w:cs="宋体"/>
          <w:bCs/>
          <w:color w:val="auto"/>
          <w:spacing w:val="-6"/>
          <w:sz w:val="21"/>
          <w:szCs w:val="21"/>
          <w:highlight w:val="none"/>
        </w:rPr>
        <w:t>法定代表人委托授权代表参加投标但未提供投标授权代表社保缴纳证明的；</w:t>
      </w:r>
    </w:p>
    <w:p>
      <w:pPr>
        <w:pageBreakBefore w:val="0"/>
        <w:kinsoku/>
        <w:overflowPunct/>
        <w:topLinePunct w:val="0"/>
        <w:bidi w:val="0"/>
        <w:spacing w:line="360" w:lineRule="auto"/>
        <w:ind w:firstLine="396"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4）未提供或未如实提供</w:t>
      </w:r>
      <w:r>
        <w:rPr>
          <w:rFonts w:hint="eastAsia" w:ascii="宋体" w:hAnsi="宋体" w:eastAsia="宋体" w:cs="宋体"/>
          <w:color w:val="auto"/>
          <w:spacing w:val="-6"/>
          <w:sz w:val="21"/>
          <w:szCs w:val="21"/>
          <w:highlight w:val="none"/>
          <w:lang w:val="en-US" w:eastAsia="zh-CN"/>
        </w:rPr>
        <w:t>招标需求</w:t>
      </w:r>
      <w:r>
        <w:rPr>
          <w:rFonts w:hint="eastAsia" w:ascii="宋体" w:hAnsi="宋体" w:eastAsia="宋体" w:cs="宋体"/>
          <w:color w:val="auto"/>
          <w:spacing w:val="-6"/>
          <w:sz w:val="21"/>
          <w:szCs w:val="21"/>
          <w:highlight w:val="none"/>
        </w:rPr>
        <w:t>偏离表的；</w:t>
      </w:r>
    </w:p>
    <w:p>
      <w:pPr>
        <w:pageBreakBefore w:val="0"/>
        <w:kinsoku/>
        <w:overflowPunct/>
        <w:topLinePunct w:val="0"/>
        <w:bidi w:val="0"/>
        <w:spacing w:line="360" w:lineRule="auto"/>
        <w:ind w:firstLine="396"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5）明显不符合招标文件要求，或者与招标文件中标“▲”的项目发生实质性偏离的；</w:t>
      </w:r>
    </w:p>
    <w:p>
      <w:pPr>
        <w:pageBreakBefore w:val="0"/>
        <w:kinsoku/>
        <w:overflowPunct/>
        <w:topLinePunct w:val="0"/>
        <w:bidi w:val="0"/>
        <w:spacing w:line="360" w:lineRule="auto"/>
        <w:ind w:firstLine="396"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6）未提供或未如实提供服务方案，或者投标文件标明的响应或偏离与事实不符或虚假投标的；</w:t>
      </w:r>
    </w:p>
    <w:p>
      <w:pPr>
        <w:pageBreakBefore w:val="0"/>
        <w:kinsoku/>
        <w:overflowPunct/>
        <w:topLinePunct w:val="0"/>
        <w:bidi w:val="0"/>
        <w:spacing w:line="360" w:lineRule="auto"/>
        <w:ind w:firstLine="396"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7）投标服务方案不明确，存在一个或一个以上备选（替代）投标方案的；</w:t>
      </w:r>
    </w:p>
    <w:p>
      <w:pPr>
        <w:pageBreakBefore w:val="0"/>
        <w:kinsoku/>
        <w:overflowPunct/>
        <w:topLinePunct w:val="0"/>
        <w:bidi w:val="0"/>
        <w:spacing w:line="360" w:lineRule="auto"/>
        <w:ind w:firstLine="396"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8）投标文件含有招标人不能接受的附加条件的；</w:t>
      </w:r>
    </w:p>
    <w:p>
      <w:pPr>
        <w:pageBreakBefore w:val="0"/>
        <w:kinsoku/>
        <w:overflowPunct/>
        <w:topLinePunct w:val="0"/>
        <w:bidi w:val="0"/>
        <w:spacing w:line="360" w:lineRule="auto"/>
        <w:ind w:firstLine="396"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9）投标人未按照招标文件的要求提供投标保证金的；</w:t>
      </w:r>
    </w:p>
    <w:p>
      <w:pPr>
        <w:pageBreakBefore w:val="0"/>
        <w:kinsoku/>
        <w:overflowPunct/>
        <w:topLinePunct w:val="0"/>
        <w:bidi w:val="0"/>
        <w:spacing w:line="360" w:lineRule="auto"/>
        <w:ind w:firstLine="396"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10）法律、法规和招标文件规定的其他无效情形。</w:t>
      </w:r>
    </w:p>
    <w:p>
      <w:pPr>
        <w:pageBreakBefore w:val="0"/>
        <w:widowControl/>
        <w:kinsoku/>
        <w:overflowPunct/>
        <w:topLinePunct w:val="0"/>
        <w:bidi w:val="0"/>
        <w:spacing w:line="360" w:lineRule="auto"/>
        <w:ind w:firstLine="398" w:firstLineChars="200"/>
        <w:jc w:val="left"/>
        <w:rPr>
          <w:rFonts w:hint="eastAsia" w:ascii="宋体" w:hAnsi="宋体" w:eastAsia="宋体" w:cs="宋体"/>
          <w:b/>
          <w:color w:val="auto"/>
          <w:spacing w:val="-6"/>
          <w:sz w:val="21"/>
          <w:szCs w:val="21"/>
          <w:highlight w:val="none"/>
        </w:rPr>
      </w:pPr>
      <w:r>
        <w:rPr>
          <w:rFonts w:hint="eastAsia" w:ascii="宋体" w:hAnsi="宋体" w:eastAsia="宋体" w:cs="宋体"/>
          <w:b/>
          <w:color w:val="auto"/>
          <w:spacing w:val="-6"/>
          <w:sz w:val="21"/>
          <w:szCs w:val="21"/>
          <w:highlight w:val="none"/>
        </w:rPr>
        <w:t>3.在报价评审时，如发现下列情形之一的，投标文件将被视为无效：</w:t>
      </w:r>
    </w:p>
    <w:p>
      <w:pPr>
        <w:pageBreakBefore w:val="0"/>
        <w:widowControl/>
        <w:kinsoku/>
        <w:overflowPunct/>
        <w:topLinePunct w:val="0"/>
        <w:bidi w:val="0"/>
        <w:spacing w:line="360" w:lineRule="auto"/>
        <w:ind w:firstLine="396" w:firstLineChars="200"/>
        <w:jc w:val="left"/>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1）报价文件未按要求签署、盖章的；</w:t>
      </w:r>
    </w:p>
    <w:p>
      <w:pPr>
        <w:pageBreakBefore w:val="0"/>
        <w:widowControl/>
        <w:kinsoku/>
        <w:overflowPunct/>
        <w:topLinePunct w:val="0"/>
        <w:bidi w:val="0"/>
        <w:spacing w:line="360" w:lineRule="auto"/>
        <w:ind w:firstLine="396" w:firstLineChars="200"/>
        <w:jc w:val="left"/>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2）未按照招标文件标明的方式报价的；</w:t>
      </w:r>
    </w:p>
    <w:p>
      <w:pPr>
        <w:pageBreakBefore w:val="0"/>
        <w:widowControl/>
        <w:kinsoku/>
        <w:overflowPunct/>
        <w:topLinePunct w:val="0"/>
        <w:bidi w:val="0"/>
        <w:spacing w:line="360" w:lineRule="auto"/>
        <w:ind w:firstLine="396" w:firstLineChars="200"/>
        <w:jc w:val="left"/>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lang w:val="en-US" w:eastAsia="zh-CN"/>
        </w:rPr>
        <w:t>3</w:t>
      </w:r>
      <w:r>
        <w:rPr>
          <w:rFonts w:hint="eastAsia" w:ascii="宋体" w:hAnsi="宋体" w:eastAsia="宋体" w:cs="宋体"/>
          <w:color w:val="auto"/>
          <w:spacing w:val="-6"/>
          <w:sz w:val="21"/>
          <w:szCs w:val="21"/>
          <w:highlight w:val="none"/>
        </w:rPr>
        <w:t>）报价具有选择性，或者开标价格与投标文件承诺的优惠（折扣）价格不一致的；</w:t>
      </w:r>
    </w:p>
    <w:p>
      <w:pPr>
        <w:pageBreakBefore w:val="0"/>
        <w:widowControl/>
        <w:kinsoku/>
        <w:overflowPunct/>
        <w:topLinePunct w:val="0"/>
        <w:bidi w:val="0"/>
        <w:spacing w:line="360" w:lineRule="auto"/>
        <w:ind w:firstLine="396" w:firstLineChars="200"/>
        <w:jc w:val="left"/>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lang w:val="en-US" w:eastAsia="zh-CN"/>
        </w:rPr>
        <w:t>4</w:t>
      </w:r>
      <w:r>
        <w:rPr>
          <w:rFonts w:hint="eastAsia" w:ascii="宋体" w:hAnsi="宋体" w:eastAsia="宋体" w:cs="宋体"/>
          <w:color w:val="auto"/>
          <w:spacing w:val="-6"/>
          <w:sz w:val="21"/>
          <w:szCs w:val="21"/>
          <w:highlight w:val="none"/>
        </w:rPr>
        <w:t>）投标人的报价明显低于其他通过符合性审查投标人的报价，有可能影响产品质量或者不能诚信履约的，应当要求其在评标现场合理的时间内提供书面说明，必要时提交相关证明材料；投标人不能证明其报价合理性的</w:t>
      </w:r>
      <w:r>
        <w:rPr>
          <w:rFonts w:hint="eastAsia" w:ascii="宋体" w:hAnsi="宋体" w:eastAsia="宋体" w:cs="宋体"/>
          <w:color w:val="auto"/>
          <w:spacing w:val="-6"/>
          <w:sz w:val="21"/>
          <w:szCs w:val="21"/>
          <w:highlight w:val="none"/>
          <w:lang w:eastAsia="zh-CN"/>
        </w:rPr>
        <w:t>；</w:t>
      </w:r>
    </w:p>
    <w:p>
      <w:pPr>
        <w:pStyle w:val="9"/>
        <w:ind w:firstLine="396" w:firstLineChars="20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lang w:val="en-US" w:eastAsia="zh-CN"/>
        </w:rPr>
        <w:t>5）</w:t>
      </w:r>
      <w:r>
        <w:rPr>
          <w:rFonts w:hint="eastAsia" w:ascii="宋体" w:hAnsi="宋体" w:eastAsia="宋体" w:cs="宋体"/>
          <w:color w:val="auto"/>
          <w:spacing w:val="-6"/>
          <w:sz w:val="21"/>
          <w:szCs w:val="21"/>
          <w:highlight w:val="none"/>
        </w:rPr>
        <w:t>投标报价超过招标文件载明的最高限价的。</w:t>
      </w:r>
      <w:r>
        <w:rPr>
          <w:rFonts w:hint="eastAsia"/>
          <w:sz w:val="21"/>
          <w:szCs w:val="21"/>
          <w:lang w:eastAsia="zh-CN"/>
        </w:rPr>
        <w:t>（</w:t>
      </w:r>
      <w:r>
        <w:rPr>
          <w:rFonts w:hint="eastAsia"/>
          <w:sz w:val="21"/>
          <w:szCs w:val="21"/>
          <w:lang w:val="en-US" w:eastAsia="zh-CN"/>
        </w:rPr>
        <w:t>本项目不适用）</w:t>
      </w:r>
    </w:p>
    <w:p>
      <w:pPr>
        <w:rPr>
          <w:rFonts w:hint="default" w:eastAsia="宋体"/>
          <w:sz w:val="21"/>
          <w:szCs w:val="21"/>
          <w:lang w:val="en-US" w:eastAsia="zh-CN"/>
        </w:rPr>
        <w:sectPr>
          <w:pgSz w:w="11906" w:h="16838"/>
          <w:pgMar w:top="1440" w:right="1800" w:bottom="1440" w:left="1800" w:header="851" w:footer="992" w:gutter="0"/>
          <w:cols w:space="425" w:num="1"/>
          <w:docGrid w:type="lines" w:linePitch="312" w:charSpace="0"/>
        </w:sectPr>
      </w:pPr>
    </w:p>
    <w:p>
      <w:pPr>
        <w:pageBreakBefore w:val="0"/>
        <w:widowControl/>
        <w:kinsoku/>
        <w:overflowPunct/>
        <w:topLinePunct w:val="0"/>
        <w:bidi w:val="0"/>
        <w:spacing w:line="360" w:lineRule="auto"/>
        <w:outlineLvl w:val="1"/>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四、开  标</w:t>
      </w:r>
    </w:p>
    <w:p>
      <w:pPr>
        <w:pStyle w:val="10"/>
        <w:keepNext w:val="0"/>
        <w:keepLines w:val="0"/>
        <w:pageBreakBefore w:val="0"/>
        <w:widowControl w:val="0"/>
        <w:kinsoku/>
        <w:wordWrap/>
        <w:overflowPunct/>
        <w:topLinePunct w:val="0"/>
        <w:autoSpaceDE/>
        <w:autoSpaceDN/>
        <w:bidi w:val="0"/>
        <w:adjustRightInd/>
        <w:snapToGrid/>
        <w:spacing w:line="360" w:lineRule="auto"/>
        <w:ind w:firstLine="0"/>
        <w:textAlignment w:val="auto"/>
        <w:outlineLvl w:val="1"/>
        <w:rPr>
          <w:rFonts w:hint="eastAsia" w:ascii="宋体" w:hAnsi="宋体" w:eastAsia="宋体" w:cs="宋体"/>
          <w:b/>
          <w:color w:val="auto"/>
          <w:spacing w:val="-6"/>
          <w:sz w:val="21"/>
          <w:szCs w:val="21"/>
          <w:highlight w:val="none"/>
        </w:rPr>
      </w:pPr>
      <w:r>
        <w:rPr>
          <w:rFonts w:hint="eastAsia" w:ascii="宋体" w:hAnsi="宋体" w:eastAsia="宋体" w:cs="宋体"/>
          <w:b/>
          <w:color w:val="auto"/>
          <w:spacing w:val="-6"/>
          <w:sz w:val="21"/>
          <w:szCs w:val="21"/>
          <w:highlight w:val="none"/>
        </w:rPr>
        <w:t>（一）开标准备</w:t>
      </w:r>
    </w:p>
    <w:p>
      <w:pPr>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1.制订开标、评审工作的组织方案，落实工作场地、设施。</w:t>
      </w:r>
    </w:p>
    <w:p>
      <w:pPr>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2.通知或邀请相关单位和人员出席开标、评审活动。</w:t>
      </w:r>
    </w:p>
    <w:p>
      <w:pPr>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3.准备相关文件资料，如专家抽取有关凭证、项目书面说明、招标文件、补充文件及质疑答复情况、现场工作所需的相关登记表单、评审工作底稿等。</w:t>
      </w:r>
    </w:p>
    <w:p>
      <w:pPr>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4.其他应准备的事项。</w:t>
      </w:r>
    </w:p>
    <w:p>
      <w:pPr>
        <w:pStyle w:val="10"/>
        <w:keepNext w:val="0"/>
        <w:keepLines w:val="0"/>
        <w:pageBreakBefore w:val="0"/>
        <w:widowControl w:val="0"/>
        <w:kinsoku/>
        <w:wordWrap/>
        <w:overflowPunct/>
        <w:topLinePunct w:val="0"/>
        <w:autoSpaceDE/>
        <w:autoSpaceDN/>
        <w:bidi w:val="0"/>
        <w:adjustRightInd/>
        <w:snapToGrid/>
        <w:spacing w:line="360" w:lineRule="auto"/>
        <w:ind w:firstLine="0"/>
        <w:textAlignment w:val="auto"/>
        <w:outlineLvl w:val="1"/>
        <w:rPr>
          <w:rFonts w:hint="eastAsia" w:ascii="宋体" w:hAnsi="宋体" w:eastAsia="宋体" w:cs="宋体"/>
          <w:b/>
          <w:color w:val="auto"/>
          <w:spacing w:val="-6"/>
          <w:sz w:val="21"/>
          <w:szCs w:val="21"/>
          <w:highlight w:val="none"/>
        </w:rPr>
      </w:pPr>
      <w:r>
        <w:rPr>
          <w:rFonts w:hint="eastAsia" w:ascii="宋体" w:hAnsi="宋体" w:eastAsia="宋体" w:cs="宋体"/>
          <w:b/>
          <w:color w:val="auto"/>
          <w:spacing w:val="-6"/>
          <w:sz w:val="21"/>
          <w:szCs w:val="21"/>
          <w:highlight w:val="none"/>
        </w:rPr>
        <w:t>（二）开标程序</w:t>
      </w:r>
    </w:p>
    <w:p>
      <w:pPr>
        <w:pStyle w:val="10"/>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代理机构按照招标文件规定的时间、地点和程序组织开标，具体按以下程序进行：</w:t>
      </w:r>
    </w:p>
    <w:p>
      <w:pPr>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1.代理机构按照招标文件规定的时间、地点和程序组织开标。投标人不足3家的，不得开标。</w:t>
      </w:r>
    </w:p>
    <w:p>
      <w:pPr>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2.检查投标文件的密封情况，由投标人代表或者其推选的代表检查。</w:t>
      </w:r>
    </w:p>
    <w:p>
      <w:pPr>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3.招标人代表按照招标文件要求对投标人的“报价文件”、“资格文件”、“商务技术文件”进行拆封,并宣读投标文件份数；公布投标单位、投标报价及其他内容。</w:t>
      </w:r>
    </w:p>
    <w:p>
      <w:pPr>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default"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4.招标人或招标代理机构按本招标文件规定的时间、地点和程序组织开标，各投标人均应当准时参加；投标人对开标有异议的，应当在开标时提出，招标人当场作出答复，并制作记录；投标人未参加开标程序的，不得对采购相关人员、开标过程和开标结果提出异议。</w:t>
      </w:r>
    </w:p>
    <w:p>
      <w:pPr>
        <w:pStyle w:val="3"/>
        <w:rPr>
          <w:rFonts w:hint="eastAsia" w:ascii="宋体" w:hAnsi="宋体" w:eastAsia="宋体" w:cs="宋体"/>
          <w:color w:val="auto"/>
          <w:spacing w:val="-6"/>
          <w:sz w:val="24"/>
          <w:szCs w:val="24"/>
          <w:highlight w:val="none"/>
        </w:rPr>
      </w:pPr>
    </w:p>
    <w:p>
      <w:pPr>
        <w:rPr>
          <w:rFonts w:hint="eastAsia"/>
        </w:rPr>
        <w:sectPr>
          <w:pgSz w:w="11906" w:h="16838"/>
          <w:pgMar w:top="1440" w:right="1800" w:bottom="1440" w:left="1800" w:header="851" w:footer="992" w:gutter="0"/>
          <w:cols w:space="425" w:num="1"/>
          <w:docGrid w:type="lines" w:linePitch="312" w:charSpace="0"/>
        </w:sectPr>
      </w:pPr>
    </w:p>
    <w:p>
      <w:pPr>
        <w:pStyle w:val="10"/>
        <w:pageBreakBefore w:val="0"/>
        <w:kinsoku/>
        <w:overflowPunct/>
        <w:topLinePunct w:val="0"/>
        <w:bidi w:val="0"/>
        <w:spacing w:line="360" w:lineRule="auto"/>
        <w:ind w:firstLine="0"/>
        <w:outlineLvl w:val="1"/>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五、评  标</w:t>
      </w:r>
    </w:p>
    <w:p>
      <w:pPr>
        <w:pStyle w:val="10"/>
        <w:keepNext w:val="0"/>
        <w:keepLines w:val="0"/>
        <w:pageBreakBefore w:val="0"/>
        <w:widowControl w:val="0"/>
        <w:kinsoku/>
        <w:wordWrap/>
        <w:overflowPunct/>
        <w:topLinePunct w:val="0"/>
        <w:autoSpaceDE/>
        <w:autoSpaceDN/>
        <w:bidi w:val="0"/>
        <w:adjustRightInd/>
        <w:snapToGrid/>
        <w:spacing w:line="360" w:lineRule="auto"/>
        <w:ind w:firstLine="0"/>
        <w:textAlignment w:val="auto"/>
        <w:outlineLvl w:val="1"/>
        <w:rPr>
          <w:rFonts w:hint="eastAsia" w:ascii="宋体" w:hAnsi="宋体" w:eastAsia="宋体" w:cs="宋体"/>
          <w:b/>
          <w:color w:val="auto"/>
          <w:spacing w:val="-6"/>
          <w:sz w:val="21"/>
          <w:szCs w:val="21"/>
          <w:highlight w:val="none"/>
        </w:rPr>
      </w:pPr>
      <w:r>
        <w:rPr>
          <w:rFonts w:hint="eastAsia" w:ascii="宋体" w:hAnsi="宋体" w:eastAsia="宋体" w:cs="宋体"/>
          <w:b/>
          <w:color w:val="auto"/>
          <w:spacing w:val="-6"/>
          <w:sz w:val="21"/>
          <w:szCs w:val="21"/>
          <w:highlight w:val="none"/>
        </w:rPr>
        <w:t>（一）组建评标委员会</w:t>
      </w:r>
    </w:p>
    <w:p>
      <w:pPr>
        <w:pStyle w:val="11"/>
        <w:keepNext w:val="0"/>
        <w:keepLines w:val="0"/>
        <w:pageBreakBefore w:val="0"/>
        <w:widowControl w:val="0"/>
        <w:kinsoku/>
        <w:wordWrap/>
        <w:overflowPunct/>
        <w:topLinePunct w:val="0"/>
        <w:autoSpaceDE/>
        <w:autoSpaceDN/>
        <w:bidi w:val="0"/>
        <w:adjustRightInd/>
        <w:snapToGrid/>
        <w:spacing w:beforeLines="0" w:afterLines="0" w:line="360" w:lineRule="auto"/>
        <w:ind w:firstLine="396"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本项目评标委员会依据相关法律法规组建，成员人数为5人及以上单数。</w:t>
      </w:r>
    </w:p>
    <w:p>
      <w:pPr>
        <w:pStyle w:val="10"/>
        <w:keepNext w:val="0"/>
        <w:keepLines w:val="0"/>
        <w:pageBreakBefore w:val="0"/>
        <w:widowControl w:val="0"/>
        <w:kinsoku/>
        <w:wordWrap/>
        <w:overflowPunct/>
        <w:topLinePunct w:val="0"/>
        <w:autoSpaceDE/>
        <w:autoSpaceDN/>
        <w:bidi w:val="0"/>
        <w:adjustRightInd/>
        <w:snapToGrid/>
        <w:spacing w:line="360" w:lineRule="auto"/>
        <w:ind w:firstLine="0"/>
        <w:textAlignment w:val="auto"/>
        <w:outlineLvl w:val="1"/>
        <w:rPr>
          <w:rFonts w:hint="eastAsia" w:ascii="宋体" w:hAnsi="宋体" w:eastAsia="宋体" w:cs="宋体"/>
          <w:b/>
          <w:color w:val="auto"/>
          <w:spacing w:val="-6"/>
          <w:sz w:val="21"/>
          <w:szCs w:val="21"/>
          <w:highlight w:val="none"/>
        </w:rPr>
      </w:pPr>
      <w:r>
        <w:rPr>
          <w:rFonts w:hint="eastAsia" w:ascii="宋体" w:hAnsi="宋体" w:eastAsia="宋体" w:cs="宋体"/>
          <w:b/>
          <w:color w:val="auto"/>
          <w:spacing w:val="-6"/>
          <w:sz w:val="21"/>
          <w:szCs w:val="21"/>
          <w:highlight w:val="none"/>
        </w:rPr>
        <w:t>（二）评标的方式</w:t>
      </w:r>
    </w:p>
    <w:p>
      <w:pPr>
        <w:pStyle w:val="10"/>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本项目采用不公开方式评标，评标的依据为招标文件和投标文件。</w:t>
      </w:r>
    </w:p>
    <w:p>
      <w:pPr>
        <w:pStyle w:val="10"/>
        <w:keepNext w:val="0"/>
        <w:keepLines w:val="0"/>
        <w:pageBreakBefore w:val="0"/>
        <w:widowControl w:val="0"/>
        <w:kinsoku/>
        <w:wordWrap/>
        <w:overflowPunct/>
        <w:topLinePunct w:val="0"/>
        <w:autoSpaceDE/>
        <w:autoSpaceDN/>
        <w:bidi w:val="0"/>
        <w:adjustRightInd/>
        <w:snapToGrid/>
        <w:spacing w:line="360" w:lineRule="auto"/>
        <w:ind w:firstLine="0"/>
        <w:textAlignment w:val="auto"/>
        <w:outlineLvl w:val="1"/>
        <w:rPr>
          <w:rFonts w:hint="eastAsia" w:ascii="宋体" w:hAnsi="宋体" w:eastAsia="宋体" w:cs="宋体"/>
          <w:b/>
          <w:color w:val="auto"/>
          <w:spacing w:val="-6"/>
          <w:sz w:val="21"/>
          <w:szCs w:val="21"/>
          <w:highlight w:val="none"/>
        </w:rPr>
      </w:pPr>
      <w:r>
        <w:rPr>
          <w:rFonts w:hint="eastAsia" w:ascii="宋体" w:hAnsi="宋体" w:eastAsia="宋体" w:cs="宋体"/>
          <w:b/>
          <w:color w:val="auto"/>
          <w:spacing w:val="-6"/>
          <w:sz w:val="21"/>
          <w:szCs w:val="21"/>
          <w:highlight w:val="none"/>
        </w:rPr>
        <w:t>（三）评标程序</w:t>
      </w:r>
    </w:p>
    <w:p>
      <w:pPr>
        <w:pStyle w:val="10"/>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代理机构按照招标文件规定的时间、地点及程序组织评审。评审活动一般应按以下程序组织开展：</w:t>
      </w:r>
    </w:p>
    <w:p>
      <w:pPr>
        <w:pStyle w:val="10"/>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1.核验出席评审活动现场的评标委员会各成员身份，并要求其分别登记、签到，按规定统一收缴、保存其通讯工具，无关人员一律拒绝其进入评审现场。</w:t>
      </w:r>
    </w:p>
    <w:p>
      <w:pPr>
        <w:pStyle w:val="10"/>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2.介绍评审现场的人员情况，宣布评审工作纪律，告知评标委员会应当回避情形；组织推选评标委员会组长。</w:t>
      </w:r>
    </w:p>
    <w:p>
      <w:pPr>
        <w:pStyle w:val="10"/>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3.参加本项目招标的投标人名单及资格预审情况（如有），宣读最终提交投标文件的投标人名单，组织评标委员会各位成员签订《评审人员廉洁自律承诺书》。</w:t>
      </w:r>
    </w:p>
    <w:p>
      <w:pPr>
        <w:pStyle w:val="10"/>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4.根据需要简要介绍招标文件（含补充文件）制定及质疑答复情况、按书面陈述项目基本情况及评审工作需注意事项等，让评审专家尽快知悉和了解所评审项目的招标需求、评审依据、评审标准、工作程序等；提醒评标委员会对客观评审项目应统一评审依据和评审标准，对主观评审项目应确定大致的评审要求和评审尺度；对评标委员会提出的有关招标文件、投标文件的问题进行必要的说明、解释或讨论。</w:t>
      </w:r>
    </w:p>
    <w:p>
      <w:pPr>
        <w:pStyle w:val="10"/>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5.评标委员会组长组织评标委员会独立评审。评标委员会对拟认定为投标文件无效的，应组织相关投标人代表进行陈述、澄清或申辩；代理机构可协助评标委员会组长对打分结果进行校对、核对并汇总统计；对明显畸高、畸低的评分（其</w:t>
      </w:r>
      <w:r>
        <w:rPr>
          <w:rFonts w:hint="eastAsia" w:ascii="宋体" w:hAnsi="宋体" w:eastAsia="宋体" w:cs="宋体"/>
          <w:color w:val="auto"/>
          <w:spacing w:val="-6"/>
          <w:sz w:val="21"/>
          <w:szCs w:val="21"/>
          <w:highlight w:val="none"/>
          <w:lang w:val="en-US" w:eastAsia="zh-CN"/>
        </w:rPr>
        <w:t>主观</w:t>
      </w:r>
      <w:r>
        <w:rPr>
          <w:rFonts w:hint="eastAsia" w:ascii="宋体" w:hAnsi="宋体" w:eastAsia="宋体" w:cs="宋体"/>
          <w:color w:val="auto"/>
          <w:spacing w:val="-6"/>
          <w:sz w:val="21"/>
          <w:szCs w:val="21"/>
          <w:highlight w:val="none"/>
        </w:rPr>
        <w:t>评分偏离平均分30%以上的），评标委员会组长应提醒相关评审人员进行复核或书面说明理由，评审人员拒绝说明的，将如实记录在评审报告中；评审人员的评审记录应保留原件，随项目其他资料一并存档。</w:t>
      </w:r>
    </w:p>
    <w:p>
      <w:pPr>
        <w:pStyle w:val="10"/>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6.做好评审现场相关记录，协助评标委员会组长做好评审报告起草、有关内容电脑文字录入等工作，并要求评标委员会各成员签字确认。</w:t>
      </w:r>
    </w:p>
    <w:p>
      <w:pPr>
        <w:pStyle w:val="10"/>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7.评审结束后，代理机构交还评审人员及其他现场相关人员的通讯工具。</w:t>
      </w:r>
    </w:p>
    <w:p>
      <w:pPr>
        <w:pStyle w:val="10"/>
        <w:keepNext w:val="0"/>
        <w:keepLines w:val="0"/>
        <w:pageBreakBefore w:val="0"/>
        <w:widowControl w:val="0"/>
        <w:kinsoku/>
        <w:wordWrap/>
        <w:overflowPunct/>
        <w:topLinePunct w:val="0"/>
        <w:autoSpaceDE/>
        <w:autoSpaceDN/>
        <w:bidi w:val="0"/>
        <w:adjustRightInd/>
        <w:snapToGrid/>
        <w:spacing w:line="360" w:lineRule="auto"/>
        <w:ind w:firstLine="0"/>
        <w:textAlignment w:val="auto"/>
        <w:outlineLvl w:val="1"/>
        <w:rPr>
          <w:rFonts w:hint="eastAsia" w:ascii="宋体" w:hAnsi="宋体" w:eastAsia="宋体" w:cs="宋体"/>
          <w:b/>
          <w:color w:val="auto"/>
          <w:spacing w:val="-6"/>
          <w:sz w:val="21"/>
          <w:szCs w:val="21"/>
          <w:highlight w:val="none"/>
        </w:rPr>
      </w:pPr>
      <w:r>
        <w:rPr>
          <w:rFonts w:hint="eastAsia" w:ascii="宋体" w:hAnsi="宋体" w:eastAsia="宋体" w:cs="宋体"/>
          <w:b/>
          <w:color w:val="auto"/>
          <w:spacing w:val="-6"/>
          <w:sz w:val="21"/>
          <w:szCs w:val="21"/>
          <w:highlight w:val="none"/>
        </w:rPr>
        <w:t>（四）澄清问题的形式</w:t>
      </w:r>
    </w:p>
    <w:p>
      <w:pPr>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投标文件中有含义不明确的内容、明显文字或者计算错误，评标委员会认为需要投标人作出必要澄清、说明的，书面通知投标人。</w:t>
      </w:r>
    </w:p>
    <w:p>
      <w:pPr>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投标人的澄清、说明应当采用书面形式，并不得超出投标文件的范围或者改变投标文件的实质性内容。</w:t>
      </w:r>
    </w:p>
    <w:p>
      <w:pPr>
        <w:pStyle w:val="10"/>
        <w:keepNext w:val="0"/>
        <w:keepLines w:val="0"/>
        <w:pageBreakBefore w:val="0"/>
        <w:widowControl w:val="0"/>
        <w:kinsoku/>
        <w:wordWrap/>
        <w:overflowPunct/>
        <w:topLinePunct w:val="0"/>
        <w:autoSpaceDE/>
        <w:autoSpaceDN/>
        <w:bidi w:val="0"/>
        <w:adjustRightInd/>
        <w:snapToGrid/>
        <w:spacing w:line="360" w:lineRule="auto"/>
        <w:ind w:firstLine="0"/>
        <w:textAlignment w:val="auto"/>
        <w:outlineLvl w:val="1"/>
        <w:rPr>
          <w:rFonts w:hint="eastAsia" w:ascii="宋体" w:hAnsi="宋体" w:eastAsia="宋体" w:cs="宋体"/>
          <w:b/>
          <w:color w:val="auto"/>
          <w:spacing w:val="-6"/>
          <w:sz w:val="21"/>
          <w:szCs w:val="21"/>
          <w:highlight w:val="none"/>
        </w:rPr>
      </w:pPr>
      <w:r>
        <w:rPr>
          <w:rFonts w:hint="eastAsia" w:ascii="宋体" w:hAnsi="宋体" w:eastAsia="宋体" w:cs="宋体"/>
          <w:b/>
          <w:color w:val="auto"/>
          <w:spacing w:val="-6"/>
          <w:sz w:val="21"/>
          <w:szCs w:val="21"/>
          <w:highlight w:val="none"/>
        </w:rPr>
        <w:t>（五）错误修正</w:t>
      </w:r>
    </w:p>
    <w:p>
      <w:pPr>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投标文件报价出现前后不一致的，除招标文件另有规定外，按照下列规定修正：</w:t>
      </w:r>
    </w:p>
    <w:p>
      <w:pPr>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1.投标文件中开标一览表内容与投标文件中相应内容不一致的，以开标一览表为准；</w:t>
      </w:r>
    </w:p>
    <w:p>
      <w:pPr>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2.大写金额和小写金额不一致的，以大写金额为准；</w:t>
      </w:r>
    </w:p>
    <w:p>
      <w:pPr>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3.单价金额小数点或者百分比有明显错位的，以开标一览表的总价为准，并修改单价；</w:t>
      </w:r>
    </w:p>
    <w:p>
      <w:pPr>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4.总价金额与按单价汇总金额不一致的，以单价金额计算结果为准；</w:t>
      </w:r>
    </w:p>
    <w:p>
      <w:pPr>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5.不含税价经计算与含税价不一致的，以不含税价为准修正含税价。如修正后的含税价格低于投标人的含税报价，以修正后的含税价格为准签订合同；如修正后的含税价格高于投标人的含税报价，则以投标人含税报价为准签订合同。</w:t>
      </w:r>
    </w:p>
    <w:p>
      <w:pPr>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同时出现两种以上不一致的，按照前款规定的顺序修正。修正后的报价按照（四）澄清问题的形式第二款的规定经投标人确认后产生约束力，投标人不确认的，其投标无效。</w:t>
      </w:r>
    </w:p>
    <w:p>
      <w:pPr>
        <w:pStyle w:val="10"/>
        <w:keepNext w:val="0"/>
        <w:keepLines w:val="0"/>
        <w:pageBreakBefore w:val="0"/>
        <w:widowControl w:val="0"/>
        <w:kinsoku/>
        <w:wordWrap/>
        <w:overflowPunct/>
        <w:topLinePunct w:val="0"/>
        <w:autoSpaceDE/>
        <w:autoSpaceDN/>
        <w:bidi w:val="0"/>
        <w:adjustRightInd/>
        <w:snapToGrid/>
        <w:spacing w:line="360" w:lineRule="auto"/>
        <w:ind w:firstLine="0"/>
        <w:textAlignment w:val="auto"/>
        <w:outlineLvl w:val="1"/>
        <w:rPr>
          <w:rFonts w:hint="eastAsia" w:ascii="宋体" w:hAnsi="宋体" w:eastAsia="宋体" w:cs="宋体"/>
          <w:b/>
          <w:color w:val="auto"/>
          <w:spacing w:val="-6"/>
          <w:sz w:val="21"/>
          <w:szCs w:val="21"/>
          <w:highlight w:val="none"/>
        </w:rPr>
      </w:pPr>
      <w:r>
        <w:rPr>
          <w:rFonts w:hint="eastAsia" w:ascii="宋体" w:hAnsi="宋体" w:eastAsia="宋体" w:cs="宋体"/>
          <w:b/>
          <w:color w:val="auto"/>
          <w:spacing w:val="-6"/>
          <w:sz w:val="21"/>
          <w:szCs w:val="21"/>
          <w:highlight w:val="none"/>
        </w:rPr>
        <w:t>（六）评标原则和评标办法</w:t>
      </w:r>
    </w:p>
    <w:p>
      <w:pPr>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1.评标委员会成员应当按照客观、公正、审慎的原则，根据招标文件规定的评标程序、评标方法和评标标准进行独立评审。招标文件内容违反国家有关强制性规定的，评标委员会应当停止评标并向招标人或者代理机构说明情况。</w:t>
      </w:r>
    </w:p>
    <w:p>
      <w:pPr>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2.评标中因评标委员会成员缺席、回避或者健康等特殊原因导致评标委员会组成不符合规定的，依法补足后继续评标。被更换的评标委员会成员所作出的评标意见无效。</w:t>
      </w:r>
    </w:p>
    <w:p>
      <w:pPr>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3.评标委员会成员对需要共同认定的事项存在争议的，应当按照少数服从多数的原则作出结论。持不同意见的评标委员会成员应当在评标报告上签署不同意见及理由，否则视为同意评标报告。</w:t>
      </w:r>
    </w:p>
    <w:p>
      <w:pPr>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4.评标办法。本项目评标办法是综合评分法，具体评标内容及评分标准等详见《第四章：评标办法及评分标准》。</w:t>
      </w:r>
    </w:p>
    <w:p>
      <w:pPr>
        <w:pStyle w:val="10"/>
        <w:keepNext w:val="0"/>
        <w:keepLines w:val="0"/>
        <w:pageBreakBefore w:val="0"/>
        <w:widowControl w:val="0"/>
        <w:kinsoku/>
        <w:wordWrap/>
        <w:overflowPunct/>
        <w:topLinePunct w:val="0"/>
        <w:autoSpaceDE/>
        <w:autoSpaceDN/>
        <w:bidi w:val="0"/>
        <w:adjustRightInd/>
        <w:snapToGrid/>
        <w:spacing w:line="360" w:lineRule="auto"/>
        <w:ind w:firstLine="0"/>
        <w:textAlignment w:val="auto"/>
        <w:outlineLvl w:val="1"/>
        <w:rPr>
          <w:rFonts w:hint="eastAsia" w:ascii="宋体" w:hAnsi="宋体" w:eastAsia="宋体" w:cs="宋体"/>
          <w:b/>
          <w:color w:val="auto"/>
          <w:spacing w:val="-6"/>
          <w:sz w:val="21"/>
          <w:szCs w:val="21"/>
          <w:highlight w:val="none"/>
        </w:rPr>
      </w:pPr>
      <w:r>
        <w:rPr>
          <w:rFonts w:hint="eastAsia" w:ascii="宋体" w:hAnsi="宋体" w:eastAsia="宋体" w:cs="宋体"/>
          <w:b/>
          <w:color w:val="auto"/>
          <w:spacing w:val="-6"/>
          <w:sz w:val="21"/>
          <w:szCs w:val="21"/>
          <w:highlight w:val="none"/>
        </w:rPr>
        <w:t>（七）合同授予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6"/>
          <w:sz w:val="21"/>
          <w:szCs w:val="21"/>
          <w:highlight w:val="none"/>
        </w:rPr>
      </w:pPr>
      <w:r>
        <w:rPr>
          <w:rFonts w:hint="eastAsia" w:ascii="宋体" w:hAnsi="宋体" w:cs="宋体"/>
          <w:color w:val="auto"/>
          <w:sz w:val="21"/>
          <w:szCs w:val="21"/>
          <w:highlight w:val="none"/>
          <w:lang w:val="en-US" w:eastAsia="zh-CN"/>
        </w:rPr>
        <w:t>入围供应商数量及规则调整为：如有效投标供应商大于等于4家，按综合评分从高到低选取前3家入围；如有效投标供应商为3家，按综合评分从高到低选取前2家入围；</w:t>
      </w:r>
      <w:r>
        <w:rPr>
          <w:rFonts w:hint="eastAsia" w:ascii="宋体" w:hAnsi="宋体" w:eastAsia="宋体" w:cs="宋体"/>
          <w:color w:val="auto"/>
          <w:sz w:val="21"/>
          <w:szCs w:val="21"/>
          <w:highlight w:val="none"/>
          <w:lang w:val="en-US" w:eastAsia="zh-CN"/>
        </w:rPr>
        <w:t>如有效响应供应商数量小于3家，则重新招标。入围供应商</w:t>
      </w:r>
      <w:r>
        <w:rPr>
          <w:rFonts w:hint="eastAsia" w:ascii="宋体" w:hAnsi="宋体" w:eastAsia="宋体" w:cs="宋体"/>
          <w:color w:val="auto"/>
          <w:spacing w:val="-6"/>
          <w:sz w:val="21"/>
          <w:szCs w:val="21"/>
          <w:highlight w:val="none"/>
        </w:rPr>
        <w:t>无正当理由不与招标人订立合同，在签订合同时向招标人提出附加条件，或者不按照招标文件要求提交履约保证金的，取消其</w:t>
      </w:r>
      <w:r>
        <w:rPr>
          <w:rFonts w:hint="eastAsia" w:ascii="宋体" w:hAnsi="宋体" w:eastAsia="宋体" w:cs="宋体"/>
          <w:color w:val="auto"/>
          <w:spacing w:val="-6"/>
          <w:sz w:val="21"/>
          <w:szCs w:val="21"/>
          <w:highlight w:val="none"/>
          <w:lang w:eastAsia="zh-CN"/>
        </w:rPr>
        <w:t>入围</w:t>
      </w:r>
      <w:r>
        <w:rPr>
          <w:rFonts w:hint="eastAsia" w:ascii="宋体" w:hAnsi="宋体" w:eastAsia="宋体" w:cs="宋体"/>
          <w:color w:val="auto"/>
          <w:spacing w:val="-6"/>
          <w:sz w:val="21"/>
          <w:szCs w:val="21"/>
          <w:highlight w:val="none"/>
        </w:rPr>
        <w:t>资格，招标人可以确定排名次之的投标人为</w:t>
      </w:r>
      <w:r>
        <w:rPr>
          <w:rFonts w:hint="eastAsia" w:ascii="宋体" w:hAnsi="宋体" w:eastAsia="宋体" w:cs="宋体"/>
          <w:color w:val="auto"/>
          <w:spacing w:val="-6"/>
          <w:sz w:val="21"/>
          <w:szCs w:val="21"/>
          <w:highlight w:val="none"/>
          <w:lang w:eastAsia="zh-CN"/>
        </w:rPr>
        <w:t>入围</w:t>
      </w:r>
      <w:r>
        <w:rPr>
          <w:rFonts w:hint="eastAsia" w:ascii="宋体" w:hAnsi="宋体" w:eastAsia="宋体" w:cs="宋体"/>
          <w:color w:val="auto"/>
          <w:spacing w:val="-6"/>
          <w:sz w:val="21"/>
          <w:szCs w:val="21"/>
          <w:highlight w:val="none"/>
        </w:rPr>
        <w:t>候选人或重新组织招标。</w:t>
      </w:r>
    </w:p>
    <w:p>
      <w:pPr>
        <w:rPr>
          <w:rFonts w:hint="eastAsia"/>
          <w:sz w:val="21"/>
          <w:szCs w:val="21"/>
        </w:rPr>
        <w:sectPr>
          <w:pgSz w:w="11906" w:h="16838"/>
          <w:pgMar w:top="1440" w:right="1800" w:bottom="1440" w:left="1800" w:header="851" w:footer="992" w:gutter="0"/>
          <w:cols w:space="425" w:num="1"/>
          <w:docGrid w:type="lines" w:linePitch="312" w:charSpace="0"/>
        </w:sectPr>
      </w:pPr>
    </w:p>
    <w:p>
      <w:pPr>
        <w:pStyle w:val="11"/>
        <w:pageBreakBefore w:val="0"/>
        <w:numPr>
          <w:ilvl w:val="0"/>
          <w:numId w:val="0"/>
        </w:numPr>
        <w:kinsoku/>
        <w:overflowPunct/>
        <w:topLinePunct w:val="0"/>
        <w:bidi w:val="0"/>
        <w:spacing w:beforeLines="0" w:afterLines="0" w:line="360" w:lineRule="auto"/>
        <w:jc w:val="center"/>
        <w:outlineLvl w:val="0"/>
        <w:rPr>
          <w:rFonts w:hint="eastAsia" w:ascii="宋体" w:hAnsi="宋体" w:eastAsia="宋体" w:cs="宋体"/>
          <w:b/>
          <w:color w:val="auto"/>
          <w:spacing w:val="-6"/>
          <w:sz w:val="32"/>
          <w:szCs w:val="32"/>
          <w:highlight w:val="none"/>
        </w:rPr>
      </w:pPr>
      <w:r>
        <w:rPr>
          <w:rFonts w:hint="eastAsia" w:hAnsi="宋体" w:cs="宋体"/>
          <w:b/>
          <w:color w:val="auto"/>
          <w:spacing w:val="-6"/>
          <w:sz w:val="32"/>
          <w:szCs w:val="32"/>
          <w:highlight w:val="none"/>
          <w:lang w:eastAsia="zh-CN"/>
        </w:rPr>
        <w:t>第三章</w:t>
      </w:r>
      <w:r>
        <w:rPr>
          <w:rFonts w:hint="eastAsia" w:hAnsi="宋体" w:cs="宋体"/>
          <w:b/>
          <w:color w:val="auto"/>
          <w:spacing w:val="-6"/>
          <w:sz w:val="32"/>
          <w:szCs w:val="32"/>
          <w:highlight w:val="none"/>
          <w:lang w:val="en-US" w:eastAsia="zh-CN"/>
        </w:rPr>
        <w:t xml:space="preserve"> </w:t>
      </w:r>
      <w:r>
        <w:rPr>
          <w:rFonts w:hint="eastAsia" w:ascii="宋体" w:hAnsi="宋体" w:eastAsia="宋体" w:cs="宋体"/>
          <w:b/>
          <w:color w:val="auto"/>
          <w:spacing w:val="-6"/>
          <w:sz w:val="32"/>
          <w:szCs w:val="32"/>
          <w:highlight w:val="none"/>
        </w:rPr>
        <w:t>招标需求</w:t>
      </w:r>
    </w:p>
    <w:p>
      <w:pPr>
        <w:spacing w:line="560" w:lineRule="exact"/>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lang w:val="en-US" w:eastAsia="zh-CN"/>
        </w:rPr>
        <w:t>项目基本内容</w:t>
      </w:r>
    </w:p>
    <w:tbl>
      <w:tblPr>
        <w:tblStyle w:val="22"/>
        <w:tblW w:w="96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8"/>
        <w:gridCol w:w="1416"/>
        <w:gridCol w:w="5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468" w:type="dxa"/>
            <w:vAlign w:val="center"/>
          </w:tcPr>
          <w:p>
            <w:pPr>
              <w:spacing w:line="360" w:lineRule="auto"/>
              <w:contextualSpacing/>
              <w:jc w:val="center"/>
              <w:outlineLvl w:val="1"/>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项目内容</w:t>
            </w:r>
          </w:p>
        </w:tc>
        <w:tc>
          <w:tcPr>
            <w:tcW w:w="1416" w:type="dxa"/>
            <w:vAlign w:val="center"/>
          </w:tcPr>
          <w:p>
            <w:pPr>
              <w:spacing w:line="360" w:lineRule="auto"/>
              <w:contextualSpacing/>
              <w:jc w:val="center"/>
              <w:outlineLvl w:val="1"/>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数量</w:t>
            </w:r>
          </w:p>
        </w:tc>
        <w:tc>
          <w:tcPr>
            <w:tcW w:w="5742" w:type="dxa"/>
            <w:vAlign w:val="center"/>
          </w:tcPr>
          <w:p>
            <w:pPr>
              <w:spacing w:line="360" w:lineRule="auto"/>
              <w:contextualSpacing/>
              <w:jc w:val="center"/>
              <w:outlineLvl w:val="1"/>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trPr>
        <w:tc>
          <w:tcPr>
            <w:tcW w:w="2468" w:type="dxa"/>
            <w:vAlign w:val="center"/>
          </w:tcPr>
          <w:p>
            <w:pPr>
              <w:spacing w:line="360" w:lineRule="auto"/>
              <w:contextualSpacing/>
              <w:outlineLvl w:val="1"/>
              <w:rPr>
                <w:rFonts w:hint="eastAsia"/>
                <w:color w:val="auto"/>
                <w:sz w:val="21"/>
                <w:szCs w:val="21"/>
                <w:highlight w:val="none"/>
              </w:rPr>
            </w:pPr>
            <w:r>
              <w:rPr>
                <w:rFonts w:hint="eastAsia" w:ascii="宋体" w:hAnsi="宋体" w:eastAsia="宋体" w:cs="宋体"/>
                <w:color w:val="auto"/>
                <w:kern w:val="0"/>
                <w:sz w:val="21"/>
                <w:szCs w:val="21"/>
                <w:highlight w:val="none"/>
                <w:lang w:val="en-US" w:eastAsia="zh-CN" w:bidi="ar-SA"/>
              </w:rPr>
              <w:t>选取入围贷款押品财产保险公司</w:t>
            </w:r>
            <w:r>
              <w:rPr>
                <w:rFonts w:hint="eastAsia" w:ascii="宋体" w:hAnsi="宋体" w:cs="宋体"/>
                <w:color w:val="auto"/>
                <w:kern w:val="0"/>
                <w:sz w:val="21"/>
                <w:szCs w:val="21"/>
                <w:highlight w:val="none"/>
                <w:lang w:val="en-US" w:eastAsia="zh-CN" w:bidi="ar-SA"/>
              </w:rPr>
              <w:t>3</w:t>
            </w:r>
            <w:r>
              <w:rPr>
                <w:rFonts w:hint="eastAsia" w:ascii="宋体" w:hAnsi="宋体" w:eastAsia="宋体" w:cs="宋体"/>
                <w:color w:val="auto"/>
                <w:kern w:val="0"/>
                <w:sz w:val="21"/>
                <w:szCs w:val="21"/>
                <w:highlight w:val="none"/>
                <w:lang w:val="en-US" w:eastAsia="zh-CN" w:bidi="ar-SA"/>
              </w:rPr>
              <w:t>家，为浙商银行股份有限公司</w:t>
            </w:r>
            <w:r>
              <w:rPr>
                <w:rFonts w:hint="eastAsia" w:ascii="宋体" w:hAnsi="宋体" w:cs="宋体"/>
                <w:color w:val="auto"/>
                <w:kern w:val="0"/>
                <w:sz w:val="21"/>
                <w:szCs w:val="21"/>
                <w:highlight w:val="none"/>
                <w:lang w:val="en-US" w:eastAsia="zh-CN" w:bidi="ar-SA"/>
              </w:rPr>
              <w:t>台州</w:t>
            </w:r>
            <w:r>
              <w:rPr>
                <w:rFonts w:hint="eastAsia" w:ascii="宋体" w:hAnsi="宋体" w:eastAsia="宋体" w:cs="宋体"/>
                <w:color w:val="auto"/>
                <w:kern w:val="0"/>
                <w:sz w:val="21"/>
                <w:szCs w:val="21"/>
                <w:highlight w:val="none"/>
                <w:lang w:val="en-US" w:eastAsia="zh-CN" w:bidi="ar-SA"/>
              </w:rPr>
              <w:t>分行对本行公司抵押贷款客户提供财产保险服务</w:t>
            </w:r>
            <w:r>
              <w:rPr>
                <w:rFonts w:hint="eastAsia" w:ascii="宋体" w:hAnsi="宋体" w:cs="宋体"/>
                <w:color w:val="auto"/>
                <w:kern w:val="0"/>
                <w:sz w:val="21"/>
                <w:szCs w:val="21"/>
                <w:highlight w:val="none"/>
                <w:lang w:val="en-US" w:eastAsia="zh-CN" w:bidi="ar-SA"/>
              </w:rPr>
              <w:t>。</w:t>
            </w:r>
          </w:p>
        </w:tc>
        <w:tc>
          <w:tcPr>
            <w:tcW w:w="1416" w:type="dxa"/>
            <w:vAlign w:val="center"/>
          </w:tcPr>
          <w:p>
            <w:pPr>
              <w:spacing w:line="360" w:lineRule="auto"/>
              <w:contextualSpacing/>
              <w:jc w:val="center"/>
              <w:outlineLvl w:val="1"/>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CN"/>
              </w:rPr>
              <w:t>家服务商</w:t>
            </w:r>
          </w:p>
        </w:tc>
        <w:tc>
          <w:tcPr>
            <w:tcW w:w="5742" w:type="dxa"/>
            <w:vAlign w:val="center"/>
          </w:tcPr>
          <w:p>
            <w:pPr>
              <w:spacing w:line="360" w:lineRule="auto"/>
              <w:contextualSpacing/>
              <w:jc w:val="center"/>
              <w:outlineLvl w:val="1"/>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eastAsia="zh-CN"/>
              </w:rPr>
              <w:t>入围供应商数量及规则</w:t>
            </w:r>
            <w:bookmarkStart w:id="24" w:name="_GoBack"/>
            <w:bookmarkEnd w:id="24"/>
            <w:r>
              <w:rPr>
                <w:rFonts w:hint="eastAsia" w:ascii="宋体" w:hAnsi="宋体" w:cs="宋体"/>
                <w:color w:val="auto"/>
                <w:kern w:val="0"/>
                <w:sz w:val="21"/>
                <w:szCs w:val="21"/>
                <w:highlight w:val="none"/>
                <w:lang w:eastAsia="zh-CN"/>
              </w:rPr>
              <w:t>：浙商银行股份有限公司台州分行通过招投标方式选择3家保险公司承接本次财产保险项目（如有效响应供应商数量为4家及以上，则选择综合得分排名前3的供应商入围；如有效响应供应商数量仅3家，则选择综合得分排名前2的供应商入围；如有效响应供应商数量小于3家，则重新招标）。服务期为两年。</w:t>
            </w:r>
          </w:p>
        </w:tc>
      </w:tr>
    </w:tbl>
    <w:p>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、技术商务要求</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1.技术要求</w:t>
      </w:r>
    </w:p>
    <w:p>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保险机构总公司对承担本项目的分公司授权赔付额度达100万(含)以上</w:t>
      </w:r>
      <w:r>
        <w:rPr>
          <w:rFonts w:hint="eastAsia" w:ascii="宋体" w:hAnsi="宋体" w:eastAsia="宋体" w:cs="宋体"/>
          <w:color w:val="auto"/>
          <w:sz w:val="21"/>
          <w:szCs w:val="21"/>
          <w:highlight w:val="none"/>
          <w:lang w:eastAsia="zh-CN"/>
        </w:rPr>
        <w:t>；</w:t>
      </w:r>
    </w:p>
    <w:p>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投标人应支持扎口对接，覆盖我行台州全辖服务范围，设专人及服务团队，集中受理出单</w:t>
      </w:r>
      <w:r>
        <w:rPr>
          <w:rFonts w:hint="eastAsia" w:ascii="宋体" w:hAnsi="宋体" w:eastAsia="宋体" w:cs="宋体"/>
          <w:color w:val="auto"/>
          <w:sz w:val="21"/>
          <w:szCs w:val="21"/>
          <w:highlight w:val="none"/>
          <w:lang w:eastAsia="zh-CN"/>
        </w:rPr>
        <w:t>；</w:t>
      </w:r>
    </w:p>
    <w:p>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投标人在保证优质服务的同时，须承诺服务时效，确保采购人获得优先服务的权利</w:t>
      </w:r>
      <w:r>
        <w:rPr>
          <w:rFonts w:hint="eastAsia" w:ascii="宋体" w:hAnsi="宋体" w:eastAsia="宋体" w:cs="宋体"/>
          <w:color w:val="auto"/>
          <w:sz w:val="21"/>
          <w:szCs w:val="21"/>
          <w:highlight w:val="none"/>
          <w:lang w:eastAsia="zh-CN"/>
        </w:rPr>
        <w:t>；</w:t>
      </w:r>
    </w:p>
    <w:p>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投标人无条件接受和配合项目相关事宜的审计工作</w:t>
      </w:r>
      <w:r>
        <w:rPr>
          <w:rFonts w:hint="eastAsia" w:ascii="宋体" w:hAnsi="宋体" w:eastAsia="宋体" w:cs="宋体"/>
          <w:color w:val="auto"/>
          <w:sz w:val="21"/>
          <w:szCs w:val="21"/>
          <w:highlight w:val="none"/>
          <w:lang w:eastAsia="zh-CN"/>
        </w:rPr>
        <w:t>；</w:t>
      </w:r>
    </w:p>
    <w:p>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）服务方案。对比各投标人的服务方案（从方案的全面具体、详细程度，对本项目的针对性，管理计划的科学程度，计划可行性及操作性的合理程度，具有突发应急措施服务等情况）进行综合打分；</w:t>
      </w:r>
    </w:p>
    <w:p>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经办人员应答客户经理的时效不超过3小时</w:t>
      </w:r>
      <w:r>
        <w:rPr>
          <w:rFonts w:hint="eastAsia" w:ascii="宋体" w:hAnsi="宋体" w:eastAsia="宋体" w:cs="宋体"/>
          <w:color w:val="auto"/>
          <w:sz w:val="21"/>
          <w:szCs w:val="21"/>
          <w:highlight w:val="none"/>
          <w:lang w:eastAsia="zh-CN"/>
        </w:rPr>
        <w:t>；</w:t>
      </w:r>
    </w:p>
    <w:p>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在客户经理提交完整资料后一个工作日内应出具保险单</w:t>
      </w:r>
      <w:r>
        <w:rPr>
          <w:rFonts w:hint="eastAsia" w:ascii="宋体" w:hAnsi="宋体" w:eastAsia="宋体" w:cs="宋体"/>
          <w:color w:val="auto"/>
          <w:sz w:val="21"/>
          <w:szCs w:val="21"/>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收费合理，信誉良好，近两年内无行业协会处罚、惩戒及其他不良记录</w:t>
      </w:r>
      <w:r>
        <w:rPr>
          <w:rFonts w:hint="eastAsia" w:ascii="宋体" w:hAnsi="宋体" w:eastAsia="宋体" w:cs="宋体"/>
          <w:color w:val="auto"/>
          <w:sz w:val="21"/>
          <w:szCs w:val="21"/>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2.资信商务要求</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eastAsia="zh-CN"/>
        </w:rPr>
        <w:t>综合实力</w:t>
      </w:r>
      <w:r>
        <w:rPr>
          <w:rFonts w:hint="eastAsia" w:ascii="宋体" w:hAnsi="宋体" w:eastAsia="宋体" w:cs="宋体"/>
          <w:color w:val="auto"/>
          <w:sz w:val="21"/>
          <w:szCs w:val="21"/>
          <w:highlight w:val="none"/>
          <w:lang w:eastAsia="zh-CN"/>
        </w:rPr>
        <w:t>。根据投标人</w:t>
      </w:r>
      <w:r>
        <w:rPr>
          <w:rFonts w:hint="eastAsia" w:ascii="宋体" w:hAnsi="宋体" w:cs="宋体"/>
          <w:color w:val="auto"/>
          <w:sz w:val="21"/>
          <w:szCs w:val="21"/>
          <w:highlight w:val="none"/>
          <w:lang w:eastAsia="zh-CN"/>
        </w:rPr>
        <w:t>在台州地区的保费收入、服务网点数量、万张保单投诉量（件</w:t>
      </w:r>
      <w:r>
        <w:rPr>
          <w:rFonts w:hint="eastAsia" w:ascii="宋体" w:hAnsi="宋体" w:cs="宋体"/>
          <w:color w:val="auto"/>
          <w:sz w:val="21"/>
          <w:szCs w:val="21"/>
          <w:highlight w:val="none"/>
          <w:lang w:val="en-US" w:eastAsia="zh-CN"/>
        </w:rPr>
        <w:t>/万张</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进行评分；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）偿付能力。根据投标人总公司2025年第二季度综合偿付能力充足率进行评分，对综合偿付能力充足率进行评分。</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3.合同订立要求</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是否框架协议： </w:t>
      </w: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是    □否</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合同定价模式：</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lang w:bidi="ar"/>
        </w:rPr>
        <w:t xml:space="preserve">固定总价   </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lang w:bidi="ar"/>
        </w:rPr>
        <w:t>成本补偿（应明确并细化核算方式）</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kern w:val="0"/>
          <w:sz w:val="21"/>
          <w:szCs w:val="21"/>
          <w:highlight w:val="none"/>
          <w:lang w:bidi="ar"/>
        </w:rPr>
        <w:t>固定单价</w:t>
      </w:r>
      <w:r>
        <w:rPr>
          <w:rFonts w:hint="eastAsia" w:ascii="宋体" w:hAnsi="宋体" w:eastAsia="宋体" w:cs="宋体"/>
          <w:color w:val="auto"/>
          <w:kern w:val="0"/>
          <w:sz w:val="21"/>
          <w:szCs w:val="21"/>
          <w:highlight w:val="none"/>
          <w:lang w:eastAsia="zh-CN" w:bidi="ar"/>
        </w:rPr>
        <w:t>（投标报价为入围后的最高限价，最终的保险费率在上述范围内由双方协商确定）</w:t>
      </w:r>
      <w:r>
        <w:rPr>
          <w:rFonts w:hint="eastAsia" w:ascii="宋体" w:hAnsi="宋体" w:eastAsia="宋体" w:cs="宋体"/>
          <w:color w:val="auto"/>
          <w:kern w:val="0"/>
          <w:sz w:val="21"/>
          <w:szCs w:val="21"/>
          <w:highlight w:val="none"/>
          <w:lang w:bidi="ar"/>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lang w:bidi="ar"/>
        </w:rPr>
        <w:t>绩效激励（应明确并细化核算方式）</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合同期限：</w:t>
      </w:r>
      <w:r>
        <w:rPr>
          <w:rFonts w:hint="eastAsia" w:ascii="宋体" w:hAnsi="宋体" w:eastAsia="宋体" w:cs="宋体"/>
          <w:color w:val="auto"/>
          <w:kern w:val="0"/>
          <w:sz w:val="21"/>
          <w:szCs w:val="21"/>
          <w:highlight w:val="none"/>
          <w:lang w:val="en-US" w:eastAsia="zh-CN" w:bidi="ar"/>
        </w:rPr>
        <w:t>2年</w:t>
      </w:r>
    </w:p>
    <w:p>
      <w:pPr>
        <w:pStyle w:val="9"/>
        <w:rPr>
          <w:rFonts w:hint="eastAsia"/>
        </w:rPr>
        <w:sectPr>
          <w:pgSz w:w="11906" w:h="16838"/>
          <w:pgMar w:top="1440" w:right="1800" w:bottom="1440" w:left="1800" w:header="851" w:footer="992" w:gutter="0"/>
          <w:cols w:space="425" w:num="1"/>
          <w:docGrid w:type="lines" w:linePitch="312" w:charSpace="0"/>
        </w:sectPr>
      </w:pPr>
    </w:p>
    <w:p>
      <w:pPr>
        <w:pageBreakBefore w:val="0"/>
        <w:kinsoku/>
        <w:overflowPunct/>
        <w:topLinePunct w:val="0"/>
        <w:bidi w:val="0"/>
        <w:spacing w:line="360" w:lineRule="auto"/>
        <w:ind w:firstLine="662" w:firstLineChars="214"/>
        <w:jc w:val="center"/>
        <w:outlineLvl w:val="0"/>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第四章  评标办法及评分标准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1"/>
        <w:rPr>
          <w:rFonts w:hint="eastAsia" w:ascii="宋体" w:hAnsi="宋体" w:eastAsia="宋体" w:cs="宋体"/>
          <w:b/>
          <w:color w:val="auto"/>
          <w:spacing w:val="-6"/>
          <w:sz w:val="21"/>
          <w:szCs w:val="21"/>
          <w:highlight w:val="none"/>
        </w:rPr>
      </w:pPr>
      <w:r>
        <w:rPr>
          <w:rFonts w:hint="eastAsia" w:ascii="宋体" w:hAnsi="宋体" w:eastAsia="宋体" w:cs="宋体"/>
          <w:b/>
          <w:color w:val="auto"/>
          <w:spacing w:val="-6"/>
          <w:sz w:val="21"/>
          <w:szCs w:val="21"/>
          <w:highlight w:val="none"/>
        </w:rPr>
        <w:t>一、总则</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396" w:firstLineChars="200"/>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本次评标采用综合评分法，总分为100分。合格投标人的评标得分为各项目汇总得分，</w:t>
      </w:r>
      <w:r>
        <w:rPr>
          <w:rFonts w:hint="eastAsia" w:ascii="宋体" w:hAnsi="宋体" w:eastAsia="宋体" w:cs="宋体"/>
          <w:bCs/>
          <w:color w:val="auto"/>
          <w:spacing w:val="-6"/>
          <w:sz w:val="21"/>
          <w:szCs w:val="21"/>
          <w:highlight w:val="none"/>
          <w:lang w:eastAsia="zh-CN"/>
        </w:rPr>
        <w:t>入围</w:t>
      </w:r>
      <w:r>
        <w:rPr>
          <w:rFonts w:hint="eastAsia" w:ascii="宋体" w:hAnsi="宋体" w:eastAsia="宋体" w:cs="宋体"/>
          <w:bCs/>
          <w:color w:val="auto"/>
          <w:spacing w:val="-6"/>
          <w:sz w:val="21"/>
          <w:szCs w:val="21"/>
          <w:highlight w:val="none"/>
        </w:rPr>
        <w:t>候选资格按评标得分由高到低顺序排列，取排名在前的入围，如得分相同，按价格分高者优先；价格分也相同的并列。如果排名并列的情况涉及最终入围的，则由评标委员会通过投票表决确定入围单位。投标文件满足招标文件全部实质性要求，且按照投标人评标综合得分前</w:t>
      </w:r>
      <w:r>
        <w:rPr>
          <w:rFonts w:hint="eastAsia" w:ascii="宋体" w:hAnsi="宋体" w:cs="宋体"/>
          <w:bCs/>
          <w:color w:val="auto"/>
          <w:spacing w:val="-6"/>
          <w:sz w:val="21"/>
          <w:szCs w:val="21"/>
          <w:highlight w:val="none"/>
          <w:lang w:val="en-US" w:eastAsia="zh-CN"/>
        </w:rPr>
        <w:t>3名</w:t>
      </w:r>
      <w:r>
        <w:rPr>
          <w:rFonts w:hint="eastAsia" w:ascii="宋体" w:hAnsi="宋体" w:eastAsia="宋体" w:cs="宋体"/>
          <w:bCs/>
          <w:color w:val="auto"/>
          <w:spacing w:val="-6"/>
          <w:sz w:val="21"/>
          <w:szCs w:val="21"/>
          <w:highlight w:val="none"/>
        </w:rPr>
        <w:t>的投标人为</w:t>
      </w:r>
      <w:r>
        <w:rPr>
          <w:rFonts w:hint="eastAsia" w:ascii="宋体" w:hAnsi="宋体" w:eastAsia="宋体" w:cs="宋体"/>
          <w:bCs/>
          <w:color w:val="auto"/>
          <w:spacing w:val="-6"/>
          <w:sz w:val="21"/>
          <w:szCs w:val="21"/>
          <w:highlight w:val="none"/>
          <w:lang w:val="en-US" w:eastAsia="zh-CN"/>
        </w:rPr>
        <w:t>入围</w:t>
      </w:r>
      <w:r>
        <w:rPr>
          <w:rFonts w:hint="eastAsia" w:ascii="宋体" w:hAnsi="宋体" w:eastAsia="宋体" w:cs="宋体"/>
          <w:bCs/>
          <w:color w:val="auto"/>
          <w:spacing w:val="-6"/>
          <w:sz w:val="21"/>
          <w:szCs w:val="21"/>
          <w:highlight w:val="none"/>
        </w:rPr>
        <w:t>候选人</w:t>
      </w:r>
      <w:r>
        <w:rPr>
          <w:rFonts w:hint="eastAsia" w:ascii="宋体" w:hAnsi="宋体" w:eastAsia="宋体" w:cs="宋体"/>
          <w:bCs/>
          <w:color w:val="auto"/>
          <w:spacing w:val="-6"/>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评分过程中采用四舍五入法，并保留小数2位。</w:t>
      </w:r>
    </w:p>
    <w:p>
      <w:pPr>
        <w:pageBreakBefore w:val="0"/>
        <w:numPr>
          <w:ilvl w:val="-1"/>
          <w:numId w:val="0"/>
        </w:numPr>
        <w:kinsoku/>
        <w:overflowPunct/>
        <w:topLinePunct w:val="0"/>
        <w:bidi w:val="0"/>
        <w:spacing w:line="360" w:lineRule="auto"/>
        <w:outlineLvl w:val="1"/>
        <w:rPr>
          <w:rFonts w:hint="eastAsia"/>
          <w:sz w:val="21"/>
          <w:szCs w:val="21"/>
        </w:rPr>
      </w:pPr>
      <w:r>
        <w:rPr>
          <w:rFonts w:hint="eastAsia" w:ascii="宋体" w:hAnsi="宋体" w:cs="宋体"/>
          <w:b/>
          <w:color w:val="auto"/>
          <w:spacing w:val="-6"/>
          <w:sz w:val="21"/>
          <w:szCs w:val="21"/>
          <w:highlight w:val="none"/>
          <w:lang w:eastAsia="zh-CN"/>
        </w:rPr>
        <w:t>二、</w:t>
      </w:r>
      <w:r>
        <w:rPr>
          <w:rFonts w:hint="eastAsia" w:ascii="宋体" w:hAnsi="宋体" w:eastAsia="宋体" w:cs="宋体"/>
          <w:b/>
          <w:color w:val="auto"/>
          <w:spacing w:val="-6"/>
          <w:sz w:val="21"/>
          <w:szCs w:val="21"/>
          <w:highlight w:val="none"/>
        </w:rPr>
        <w:t>评标内容及标准</w:t>
      </w:r>
    </w:p>
    <w:tbl>
      <w:tblPr>
        <w:tblStyle w:val="21"/>
        <w:tblpPr w:leftFromText="180" w:rightFromText="180" w:vertAnchor="text" w:horzAnchor="page" w:tblpX="1252" w:tblpY="643"/>
        <w:tblOverlap w:val="never"/>
        <w:tblW w:w="95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572"/>
        <w:gridCol w:w="1284"/>
        <w:gridCol w:w="3223"/>
        <w:gridCol w:w="3909"/>
        <w:gridCol w:w="5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71" w:hRule="atLeast"/>
        </w:trPr>
        <w:tc>
          <w:tcPr>
            <w:tcW w:w="572" w:type="dxa"/>
            <w:shd w:val="clear" w:color="auto" w:fill="auto"/>
            <w:tcMar>
              <w:top w:w="10" w:type="dxa"/>
              <w:left w:w="10" w:type="dxa"/>
              <w:right w:w="10" w:type="dxa"/>
            </w:tcMar>
            <w:vAlign w:val="center"/>
          </w:tcPr>
          <w:p>
            <w:pPr>
              <w:spacing w:line="360" w:lineRule="auto"/>
              <w:jc w:val="center"/>
              <w:textAlignment w:val="center"/>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序号</w:t>
            </w:r>
          </w:p>
        </w:tc>
        <w:tc>
          <w:tcPr>
            <w:tcW w:w="1284" w:type="dxa"/>
            <w:shd w:val="clear" w:color="auto" w:fill="auto"/>
            <w:tcMar>
              <w:top w:w="10" w:type="dxa"/>
              <w:left w:w="10" w:type="dxa"/>
              <w:right w:w="10" w:type="dxa"/>
            </w:tcMar>
            <w:vAlign w:val="center"/>
          </w:tcPr>
          <w:p>
            <w:pPr>
              <w:spacing w:line="360" w:lineRule="auto"/>
              <w:jc w:val="center"/>
              <w:textAlignment w:val="center"/>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评审项目</w:t>
            </w:r>
          </w:p>
        </w:tc>
        <w:tc>
          <w:tcPr>
            <w:tcW w:w="7132" w:type="dxa"/>
            <w:gridSpan w:val="2"/>
            <w:shd w:val="clear" w:color="auto" w:fill="auto"/>
            <w:tcMar>
              <w:top w:w="10" w:type="dxa"/>
              <w:left w:w="10" w:type="dxa"/>
              <w:right w:w="10" w:type="dxa"/>
            </w:tcMar>
            <w:vAlign w:val="center"/>
          </w:tcPr>
          <w:p>
            <w:pPr>
              <w:spacing w:line="360" w:lineRule="auto"/>
              <w:jc w:val="center"/>
              <w:textAlignment w:val="center"/>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评分细则</w:t>
            </w:r>
          </w:p>
        </w:tc>
        <w:tc>
          <w:tcPr>
            <w:tcW w:w="571" w:type="dxa"/>
            <w:shd w:val="clear" w:color="auto" w:fill="auto"/>
            <w:tcMar>
              <w:top w:w="10" w:type="dxa"/>
              <w:left w:w="10" w:type="dxa"/>
              <w:right w:w="10" w:type="dxa"/>
            </w:tcMar>
            <w:vAlign w:val="center"/>
          </w:tcPr>
          <w:p>
            <w:pPr>
              <w:spacing w:line="360" w:lineRule="auto"/>
              <w:jc w:val="center"/>
              <w:textAlignment w:val="center"/>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694" w:hRule="atLeast"/>
        </w:trPr>
        <w:tc>
          <w:tcPr>
            <w:tcW w:w="572" w:type="dxa"/>
            <w:vMerge w:val="restart"/>
            <w:shd w:val="clear" w:color="auto" w:fill="auto"/>
            <w:tcMar>
              <w:top w:w="10" w:type="dxa"/>
              <w:left w:w="10" w:type="dxa"/>
              <w:right w:w="10" w:type="dxa"/>
            </w:tcMar>
            <w:vAlign w:val="center"/>
          </w:tcPr>
          <w:p>
            <w:pPr>
              <w:spacing w:line="360" w:lineRule="auto"/>
              <w:jc w:val="center"/>
              <w:textAlignment w:val="center"/>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1</w:t>
            </w:r>
          </w:p>
        </w:tc>
        <w:tc>
          <w:tcPr>
            <w:tcW w:w="1284" w:type="dxa"/>
            <w:vMerge w:val="restart"/>
            <w:shd w:val="clear" w:color="auto" w:fill="auto"/>
            <w:tcMar>
              <w:top w:w="10" w:type="dxa"/>
              <w:left w:w="10" w:type="dxa"/>
              <w:right w:w="10" w:type="dxa"/>
            </w:tcMar>
            <w:vAlign w:val="center"/>
          </w:tcPr>
          <w:p>
            <w:pPr>
              <w:widowControl/>
              <w:spacing w:line="360" w:lineRule="auto"/>
              <w:jc w:val="center"/>
              <w:rPr>
                <w:rFonts w:hint="eastAsia" w:ascii="宋体" w:hAnsi="宋体" w:eastAsia="宋体" w:cs="宋体"/>
                <w:b/>
                <w:color w:val="auto"/>
                <w:kern w:val="0"/>
                <w:sz w:val="21"/>
                <w:szCs w:val="21"/>
                <w:highlight w:val="none"/>
                <w:shd w:val="clear" w:color="auto" w:fill="auto"/>
              </w:rPr>
            </w:pPr>
            <w:r>
              <w:rPr>
                <w:rFonts w:hint="eastAsia" w:ascii="宋体" w:hAnsi="宋体" w:eastAsia="宋体" w:cs="宋体"/>
                <w:b/>
                <w:color w:val="auto"/>
                <w:kern w:val="0"/>
                <w:sz w:val="21"/>
                <w:szCs w:val="21"/>
                <w:highlight w:val="none"/>
                <w:shd w:val="clear" w:color="auto" w:fill="auto"/>
              </w:rPr>
              <w:t>综合实力</w:t>
            </w:r>
          </w:p>
          <w:p>
            <w:pPr>
              <w:widowControl/>
              <w:spacing w:line="360" w:lineRule="auto"/>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b/>
                <w:color w:val="auto"/>
                <w:kern w:val="0"/>
                <w:sz w:val="21"/>
                <w:szCs w:val="21"/>
                <w:highlight w:val="none"/>
                <w:shd w:val="clear" w:color="auto" w:fill="auto"/>
              </w:rPr>
              <w:t>（</w:t>
            </w:r>
            <w:r>
              <w:rPr>
                <w:rFonts w:hint="eastAsia" w:ascii="宋体" w:hAnsi="宋体" w:eastAsia="宋体" w:cs="宋体"/>
                <w:b/>
                <w:color w:val="auto"/>
                <w:kern w:val="0"/>
                <w:sz w:val="21"/>
                <w:szCs w:val="21"/>
                <w:highlight w:val="none"/>
                <w:shd w:val="clear" w:color="auto" w:fill="auto"/>
                <w:lang w:val="en-US" w:eastAsia="zh-CN"/>
              </w:rPr>
              <w:t>27</w:t>
            </w:r>
            <w:r>
              <w:rPr>
                <w:rFonts w:hint="eastAsia" w:ascii="宋体" w:hAnsi="宋体" w:eastAsia="宋体" w:cs="宋体"/>
                <w:b/>
                <w:color w:val="auto"/>
                <w:kern w:val="0"/>
                <w:sz w:val="21"/>
                <w:szCs w:val="21"/>
                <w:highlight w:val="none"/>
                <w:shd w:val="clear" w:color="auto" w:fill="auto"/>
              </w:rPr>
              <w:t>分）</w:t>
            </w:r>
          </w:p>
        </w:tc>
        <w:tc>
          <w:tcPr>
            <w:tcW w:w="7132" w:type="dxa"/>
            <w:gridSpan w:val="2"/>
            <w:shd w:val="clear" w:color="auto" w:fill="auto"/>
            <w:tcMar>
              <w:top w:w="10" w:type="dxa"/>
              <w:left w:w="10" w:type="dxa"/>
              <w:right w:w="10" w:type="dxa"/>
            </w:tcMar>
            <w:vAlign w:val="center"/>
          </w:tcPr>
          <w:p>
            <w:pPr>
              <w:spacing w:line="360" w:lineRule="auto"/>
              <w:jc w:val="left"/>
              <w:rPr>
                <w:rFonts w:hint="eastAsia" w:ascii="宋体" w:hAnsi="宋体" w:eastAsia="宋体" w:cs="宋体"/>
                <w:b w:val="0"/>
                <w:bCs w:val="0"/>
                <w:color w:val="auto"/>
                <w:sz w:val="21"/>
                <w:szCs w:val="21"/>
                <w:highlight w:val="none"/>
                <w:shd w:val="clear" w:color="auto" w:fill="auto"/>
              </w:rPr>
            </w:pPr>
            <w:r>
              <w:rPr>
                <w:rFonts w:hint="eastAsia" w:ascii="宋体" w:hAnsi="宋体" w:cs="宋体"/>
                <w:b w:val="0"/>
                <w:bCs w:val="0"/>
                <w:color w:val="auto"/>
                <w:sz w:val="21"/>
                <w:szCs w:val="21"/>
                <w:highlight w:val="none"/>
                <w:shd w:val="clear" w:color="auto" w:fill="auto"/>
                <w:lang w:val="en-US" w:eastAsia="zh-CN"/>
              </w:rPr>
              <w:t>【客观分】</w:t>
            </w:r>
            <w:r>
              <w:rPr>
                <w:rFonts w:hint="eastAsia" w:ascii="宋体" w:hAnsi="宋体" w:eastAsia="宋体" w:cs="宋体"/>
                <w:b w:val="0"/>
                <w:bCs w:val="0"/>
                <w:color w:val="auto"/>
                <w:sz w:val="21"/>
                <w:szCs w:val="21"/>
                <w:highlight w:val="none"/>
                <w:shd w:val="clear" w:color="auto" w:fill="auto"/>
                <w:lang w:val="en-US" w:eastAsia="zh-CN"/>
              </w:rPr>
              <w:t>一、</w:t>
            </w:r>
            <w:r>
              <w:rPr>
                <w:rFonts w:hint="eastAsia" w:ascii="宋体" w:hAnsi="宋体" w:eastAsia="宋体" w:cs="宋体"/>
                <w:b w:val="0"/>
                <w:bCs w:val="0"/>
                <w:color w:val="auto"/>
                <w:sz w:val="21"/>
                <w:szCs w:val="21"/>
                <w:highlight w:val="none"/>
                <w:shd w:val="clear" w:color="auto" w:fill="auto"/>
              </w:rPr>
              <w:t>根据投标人202</w:t>
            </w:r>
            <w:r>
              <w:rPr>
                <w:rFonts w:hint="eastAsia" w:ascii="宋体" w:hAnsi="宋体" w:eastAsia="宋体" w:cs="宋体"/>
                <w:b w:val="0"/>
                <w:bCs w:val="0"/>
                <w:color w:val="auto"/>
                <w:sz w:val="21"/>
                <w:szCs w:val="21"/>
                <w:highlight w:val="none"/>
                <w:shd w:val="clear" w:color="auto" w:fill="auto"/>
                <w:lang w:val="en-US" w:eastAsia="zh-CN"/>
              </w:rPr>
              <w:t>4</w:t>
            </w:r>
            <w:r>
              <w:rPr>
                <w:rFonts w:hint="eastAsia" w:ascii="宋体" w:hAnsi="宋体" w:eastAsia="宋体" w:cs="宋体"/>
                <w:b w:val="0"/>
                <w:bCs w:val="0"/>
                <w:color w:val="auto"/>
                <w:sz w:val="21"/>
                <w:szCs w:val="21"/>
                <w:highlight w:val="none"/>
                <w:shd w:val="clear" w:color="auto" w:fill="auto"/>
              </w:rPr>
              <w:t>年度</w:t>
            </w:r>
            <w:r>
              <w:rPr>
                <w:rFonts w:hint="eastAsia" w:ascii="宋体" w:hAnsi="宋体" w:eastAsia="宋体" w:cs="宋体"/>
                <w:b w:val="0"/>
                <w:bCs w:val="0"/>
                <w:color w:val="auto"/>
                <w:sz w:val="21"/>
                <w:szCs w:val="21"/>
                <w:highlight w:val="none"/>
                <w:shd w:val="clear" w:color="auto" w:fill="auto"/>
                <w:lang w:eastAsia="zh-CN"/>
              </w:rPr>
              <w:t>在台州地区</w:t>
            </w:r>
            <w:r>
              <w:rPr>
                <w:rFonts w:hint="eastAsia" w:ascii="宋体" w:hAnsi="宋体" w:eastAsia="宋体" w:cs="宋体"/>
                <w:b w:val="0"/>
                <w:bCs w:val="0"/>
                <w:color w:val="auto"/>
                <w:sz w:val="21"/>
                <w:szCs w:val="21"/>
                <w:highlight w:val="none"/>
                <w:shd w:val="clear" w:color="auto" w:fill="auto"/>
              </w:rPr>
              <w:t>保费收入由高到低排序进行评审：保费收入</w:t>
            </w:r>
            <w:r>
              <w:rPr>
                <w:rFonts w:hint="eastAsia" w:ascii="宋体" w:hAnsi="宋体" w:eastAsia="宋体" w:cs="宋体"/>
                <w:b w:val="0"/>
                <w:bCs w:val="0"/>
                <w:color w:val="auto"/>
                <w:sz w:val="21"/>
                <w:szCs w:val="21"/>
                <w:highlight w:val="none"/>
                <w:shd w:val="clear" w:color="auto" w:fill="auto"/>
                <w:lang w:val="en-US" w:eastAsia="zh-CN"/>
              </w:rPr>
              <w:t>排名第一的</w:t>
            </w:r>
            <w:r>
              <w:rPr>
                <w:rFonts w:hint="eastAsia" w:ascii="宋体" w:hAnsi="宋体" w:eastAsia="宋体" w:cs="宋体"/>
                <w:b w:val="0"/>
                <w:bCs w:val="0"/>
                <w:color w:val="auto"/>
                <w:sz w:val="21"/>
                <w:szCs w:val="21"/>
                <w:highlight w:val="none"/>
                <w:shd w:val="clear" w:color="auto" w:fill="auto"/>
              </w:rPr>
              <w:t>得</w:t>
            </w:r>
            <w:r>
              <w:rPr>
                <w:rFonts w:hint="eastAsia" w:ascii="宋体" w:hAnsi="宋体" w:eastAsia="宋体" w:cs="宋体"/>
                <w:b w:val="0"/>
                <w:bCs w:val="0"/>
                <w:color w:val="auto"/>
                <w:sz w:val="21"/>
                <w:szCs w:val="21"/>
                <w:highlight w:val="none"/>
                <w:shd w:val="clear" w:color="auto" w:fill="auto"/>
                <w:lang w:val="en-US" w:eastAsia="zh-CN"/>
              </w:rPr>
              <w:t>10</w:t>
            </w:r>
            <w:r>
              <w:rPr>
                <w:rFonts w:hint="eastAsia" w:ascii="宋体" w:hAnsi="宋体" w:eastAsia="宋体" w:cs="宋体"/>
                <w:b w:val="0"/>
                <w:bCs w:val="0"/>
                <w:color w:val="auto"/>
                <w:sz w:val="21"/>
                <w:szCs w:val="21"/>
                <w:highlight w:val="none"/>
                <w:shd w:val="clear" w:color="auto" w:fill="auto"/>
              </w:rPr>
              <w:t>分</w:t>
            </w:r>
            <w:r>
              <w:rPr>
                <w:rFonts w:hint="eastAsia" w:ascii="宋体" w:hAnsi="宋体" w:eastAsia="宋体" w:cs="宋体"/>
                <w:b w:val="0"/>
                <w:bCs w:val="0"/>
                <w:color w:val="auto"/>
                <w:sz w:val="21"/>
                <w:szCs w:val="21"/>
                <w:highlight w:val="none"/>
                <w:shd w:val="clear" w:color="auto" w:fill="auto"/>
                <w:lang w:eastAsia="zh-CN"/>
              </w:rPr>
              <w:t>，排名每下降一位扣</w:t>
            </w:r>
            <w:r>
              <w:rPr>
                <w:rFonts w:hint="eastAsia" w:ascii="宋体" w:hAnsi="宋体" w:eastAsia="宋体" w:cs="宋体"/>
                <w:b w:val="0"/>
                <w:bCs w:val="0"/>
                <w:color w:val="auto"/>
                <w:sz w:val="21"/>
                <w:szCs w:val="21"/>
                <w:highlight w:val="none"/>
                <w:shd w:val="clear" w:color="auto" w:fill="auto"/>
                <w:lang w:val="en-US" w:eastAsia="zh-CN"/>
              </w:rPr>
              <w:t>1</w:t>
            </w:r>
            <w:r>
              <w:rPr>
                <w:rFonts w:hint="eastAsia" w:ascii="宋体" w:hAnsi="宋体" w:eastAsia="宋体" w:cs="宋体"/>
                <w:b w:val="0"/>
                <w:bCs w:val="0"/>
                <w:color w:val="auto"/>
                <w:sz w:val="21"/>
                <w:szCs w:val="21"/>
                <w:highlight w:val="none"/>
                <w:shd w:val="clear" w:color="auto" w:fill="auto"/>
                <w:lang w:eastAsia="zh-CN"/>
              </w:rPr>
              <w:t>分，以此类推，本项最低得分为</w:t>
            </w:r>
            <w:r>
              <w:rPr>
                <w:rFonts w:hint="eastAsia" w:ascii="宋体" w:hAnsi="宋体" w:eastAsia="宋体" w:cs="宋体"/>
                <w:b w:val="0"/>
                <w:bCs w:val="0"/>
                <w:color w:val="auto"/>
                <w:sz w:val="21"/>
                <w:szCs w:val="21"/>
                <w:highlight w:val="none"/>
                <w:shd w:val="clear" w:color="auto" w:fill="auto"/>
                <w:lang w:val="en-US" w:eastAsia="zh-CN"/>
              </w:rPr>
              <w:t>5分</w:t>
            </w:r>
            <w:r>
              <w:rPr>
                <w:rFonts w:hint="eastAsia" w:ascii="宋体" w:hAnsi="宋体" w:eastAsia="宋体" w:cs="宋体"/>
                <w:b w:val="0"/>
                <w:bCs w:val="0"/>
                <w:color w:val="auto"/>
                <w:sz w:val="21"/>
                <w:szCs w:val="21"/>
                <w:highlight w:val="none"/>
                <w:shd w:val="clear" w:color="auto" w:fill="auto"/>
                <w:lang w:eastAsia="zh-CN"/>
              </w:rPr>
              <w:t>。</w:t>
            </w:r>
          </w:p>
          <w:p>
            <w:pPr>
              <w:spacing w:line="360" w:lineRule="auto"/>
              <w:jc w:val="left"/>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lang w:eastAsia="zh-CN"/>
              </w:rPr>
              <w:t>注：需</w:t>
            </w:r>
            <w:r>
              <w:rPr>
                <w:rFonts w:hint="eastAsia" w:ascii="宋体" w:hAnsi="宋体" w:eastAsia="宋体" w:cs="宋体"/>
                <w:b w:val="0"/>
                <w:bCs w:val="0"/>
                <w:color w:val="auto"/>
                <w:sz w:val="21"/>
                <w:szCs w:val="21"/>
                <w:highlight w:val="none"/>
                <w:shd w:val="clear" w:color="auto" w:fill="auto"/>
              </w:rPr>
              <w:t>提供</w:t>
            </w:r>
            <w:r>
              <w:rPr>
                <w:rFonts w:hint="eastAsia" w:ascii="宋体" w:hAnsi="宋体" w:eastAsia="宋体" w:cs="宋体"/>
                <w:b w:val="0"/>
                <w:bCs w:val="0"/>
                <w:color w:val="auto"/>
                <w:sz w:val="21"/>
                <w:szCs w:val="21"/>
                <w:highlight w:val="none"/>
                <w:shd w:val="clear" w:color="auto" w:fill="auto"/>
                <w:lang w:eastAsia="zh-CN"/>
              </w:rPr>
              <w:t>台州</w:t>
            </w:r>
            <w:r>
              <w:rPr>
                <w:rFonts w:hint="eastAsia" w:ascii="宋体" w:hAnsi="宋体" w:eastAsia="宋体" w:cs="宋体"/>
                <w:b w:val="0"/>
                <w:bCs w:val="0"/>
                <w:color w:val="auto"/>
                <w:sz w:val="21"/>
                <w:szCs w:val="21"/>
                <w:highlight w:val="none"/>
                <w:shd w:val="clear" w:color="auto" w:fill="auto"/>
              </w:rPr>
              <w:t>保险行业协会出具的保费收入证明材料为依据，不提供不得分。</w:t>
            </w:r>
          </w:p>
        </w:tc>
        <w:tc>
          <w:tcPr>
            <w:tcW w:w="571" w:type="dxa"/>
            <w:shd w:val="clear" w:color="auto" w:fill="auto"/>
            <w:tcMar>
              <w:top w:w="10" w:type="dxa"/>
              <w:left w:w="10" w:type="dxa"/>
              <w:right w:w="10" w:type="dxa"/>
            </w:tcMar>
            <w:vAlign w:val="center"/>
          </w:tcPr>
          <w:p>
            <w:pPr>
              <w:spacing w:line="360" w:lineRule="auto"/>
              <w:jc w:val="center"/>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807" w:hRule="atLeast"/>
        </w:trPr>
        <w:tc>
          <w:tcPr>
            <w:tcW w:w="572" w:type="dxa"/>
            <w:vMerge w:val="continue"/>
            <w:shd w:val="clear" w:color="auto" w:fill="auto"/>
            <w:tcMar>
              <w:top w:w="10" w:type="dxa"/>
              <w:left w:w="10" w:type="dxa"/>
              <w:right w:w="10" w:type="dxa"/>
            </w:tcMar>
            <w:vAlign w:val="center"/>
          </w:tcPr>
          <w:p>
            <w:pPr>
              <w:snapToGrid w:val="0"/>
              <w:spacing w:line="360" w:lineRule="auto"/>
              <w:jc w:val="center"/>
              <w:rPr>
                <w:rFonts w:hint="eastAsia" w:ascii="宋体" w:hAnsi="宋体" w:eastAsia="宋体" w:cs="宋体"/>
                <w:color w:val="auto"/>
                <w:sz w:val="21"/>
                <w:szCs w:val="21"/>
                <w:highlight w:val="none"/>
                <w:shd w:val="clear" w:color="auto" w:fill="auto"/>
              </w:rPr>
            </w:pPr>
          </w:p>
        </w:tc>
        <w:tc>
          <w:tcPr>
            <w:tcW w:w="1284" w:type="dxa"/>
            <w:vMerge w:val="continue"/>
            <w:shd w:val="clear" w:color="auto" w:fill="auto"/>
            <w:tcMar>
              <w:top w:w="10" w:type="dxa"/>
              <w:left w:w="10" w:type="dxa"/>
              <w:right w:w="10" w:type="dxa"/>
            </w:tcMar>
            <w:vAlign w:val="center"/>
          </w:tcPr>
          <w:p>
            <w:pPr>
              <w:spacing w:line="360" w:lineRule="auto"/>
              <w:jc w:val="left"/>
              <w:rPr>
                <w:rFonts w:hint="eastAsia" w:ascii="宋体" w:hAnsi="宋体" w:eastAsia="宋体" w:cs="宋体"/>
                <w:color w:val="auto"/>
                <w:sz w:val="21"/>
                <w:szCs w:val="21"/>
                <w:highlight w:val="none"/>
                <w:shd w:val="clear" w:color="auto" w:fill="auto"/>
              </w:rPr>
            </w:pPr>
          </w:p>
        </w:tc>
        <w:tc>
          <w:tcPr>
            <w:tcW w:w="7132" w:type="dxa"/>
            <w:gridSpan w:val="2"/>
            <w:shd w:val="clear" w:color="auto" w:fill="auto"/>
            <w:tcMar>
              <w:top w:w="10" w:type="dxa"/>
              <w:left w:w="10" w:type="dxa"/>
              <w:right w:w="10" w:type="dxa"/>
            </w:tcMar>
            <w:vAlign w:val="center"/>
          </w:tcPr>
          <w:p>
            <w:pPr>
              <w:spacing w:line="360" w:lineRule="auto"/>
              <w:jc w:val="left"/>
              <w:rPr>
                <w:rFonts w:hint="eastAsia" w:ascii="宋体" w:hAnsi="宋体" w:eastAsia="宋体" w:cs="宋体"/>
                <w:b w:val="0"/>
                <w:bCs w:val="0"/>
                <w:color w:val="auto"/>
                <w:sz w:val="21"/>
                <w:szCs w:val="21"/>
                <w:highlight w:val="none"/>
                <w:shd w:val="clear" w:color="auto" w:fill="auto"/>
                <w:lang w:eastAsia="zh-CN"/>
              </w:rPr>
            </w:pPr>
            <w:r>
              <w:rPr>
                <w:rFonts w:hint="eastAsia" w:ascii="宋体" w:hAnsi="宋体" w:cs="宋体"/>
                <w:b w:val="0"/>
                <w:bCs w:val="0"/>
                <w:color w:val="auto"/>
                <w:sz w:val="21"/>
                <w:szCs w:val="21"/>
                <w:highlight w:val="none"/>
                <w:shd w:val="clear" w:color="auto" w:fill="auto"/>
                <w:lang w:val="en-US" w:eastAsia="zh-CN"/>
              </w:rPr>
              <w:t>【客观分】</w:t>
            </w:r>
            <w:r>
              <w:rPr>
                <w:rFonts w:hint="eastAsia" w:ascii="宋体" w:hAnsi="宋体" w:eastAsia="宋体" w:cs="宋体"/>
                <w:b w:val="0"/>
                <w:bCs w:val="0"/>
                <w:color w:val="auto"/>
                <w:sz w:val="21"/>
                <w:szCs w:val="21"/>
                <w:highlight w:val="none"/>
                <w:shd w:val="clear" w:color="auto" w:fill="auto"/>
                <w:lang w:val="en-US" w:eastAsia="zh-CN"/>
              </w:rPr>
              <w:t>二、</w:t>
            </w:r>
            <w:r>
              <w:rPr>
                <w:rFonts w:hint="eastAsia" w:ascii="宋体" w:hAnsi="宋体" w:eastAsia="宋体" w:cs="宋体"/>
                <w:b w:val="0"/>
                <w:bCs w:val="0"/>
                <w:color w:val="auto"/>
                <w:sz w:val="21"/>
                <w:szCs w:val="21"/>
                <w:highlight w:val="none"/>
                <w:shd w:val="clear" w:color="auto" w:fill="auto"/>
                <w:lang w:eastAsia="zh-CN"/>
              </w:rPr>
              <w:t>根据投标人</w:t>
            </w:r>
            <w:r>
              <w:rPr>
                <w:rFonts w:hint="eastAsia" w:ascii="宋体" w:hAnsi="宋体" w:eastAsia="宋体" w:cs="宋体"/>
                <w:b w:val="0"/>
                <w:bCs w:val="0"/>
                <w:color w:val="auto"/>
                <w:sz w:val="21"/>
                <w:szCs w:val="21"/>
                <w:highlight w:val="none"/>
                <w:shd w:val="clear" w:color="auto" w:fill="auto"/>
                <w:lang w:val="en-US" w:eastAsia="zh-CN"/>
              </w:rPr>
              <w:t>在台州市内经保监局审批设立的服务网点数量</w:t>
            </w:r>
            <w:r>
              <w:rPr>
                <w:rFonts w:hint="eastAsia" w:ascii="宋体" w:hAnsi="宋体" w:eastAsia="宋体" w:cs="宋体"/>
                <w:b w:val="0"/>
                <w:bCs w:val="0"/>
                <w:color w:val="auto"/>
                <w:sz w:val="21"/>
                <w:szCs w:val="21"/>
                <w:highlight w:val="none"/>
                <w:shd w:val="clear" w:color="auto" w:fill="auto"/>
              </w:rPr>
              <w:t>由</w:t>
            </w:r>
            <w:r>
              <w:rPr>
                <w:rFonts w:hint="eastAsia" w:ascii="宋体" w:hAnsi="宋体" w:eastAsia="宋体" w:cs="宋体"/>
                <w:b w:val="0"/>
                <w:bCs w:val="0"/>
                <w:color w:val="auto"/>
                <w:sz w:val="21"/>
                <w:szCs w:val="21"/>
                <w:highlight w:val="none"/>
                <w:shd w:val="clear" w:color="auto" w:fill="auto"/>
                <w:lang w:eastAsia="zh-CN"/>
              </w:rPr>
              <w:t>多</w:t>
            </w:r>
            <w:r>
              <w:rPr>
                <w:rFonts w:hint="eastAsia" w:ascii="宋体" w:hAnsi="宋体" w:eastAsia="宋体" w:cs="宋体"/>
                <w:b w:val="0"/>
                <w:bCs w:val="0"/>
                <w:color w:val="auto"/>
                <w:sz w:val="21"/>
                <w:szCs w:val="21"/>
                <w:highlight w:val="none"/>
                <w:shd w:val="clear" w:color="auto" w:fill="auto"/>
              </w:rPr>
              <w:t>到</w:t>
            </w:r>
            <w:r>
              <w:rPr>
                <w:rFonts w:hint="eastAsia" w:ascii="宋体" w:hAnsi="宋体" w:eastAsia="宋体" w:cs="宋体"/>
                <w:b w:val="0"/>
                <w:bCs w:val="0"/>
                <w:color w:val="auto"/>
                <w:sz w:val="21"/>
                <w:szCs w:val="21"/>
                <w:highlight w:val="none"/>
                <w:shd w:val="clear" w:color="auto" w:fill="auto"/>
                <w:lang w:eastAsia="zh-CN"/>
              </w:rPr>
              <w:t>少</w:t>
            </w:r>
            <w:r>
              <w:rPr>
                <w:rFonts w:hint="eastAsia" w:ascii="宋体" w:hAnsi="宋体" w:eastAsia="宋体" w:cs="宋体"/>
                <w:b w:val="0"/>
                <w:bCs w:val="0"/>
                <w:color w:val="auto"/>
                <w:sz w:val="21"/>
                <w:szCs w:val="21"/>
                <w:highlight w:val="none"/>
                <w:shd w:val="clear" w:color="auto" w:fill="auto"/>
              </w:rPr>
              <w:t>排序进行评审</w:t>
            </w:r>
            <w:r>
              <w:rPr>
                <w:rFonts w:hint="eastAsia" w:ascii="宋体" w:hAnsi="宋体" w:eastAsia="宋体" w:cs="宋体"/>
                <w:b w:val="0"/>
                <w:bCs w:val="0"/>
                <w:color w:val="auto"/>
                <w:sz w:val="21"/>
                <w:szCs w:val="21"/>
                <w:highlight w:val="none"/>
                <w:shd w:val="clear" w:color="auto" w:fill="auto"/>
                <w:lang w:val="en-US" w:eastAsia="zh-CN"/>
              </w:rPr>
              <w:t>：服务网点数量排名第一的</w:t>
            </w:r>
            <w:r>
              <w:rPr>
                <w:rFonts w:hint="eastAsia" w:ascii="宋体" w:hAnsi="宋体" w:eastAsia="宋体" w:cs="宋体"/>
                <w:b w:val="0"/>
                <w:bCs w:val="0"/>
                <w:color w:val="auto"/>
                <w:sz w:val="21"/>
                <w:szCs w:val="21"/>
                <w:highlight w:val="none"/>
                <w:shd w:val="clear" w:color="auto" w:fill="auto"/>
              </w:rPr>
              <w:t>得</w:t>
            </w:r>
            <w:r>
              <w:rPr>
                <w:rFonts w:hint="eastAsia" w:ascii="宋体" w:hAnsi="宋体" w:eastAsia="宋体" w:cs="宋体"/>
                <w:b w:val="0"/>
                <w:bCs w:val="0"/>
                <w:color w:val="auto"/>
                <w:sz w:val="21"/>
                <w:szCs w:val="21"/>
                <w:highlight w:val="none"/>
                <w:shd w:val="clear" w:color="auto" w:fill="auto"/>
                <w:lang w:val="en-US" w:eastAsia="zh-CN"/>
              </w:rPr>
              <w:t>5</w:t>
            </w:r>
            <w:r>
              <w:rPr>
                <w:rFonts w:hint="eastAsia" w:ascii="宋体" w:hAnsi="宋体" w:eastAsia="宋体" w:cs="宋体"/>
                <w:b w:val="0"/>
                <w:bCs w:val="0"/>
                <w:color w:val="auto"/>
                <w:sz w:val="21"/>
                <w:szCs w:val="21"/>
                <w:highlight w:val="none"/>
                <w:shd w:val="clear" w:color="auto" w:fill="auto"/>
              </w:rPr>
              <w:t>分</w:t>
            </w:r>
            <w:r>
              <w:rPr>
                <w:rFonts w:hint="eastAsia" w:ascii="宋体" w:hAnsi="宋体" w:eastAsia="宋体" w:cs="宋体"/>
                <w:b w:val="0"/>
                <w:bCs w:val="0"/>
                <w:color w:val="auto"/>
                <w:sz w:val="21"/>
                <w:szCs w:val="21"/>
                <w:highlight w:val="none"/>
                <w:shd w:val="clear" w:color="auto" w:fill="auto"/>
                <w:lang w:eastAsia="zh-CN"/>
              </w:rPr>
              <w:t>，排名每下降一位扣</w:t>
            </w:r>
            <w:r>
              <w:rPr>
                <w:rFonts w:hint="eastAsia" w:ascii="宋体" w:hAnsi="宋体" w:eastAsia="宋体" w:cs="宋体"/>
                <w:b w:val="0"/>
                <w:bCs w:val="0"/>
                <w:color w:val="auto"/>
                <w:sz w:val="21"/>
                <w:szCs w:val="21"/>
                <w:highlight w:val="none"/>
                <w:shd w:val="clear" w:color="auto" w:fill="auto"/>
                <w:lang w:val="en-US" w:eastAsia="zh-CN"/>
              </w:rPr>
              <w:t>1</w:t>
            </w:r>
            <w:r>
              <w:rPr>
                <w:rFonts w:hint="eastAsia" w:ascii="宋体" w:hAnsi="宋体" w:eastAsia="宋体" w:cs="宋体"/>
                <w:b w:val="0"/>
                <w:bCs w:val="0"/>
                <w:color w:val="auto"/>
                <w:sz w:val="21"/>
                <w:szCs w:val="21"/>
                <w:highlight w:val="none"/>
                <w:shd w:val="clear" w:color="auto" w:fill="auto"/>
                <w:lang w:eastAsia="zh-CN"/>
              </w:rPr>
              <w:t>分，以此类推，本项最低得分为</w:t>
            </w:r>
            <w:r>
              <w:rPr>
                <w:rFonts w:hint="eastAsia" w:ascii="宋体" w:hAnsi="宋体" w:eastAsia="宋体" w:cs="宋体"/>
                <w:b w:val="0"/>
                <w:bCs w:val="0"/>
                <w:color w:val="auto"/>
                <w:sz w:val="21"/>
                <w:szCs w:val="21"/>
                <w:highlight w:val="none"/>
                <w:shd w:val="clear" w:color="auto" w:fill="auto"/>
                <w:lang w:val="en-US" w:eastAsia="zh-CN"/>
              </w:rPr>
              <w:t>0分</w:t>
            </w:r>
            <w:r>
              <w:rPr>
                <w:rFonts w:hint="eastAsia" w:ascii="宋体" w:hAnsi="宋体" w:eastAsia="宋体" w:cs="宋体"/>
                <w:b w:val="0"/>
                <w:bCs w:val="0"/>
                <w:color w:val="auto"/>
                <w:sz w:val="21"/>
                <w:szCs w:val="21"/>
                <w:highlight w:val="none"/>
                <w:shd w:val="clear" w:color="auto" w:fill="auto"/>
                <w:lang w:eastAsia="zh-CN"/>
              </w:rPr>
              <w:t>。</w:t>
            </w:r>
          </w:p>
          <w:p>
            <w:pPr>
              <w:spacing w:line="360" w:lineRule="auto"/>
              <w:jc w:val="left"/>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eastAsia="zh-CN"/>
              </w:rPr>
              <w:t>注：需提供网点有效营业执照与保险经营许可证复印件，不提供不得分。</w:t>
            </w:r>
          </w:p>
        </w:tc>
        <w:tc>
          <w:tcPr>
            <w:tcW w:w="571" w:type="dxa"/>
            <w:shd w:val="clear" w:color="auto" w:fill="auto"/>
            <w:tcMar>
              <w:top w:w="10" w:type="dxa"/>
              <w:left w:w="10" w:type="dxa"/>
              <w:right w:w="10" w:type="dxa"/>
            </w:tcMar>
            <w:vAlign w:val="center"/>
          </w:tcPr>
          <w:p>
            <w:pPr>
              <w:spacing w:line="360" w:lineRule="auto"/>
              <w:jc w:val="center"/>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124" w:hRule="atLeast"/>
        </w:trPr>
        <w:tc>
          <w:tcPr>
            <w:tcW w:w="572" w:type="dxa"/>
            <w:vMerge w:val="continue"/>
            <w:shd w:val="clear" w:color="auto" w:fill="auto"/>
            <w:tcMar>
              <w:top w:w="10" w:type="dxa"/>
              <w:left w:w="10" w:type="dxa"/>
              <w:right w:w="10" w:type="dxa"/>
            </w:tcMar>
            <w:vAlign w:val="center"/>
          </w:tcPr>
          <w:p>
            <w:pPr>
              <w:snapToGrid w:val="0"/>
              <w:spacing w:line="360" w:lineRule="auto"/>
              <w:jc w:val="center"/>
              <w:rPr>
                <w:rFonts w:hint="eastAsia" w:ascii="宋体" w:hAnsi="宋体" w:eastAsia="宋体" w:cs="宋体"/>
                <w:color w:val="auto"/>
                <w:sz w:val="21"/>
                <w:szCs w:val="21"/>
                <w:highlight w:val="none"/>
                <w:shd w:val="clear" w:color="auto" w:fill="auto"/>
                <w:lang w:val="en-US" w:eastAsia="zh-CN"/>
              </w:rPr>
            </w:pPr>
          </w:p>
        </w:tc>
        <w:tc>
          <w:tcPr>
            <w:tcW w:w="1284" w:type="dxa"/>
            <w:vMerge w:val="continue"/>
            <w:shd w:val="clear" w:color="auto" w:fill="auto"/>
            <w:tcMar>
              <w:top w:w="10" w:type="dxa"/>
              <w:left w:w="10" w:type="dxa"/>
              <w:right w:w="10" w:type="dxa"/>
            </w:tcMar>
            <w:vAlign w:val="center"/>
          </w:tcPr>
          <w:p>
            <w:pPr>
              <w:spacing w:line="360" w:lineRule="auto"/>
              <w:jc w:val="left"/>
              <w:rPr>
                <w:rFonts w:hint="eastAsia" w:ascii="宋体" w:hAnsi="宋体" w:eastAsia="宋体" w:cs="宋体"/>
                <w:color w:val="auto"/>
                <w:sz w:val="21"/>
                <w:szCs w:val="21"/>
                <w:highlight w:val="none"/>
                <w:shd w:val="clear" w:color="auto" w:fill="auto"/>
                <w:lang w:val="en-US" w:eastAsia="zh-CN"/>
              </w:rPr>
            </w:pPr>
          </w:p>
        </w:tc>
        <w:tc>
          <w:tcPr>
            <w:tcW w:w="7132" w:type="dxa"/>
            <w:gridSpan w:val="2"/>
            <w:shd w:val="clear" w:color="auto" w:fill="auto"/>
            <w:tcMar>
              <w:top w:w="10" w:type="dxa"/>
              <w:left w:w="10" w:type="dxa"/>
              <w:right w:w="10" w:type="dxa"/>
            </w:tcMar>
            <w:vAlign w:val="center"/>
          </w:tcPr>
          <w:p>
            <w:pPr>
              <w:spacing w:line="360" w:lineRule="auto"/>
              <w:jc w:val="left"/>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cs="宋体"/>
                <w:b w:val="0"/>
                <w:bCs w:val="0"/>
                <w:color w:val="auto"/>
                <w:sz w:val="21"/>
                <w:szCs w:val="21"/>
                <w:highlight w:val="none"/>
                <w:shd w:val="clear" w:color="auto" w:fill="auto"/>
                <w:lang w:val="en-US" w:eastAsia="zh-CN"/>
              </w:rPr>
              <w:t>【客观分】</w:t>
            </w:r>
            <w:r>
              <w:rPr>
                <w:rFonts w:hint="eastAsia" w:ascii="宋体" w:hAnsi="宋体" w:eastAsia="宋体" w:cs="宋体"/>
                <w:b w:val="0"/>
                <w:bCs w:val="0"/>
                <w:color w:val="auto"/>
                <w:sz w:val="21"/>
                <w:szCs w:val="21"/>
                <w:highlight w:val="none"/>
                <w:shd w:val="clear" w:color="auto" w:fill="auto"/>
                <w:lang w:val="en-US" w:eastAsia="zh-CN"/>
              </w:rPr>
              <w:t>三、提供投标人总公司2024年第四季度万张保单投诉量（件/万张）由低到高排序进行评审，万张保单投诉量（件/万张）最低的为第一名得12分，排名每下降一位扣1分，以此类推，本项最低得分为5分。</w:t>
            </w:r>
          </w:p>
          <w:p>
            <w:pPr>
              <w:spacing w:line="360" w:lineRule="auto"/>
              <w:jc w:val="left"/>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注：各投标人需提供扫描件并加盖投标人单位公章，不提供不得分。</w:t>
            </w:r>
          </w:p>
        </w:tc>
        <w:tc>
          <w:tcPr>
            <w:tcW w:w="571" w:type="dxa"/>
            <w:shd w:val="clear" w:color="auto" w:fill="auto"/>
            <w:tcMar>
              <w:top w:w="10" w:type="dxa"/>
              <w:left w:w="10" w:type="dxa"/>
              <w:right w:w="10" w:type="dxa"/>
            </w:tcMar>
            <w:vAlign w:val="center"/>
          </w:tcPr>
          <w:p>
            <w:pPr>
              <w:spacing w:line="360" w:lineRule="auto"/>
              <w:jc w:val="center"/>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06" w:hRule="atLeast"/>
        </w:trPr>
        <w:tc>
          <w:tcPr>
            <w:tcW w:w="572" w:type="dxa"/>
            <w:shd w:val="clear" w:color="auto" w:fill="auto"/>
            <w:tcMar>
              <w:top w:w="10" w:type="dxa"/>
              <w:left w:w="10" w:type="dxa"/>
              <w:right w:w="10" w:type="dxa"/>
            </w:tcMar>
            <w:vAlign w:val="center"/>
          </w:tcPr>
          <w:p>
            <w:pPr>
              <w:spacing w:line="360" w:lineRule="auto"/>
              <w:jc w:val="center"/>
              <w:textAlignment w:val="center"/>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2</w:t>
            </w:r>
          </w:p>
        </w:tc>
        <w:tc>
          <w:tcPr>
            <w:tcW w:w="1284" w:type="dxa"/>
            <w:shd w:val="clear" w:color="auto" w:fill="auto"/>
            <w:tcMar>
              <w:top w:w="10" w:type="dxa"/>
              <w:left w:w="10" w:type="dxa"/>
              <w:right w:w="10" w:type="dxa"/>
            </w:tcMar>
            <w:vAlign w:val="center"/>
          </w:tcPr>
          <w:p>
            <w:pPr>
              <w:widowControl/>
              <w:spacing w:line="360" w:lineRule="auto"/>
              <w:jc w:val="center"/>
              <w:rPr>
                <w:rFonts w:hint="eastAsia" w:ascii="宋体" w:hAnsi="宋体" w:eastAsia="宋体" w:cs="宋体"/>
                <w:b/>
                <w:color w:val="auto"/>
                <w:kern w:val="0"/>
                <w:sz w:val="21"/>
                <w:szCs w:val="21"/>
                <w:highlight w:val="none"/>
                <w:shd w:val="clear" w:color="auto" w:fill="auto"/>
              </w:rPr>
            </w:pPr>
            <w:r>
              <w:rPr>
                <w:rFonts w:hint="eastAsia" w:ascii="宋体" w:hAnsi="宋体" w:eastAsia="宋体" w:cs="宋体"/>
                <w:b/>
                <w:color w:val="auto"/>
                <w:kern w:val="0"/>
                <w:sz w:val="21"/>
                <w:szCs w:val="21"/>
                <w:highlight w:val="none"/>
                <w:shd w:val="clear" w:color="auto" w:fill="auto"/>
              </w:rPr>
              <w:t>偿付能力</w:t>
            </w:r>
          </w:p>
          <w:p>
            <w:pPr>
              <w:widowControl/>
              <w:spacing w:line="360" w:lineRule="auto"/>
              <w:jc w:val="center"/>
              <w:rPr>
                <w:rFonts w:hint="eastAsia" w:ascii="宋体" w:hAnsi="宋体" w:eastAsia="宋体" w:cs="宋体"/>
                <w:b/>
                <w:color w:val="auto"/>
                <w:kern w:val="0"/>
                <w:sz w:val="21"/>
                <w:szCs w:val="21"/>
                <w:highlight w:val="none"/>
                <w:shd w:val="clear" w:color="auto" w:fill="auto"/>
              </w:rPr>
            </w:pPr>
            <w:r>
              <w:rPr>
                <w:rFonts w:hint="eastAsia" w:ascii="宋体" w:hAnsi="宋体" w:eastAsia="宋体" w:cs="宋体"/>
                <w:b/>
                <w:color w:val="auto"/>
                <w:kern w:val="0"/>
                <w:sz w:val="21"/>
                <w:szCs w:val="21"/>
                <w:highlight w:val="none"/>
                <w:shd w:val="clear" w:color="auto" w:fill="auto"/>
              </w:rPr>
              <w:t>（</w:t>
            </w:r>
            <w:r>
              <w:rPr>
                <w:rFonts w:hint="eastAsia" w:ascii="宋体" w:hAnsi="宋体" w:eastAsia="宋体" w:cs="宋体"/>
                <w:b/>
                <w:color w:val="auto"/>
                <w:kern w:val="0"/>
                <w:sz w:val="21"/>
                <w:szCs w:val="21"/>
                <w:highlight w:val="none"/>
                <w:shd w:val="clear" w:color="auto" w:fill="auto"/>
                <w:lang w:val="en-US" w:eastAsia="zh-CN"/>
              </w:rPr>
              <w:t>5</w:t>
            </w:r>
            <w:r>
              <w:rPr>
                <w:rFonts w:hint="eastAsia" w:ascii="宋体" w:hAnsi="宋体" w:eastAsia="宋体" w:cs="宋体"/>
                <w:b/>
                <w:color w:val="auto"/>
                <w:kern w:val="0"/>
                <w:sz w:val="21"/>
                <w:szCs w:val="21"/>
                <w:highlight w:val="none"/>
                <w:shd w:val="clear" w:color="auto" w:fill="auto"/>
              </w:rPr>
              <w:t>分）</w:t>
            </w:r>
          </w:p>
        </w:tc>
        <w:tc>
          <w:tcPr>
            <w:tcW w:w="7132" w:type="dxa"/>
            <w:gridSpan w:val="2"/>
            <w:shd w:val="clear" w:color="auto" w:fill="auto"/>
            <w:tcMar>
              <w:top w:w="10" w:type="dxa"/>
              <w:left w:w="10" w:type="dxa"/>
              <w:right w:w="10" w:type="dxa"/>
            </w:tcMar>
            <w:vAlign w:val="center"/>
          </w:tcPr>
          <w:p>
            <w:pPr>
              <w:spacing w:line="360" w:lineRule="auto"/>
              <w:rPr>
                <w:rFonts w:hint="eastAsia" w:ascii="宋体" w:hAnsi="宋体" w:eastAsia="宋体" w:cs="宋体"/>
                <w:b w:val="0"/>
                <w:bCs w:val="0"/>
                <w:color w:val="auto"/>
                <w:sz w:val="21"/>
                <w:szCs w:val="21"/>
                <w:highlight w:val="none"/>
                <w:shd w:val="clear" w:color="auto" w:fill="auto"/>
              </w:rPr>
            </w:pPr>
            <w:r>
              <w:rPr>
                <w:rFonts w:hint="eastAsia" w:ascii="宋体" w:hAnsi="宋体" w:cs="宋体"/>
                <w:b w:val="0"/>
                <w:bCs w:val="0"/>
                <w:color w:val="auto"/>
                <w:sz w:val="21"/>
                <w:szCs w:val="21"/>
                <w:highlight w:val="none"/>
                <w:shd w:val="clear" w:color="auto" w:fill="auto"/>
                <w:lang w:val="en-US" w:eastAsia="zh-CN"/>
              </w:rPr>
              <w:t>【客观分】</w:t>
            </w:r>
            <w:r>
              <w:rPr>
                <w:rFonts w:hint="eastAsia" w:ascii="宋体" w:hAnsi="宋体" w:eastAsia="宋体" w:cs="宋体"/>
                <w:b w:val="0"/>
                <w:bCs w:val="0"/>
                <w:color w:val="auto"/>
                <w:sz w:val="21"/>
                <w:szCs w:val="21"/>
                <w:highlight w:val="none"/>
                <w:shd w:val="clear" w:color="auto" w:fill="auto"/>
              </w:rPr>
              <w:t>根据投标人总公司202</w:t>
            </w:r>
            <w:r>
              <w:rPr>
                <w:rFonts w:hint="eastAsia" w:ascii="宋体" w:hAnsi="宋体" w:eastAsia="宋体" w:cs="宋体"/>
                <w:b w:val="0"/>
                <w:bCs w:val="0"/>
                <w:color w:val="auto"/>
                <w:sz w:val="21"/>
                <w:szCs w:val="21"/>
                <w:highlight w:val="none"/>
                <w:shd w:val="clear" w:color="auto" w:fill="auto"/>
                <w:lang w:val="en-US" w:eastAsia="zh-CN"/>
              </w:rPr>
              <w:t>5</w:t>
            </w:r>
            <w:r>
              <w:rPr>
                <w:rFonts w:hint="eastAsia" w:ascii="宋体" w:hAnsi="宋体" w:eastAsia="宋体" w:cs="宋体"/>
                <w:b w:val="0"/>
                <w:bCs w:val="0"/>
                <w:color w:val="auto"/>
                <w:sz w:val="21"/>
                <w:szCs w:val="21"/>
                <w:highlight w:val="none"/>
                <w:shd w:val="clear" w:color="auto" w:fill="auto"/>
              </w:rPr>
              <w:t>年第</w:t>
            </w:r>
            <w:r>
              <w:rPr>
                <w:rFonts w:hint="eastAsia" w:ascii="宋体" w:hAnsi="宋体" w:eastAsia="宋体" w:cs="宋体"/>
                <w:b w:val="0"/>
                <w:bCs w:val="0"/>
                <w:color w:val="auto"/>
                <w:sz w:val="21"/>
                <w:szCs w:val="21"/>
                <w:highlight w:val="none"/>
                <w:shd w:val="clear" w:color="auto" w:fill="auto"/>
                <w:lang w:eastAsia="zh-CN"/>
              </w:rPr>
              <w:t>二</w:t>
            </w:r>
            <w:r>
              <w:rPr>
                <w:rFonts w:hint="eastAsia" w:ascii="宋体" w:hAnsi="宋体" w:eastAsia="宋体" w:cs="宋体"/>
                <w:b w:val="0"/>
                <w:bCs w:val="0"/>
                <w:color w:val="auto"/>
                <w:sz w:val="21"/>
                <w:szCs w:val="21"/>
                <w:highlight w:val="none"/>
                <w:shd w:val="clear" w:color="auto" w:fill="auto"/>
              </w:rPr>
              <w:t>季度综合偿付能力充足率进行评分。（</w:t>
            </w:r>
            <w:r>
              <w:rPr>
                <w:rFonts w:hint="eastAsia" w:ascii="宋体" w:hAnsi="宋体" w:eastAsia="宋体" w:cs="宋体"/>
                <w:sz w:val="21"/>
                <w:szCs w:val="21"/>
              </w:rPr>
              <w:t>以中国保险行业协会http://www.iachina.cn/公布的投标人</w:t>
            </w:r>
            <w:r>
              <w:rPr>
                <w:rFonts w:hint="eastAsia" w:ascii="宋体" w:hAnsi="宋体" w:eastAsia="宋体" w:cs="宋体"/>
                <w:sz w:val="21"/>
                <w:szCs w:val="21"/>
                <w:lang w:val="en-US" w:eastAsia="zh-CN"/>
              </w:rPr>
              <w:t>最新</w:t>
            </w:r>
            <w:r>
              <w:rPr>
                <w:rFonts w:hint="eastAsia" w:ascii="宋体" w:hAnsi="宋体" w:eastAsia="宋体" w:cs="宋体"/>
                <w:sz w:val="21"/>
                <w:szCs w:val="21"/>
              </w:rPr>
              <w:t>年度信息披露报告中的综合偿付能力充足率为准。</w:t>
            </w:r>
            <w:r>
              <w:rPr>
                <w:rFonts w:hint="eastAsia" w:ascii="宋体" w:hAnsi="宋体" w:eastAsia="宋体" w:cs="宋体"/>
                <w:b w:val="0"/>
                <w:bCs w:val="0"/>
                <w:color w:val="auto"/>
                <w:sz w:val="21"/>
                <w:szCs w:val="21"/>
                <w:highlight w:val="none"/>
                <w:shd w:val="clear" w:color="auto" w:fill="auto"/>
              </w:rPr>
              <w:t>）</w:t>
            </w:r>
          </w:p>
          <w:p>
            <w:pPr>
              <w:spacing w:line="360" w:lineRule="auto"/>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（1）当100%≤综合偿付能力充足率＜150%时，得0分；</w:t>
            </w:r>
          </w:p>
          <w:p>
            <w:pPr>
              <w:spacing w:line="360" w:lineRule="auto"/>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（2）当150%≤综合偿付能力充足率＜200%时，得2分；</w:t>
            </w:r>
          </w:p>
          <w:p>
            <w:pPr>
              <w:spacing w:line="360" w:lineRule="auto"/>
              <w:jc w:val="left"/>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（3）当200%≤综合偿付能力充足率时，得</w:t>
            </w:r>
            <w:r>
              <w:rPr>
                <w:rFonts w:hint="eastAsia" w:ascii="宋体" w:hAnsi="宋体" w:eastAsia="宋体" w:cs="宋体"/>
                <w:b w:val="0"/>
                <w:bCs w:val="0"/>
                <w:color w:val="auto"/>
                <w:sz w:val="21"/>
                <w:szCs w:val="21"/>
                <w:highlight w:val="none"/>
                <w:shd w:val="clear" w:color="auto" w:fill="auto"/>
                <w:lang w:val="en-US" w:eastAsia="zh-CN"/>
              </w:rPr>
              <w:t>5</w:t>
            </w:r>
            <w:r>
              <w:rPr>
                <w:rFonts w:hint="eastAsia" w:ascii="宋体" w:hAnsi="宋体" w:eastAsia="宋体" w:cs="宋体"/>
                <w:b w:val="0"/>
                <w:bCs w:val="0"/>
                <w:color w:val="auto"/>
                <w:sz w:val="21"/>
                <w:szCs w:val="21"/>
                <w:highlight w:val="none"/>
                <w:shd w:val="clear" w:color="auto" w:fill="auto"/>
              </w:rPr>
              <w:t>分。</w:t>
            </w:r>
          </w:p>
        </w:tc>
        <w:tc>
          <w:tcPr>
            <w:tcW w:w="571" w:type="dxa"/>
            <w:shd w:val="clear" w:color="auto" w:fill="auto"/>
            <w:tcMar>
              <w:top w:w="10" w:type="dxa"/>
              <w:left w:w="10" w:type="dxa"/>
              <w:right w:w="10" w:type="dxa"/>
            </w:tcMar>
            <w:vAlign w:val="center"/>
          </w:tcPr>
          <w:p>
            <w:pPr>
              <w:snapToGrid w:val="0"/>
              <w:spacing w:line="360" w:lineRule="auto"/>
              <w:jc w:val="center"/>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06" w:hRule="atLeast"/>
        </w:trPr>
        <w:tc>
          <w:tcPr>
            <w:tcW w:w="572" w:type="dxa"/>
            <w:shd w:val="clear" w:color="auto" w:fill="auto"/>
            <w:tcMar>
              <w:top w:w="10" w:type="dxa"/>
              <w:left w:w="10" w:type="dxa"/>
              <w:right w:w="10" w:type="dxa"/>
            </w:tcMar>
            <w:vAlign w:val="center"/>
          </w:tcPr>
          <w:p>
            <w:pPr>
              <w:spacing w:line="360" w:lineRule="auto"/>
              <w:jc w:val="center"/>
              <w:textAlignment w:val="center"/>
              <w:rPr>
                <w:rFonts w:hint="eastAsia" w:ascii="宋体" w:hAnsi="宋体" w:eastAsia="宋体" w:cs="宋体"/>
                <w:b/>
                <w:color w:val="auto"/>
                <w:sz w:val="21"/>
                <w:szCs w:val="21"/>
                <w:highlight w:val="none"/>
                <w:shd w:val="clear" w:color="auto" w:fill="auto"/>
                <w:lang w:eastAsia="zh-CN"/>
              </w:rPr>
            </w:pPr>
            <w:r>
              <w:rPr>
                <w:rFonts w:hint="eastAsia" w:ascii="宋体" w:hAnsi="宋体" w:eastAsia="宋体" w:cs="宋体"/>
                <w:b/>
                <w:color w:val="auto"/>
                <w:sz w:val="21"/>
                <w:szCs w:val="21"/>
                <w:highlight w:val="none"/>
                <w:shd w:val="clear" w:color="auto" w:fill="auto"/>
                <w:lang w:val="en-US" w:eastAsia="zh-CN"/>
              </w:rPr>
              <w:t>3</w:t>
            </w:r>
          </w:p>
        </w:tc>
        <w:tc>
          <w:tcPr>
            <w:tcW w:w="1284" w:type="dxa"/>
            <w:shd w:val="clear" w:color="auto" w:fill="auto"/>
            <w:tcMar>
              <w:top w:w="10" w:type="dxa"/>
              <w:left w:w="10" w:type="dxa"/>
              <w:right w:w="10" w:type="dxa"/>
            </w:tcMar>
            <w:vAlign w:val="center"/>
          </w:tcPr>
          <w:p>
            <w:pPr>
              <w:widowControl/>
              <w:spacing w:line="360" w:lineRule="auto"/>
              <w:jc w:val="center"/>
              <w:rPr>
                <w:rFonts w:hint="eastAsia" w:ascii="宋体" w:hAnsi="宋体" w:eastAsia="宋体" w:cs="宋体"/>
                <w:b/>
                <w:color w:val="auto"/>
                <w:kern w:val="0"/>
                <w:sz w:val="21"/>
                <w:szCs w:val="21"/>
                <w:highlight w:val="none"/>
                <w:shd w:val="clear" w:color="auto" w:fill="auto"/>
              </w:rPr>
            </w:pPr>
            <w:r>
              <w:rPr>
                <w:rFonts w:hint="eastAsia" w:ascii="宋体" w:hAnsi="宋体" w:eastAsia="宋体" w:cs="宋体"/>
                <w:b/>
                <w:color w:val="auto"/>
                <w:sz w:val="21"/>
                <w:szCs w:val="21"/>
                <w:highlight w:val="none"/>
                <w:shd w:val="clear" w:color="auto" w:fill="auto"/>
              </w:rPr>
              <w:t>保险服务方案</w:t>
            </w:r>
            <w:r>
              <w:rPr>
                <w:rFonts w:hint="eastAsia" w:ascii="宋体" w:hAnsi="宋体" w:eastAsia="宋体" w:cs="宋体"/>
                <w:b/>
                <w:color w:val="auto"/>
                <w:kern w:val="0"/>
                <w:sz w:val="21"/>
                <w:szCs w:val="21"/>
                <w:highlight w:val="none"/>
                <w:shd w:val="clear" w:color="auto" w:fill="auto"/>
              </w:rPr>
              <w:t>（</w:t>
            </w:r>
            <w:r>
              <w:rPr>
                <w:rFonts w:hint="eastAsia" w:ascii="宋体" w:hAnsi="宋体" w:eastAsia="宋体" w:cs="宋体"/>
                <w:b/>
                <w:color w:val="auto"/>
                <w:kern w:val="0"/>
                <w:sz w:val="21"/>
                <w:szCs w:val="21"/>
                <w:highlight w:val="none"/>
                <w:shd w:val="clear" w:color="auto" w:fill="auto"/>
                <w:lang w:val="en-US" w:eastAsia="zh-CN"/>
              </w:rPr>
              <w:t>20</w:t>
            </w:r>
            <w:r>
              <w:rPr>
                <w:rFonts w:hint="eastAsia" w:ascii="宋体" w:hAnsi="宋体" w:eastAsia="宋体" w:cs="宋体"/>
                <w:b/>
                <w:color w:val="auto"/>
                <w:kern w:val="0"/>
                <w:sz w:val="21"/>
                <w:szCs w:val="21"/>
                <w:highlight w:val="none"/>
                <w:shd w:val="clear" w:color="auto" w:fill="auto"/>
              </w:rPr>
              <w:t>分）</w:t>
            </w:r>
          </w:p>
        </w:tc>
        <w:tc>
          <w:tcPr>
            <w:tcW w:w="7132" w:type="dxa"/>
            <w:gridSpan w:val="2"/>
            <w:shd w:val="clear" w:color="auto" w:fill="auto"/>
            <w:tcMar>
              <w:top w:w="10" w:type="dxa"/>
              <w:left w:w="10" w:type="dxa"/>
              <w:right w:w="10" w:type="dxa"/>
            </w:tcMar>
            <w:vAlign w:val="center"/>
          </w:tcPr>
          <w:p>
            <w:pPr>
              <w:spacing w:line="360" w:lineRule="auto"/>
              <w:rPr>
                <w:rFonts w:hint="eastAsia" w:ascii="宋体" w:hAnsi="宋体" w:eastAsia="宋体" w:cs="宋体"/>
                <w:b w:val="0"/>
                <w:bCs w:val="0"/>
                <w:color w:val="auto"/>
                <w:sz w:val="21"/>
                <w:szCs w:val="21"/>
                <w:highlight w:val="none"/>
                <w:shd w:val="clear" w:color="auto" w:fill="auto"/>
              </w:rPr>
            </w:pPr>
            <w:r>
              <w:rPr>
                <w:rFonts w:hint="eastAsia" w:ascii="宋体" w:hAnsi="宋体" w:cs="宋体"/>
                <w:b w:val="0"/>
                <w:bCs w:val="0"/>
                <w:color w:val="auto"/>
                <w:sz w:val="21"/>
                <w:szCs w:val="21"/>
                <w:highlight w:val="none"/>
                <w:shd w:val="clear" w:color="auto" w:fill="auto"/>
                <w:lang w:val="en-US" w:eastAsia="zh-CN"/>
              </w:rPr>
              <w:t>【主观分】</w:t>
            </w:r>
            <w:r>
              <w:rPr>
                <w:rFonts w:hint="eastAsia" w:ascii="宋体" w:hAnsi="宋体" w:eastAsia="宋体" w:cs="宋体"/>
                <w:b w:val="0"/>
                <w:bCs w:val="0"/>
                <w:color w:val="auto"/>
                <w:sz w:val="21"/>
                <w:szCs w:val="21"/>
                <w:highlight w:val="none"/>
                <w:shd w:val="clear" w:color="auto" w:fill="auto"/>
              </w:rPr>
              <w:t>根据投标人提供的保险服务方案（理赔办理流程、时间、方便程度、违约承诺等）情况，进行横向比较打分：评价为优得</w:t>
            </w:r>
            <w:r>
              <w:rPr>
                <w:rFonts w:hint="eastAsia" w:ascii="宋体" w:hAnsi="宋体" w:eastAsia="宋体" w:cs="宋体"/>
                <w:b w:val="0"/>
                <w:bCs w:val="0"/>
                <w:color w:val="auto"/>
                <w:sz w:val="21"/>
                <w:szCs w:val="21"/>
                <w:highlight w:val="none"/>
                <w:shd w:val="clear" w:color="auto" w:fill="auto"/>
                <w:lang w:val="en-US" w:eastAsia="zh-CN"/>
              </w:rPr>
              <w:t>16</w:t>
            </w:r>
            <w:r>
              <w:rPr>
                <w:rFonts w:hint="eastAsia" w:ascii="宋体" w:hAnsi="宋体" w:eastAsia="宋体" w:cs="宋体"/>
                <w:b w:val="0"/>
                <w:bCs w:val="0"/>
                <w:color w:val="auto"/>
                <w:sz w:val="21"/>
                <w:szCs w:val="21"/>
                <w:highlight w:val="none"/>
                <w:shd w:val="clear" w:color="auto" w:fill="auto"/>
              </w:rPr>
              <w:t>-</w:t>
            </w:r>
            <w:r>
              <w:rPr>
                <w:rFonts w:hint="eastAsia" w:ascii="宋体" w:hAnsi="宋体" w:eastAsia="宋体" w:cs="宋体"/>
                <w:b w:val="0"/>
                <w:bCs w:val="0"/>
                <w:color w:val="auto"/>
                <w:sz w:val="21"/>
                <w:szCs w:val="21"/>
                <w:highlight w:val="none"/>
                <w:shd w:val="clear" w:color="auto" w:fill="auto"/>
                <w:lang w:val="en-US" w:eastAsia="zh-CN"/>
              </w:rPr>
              <w:t>2</w:t>
            </w:r>
            <w:r>
              <w:rPr>
                <w:rFonts w:hint="eastAsia" w:ascii="宋体" w:hAnsi="宋体" w:eastAsia="宋体" w:cs="宋体"/>
                <w:b w:val="0"/>
                <w:bCs w:val="0"/>
                <w:color w:val="auto"/>
                <w:sz w:val="21"/>
                <w:szCs w:val="21"/>
                <w:highlight w:val="none"/>
                <w:shd w:val="clear" w:color="auto" w:fill="auto"/>
              </w:rPr>
              <w:t>0分；评价为良得</w:t>
            </w:r>
            <w:r>
              <w:rPr>
                <w:rFonts w:hint="eastAsia" w:ascii="宋体" w:hAnsi="宋体" w:eastAsia="宋体" w:cs="宋体"/>
                <w:b w:val="0"/>
                <w:bCs w:val="0"/>
                <w:color w:val="auto"/>
                <w:sz w:val="21"/>
                <w:szCs w:val="21"/>
                <w:highlight w:val="none"/>
                <w:shd w:val="clear" w:color="auto" w:fill="auto"/>
                <w:lang w:val="en-US" w:eastAsia="zh-CN"/>
              </w:rPr>
              <w:t>10</w:t>
            </w:r>
            <w:r>
              <w:rPr>
                <w:rFonts w:hint="eastAsia" w:ascii="宋体" w:hAnsi="宋体" w:eastAsia="宋体" w:cs="宋体"/>
                <w:b w:val="0"/>
                <w:bCs w:val="0"/>
                <w:color w:val="auto"/>
                <w:sz w:val="21"/>
                <w:szCs w:val="21"/>
                <w:highlight w:val="none"/>
                <w:shd w:val="clear" w:color="auto" w:fill="auto"/>
              </w:rPr>
              <w:t>-</w:t>
            </w:r>
            <w:r>
              <w:rPr>
                <w:rFonts w:hint="eastAsia" w:ascii="宋体" w:hAnsi="宋体" w:eastAsia="宋体" w:cs="宋体"/>
                <w:b w:val="0"/>
                <w:bCs w:val="0"/>
                <w:color w:val="auto"/>
                <w:sz w:val="21"/>
                <w:szCs w:val="21"/>
                <w:highlight w:val="none"/>
                <w:shd w:val="clear" w:color="auto" w:fill="auto"/>
                <w:lang w:val="en-US" w:eastAsia="zh-CN"/>
              </w:rPr>
              <w:t>15</w:t>
            </w:r>
            <w:r>
              <w:rPr>
                <w:rFonts w:hint="eastAsia" w:ascii="宋体" w:hAnsi="宋体" w:eastAsia="宋体" w:cs="宋体"/>
                <w:b w:val="0"/>
                <w:bCs w:val="0"/>
                <w:color w:val="auto"/>
                <w:sz w:val="21"/>
                <w:szCs w:val="21"/>
                <w:highlight w:val="none"/>
                <w:shd w:val="clear" w:color="auto" w:fill="auto"/>
              </w:rPr>
              <w:t>分；评价为中得</w:t>
            </w:r>
            <w:r>
              <w:rPr>
                <w:rFonts w:hint="eastAsia" w:ascii="宋体" w:hAnsi="宋体" w:eastAsia="宋体" w:cs="宋体"/>
                <w:b w:val="0"/>
                <w:bCs w:val="0"/>
                <w:color w:val="auto"/>
                <w:sz w:val="21"/>
                <w:szCs w:val="21"/>
                <w:highlight w:val="none"/>
                <w:shd w:val="clear" w:color="auto" w:fill="auto"/>
                <w:lang w:val="en-US" w:eastAsia="zh-CN"/>
              </w:rPr>
              <w:t>5</w:t>
            </w:r>
            <w:r>
              <w:rPr>
                <w:rFonts w:hint="eastAsia" w:ascii="宋体" w:hAnsi="宋体" w:eastAsia="宋体" w:cs="宋体"/>
                <w:b w:val="0"/>
                <w:bCs w:val="0"/>
                <w:color w:val="auto"/>
                <w:sz w:val="21"/>
                <w:szCs w:val="21"/>
                <w:highlight w:val="none"/>
                <w:shd w:val="clear" w:color="auto" w:fill="auto"/>
              </w:rPr>
              <w:t>-</w:t>
            </w:r>
            <w:r>
              <w:rPr>
                <w:rFonts w:hint="eastAsia" w:ascii="宋体" w:hAnsi="宋体" w:eastAsia="宋体" w:cs="宋体"/>
                <w:b w:val="0"/>
                <w:bCs w:val="0"/>
                <w:color w:val="auto"/>
                <w:sz w:val="21"/>
                <w:szCs w:val="21"/>
                <w:highlight w:val="none"/>
                <w:shd w:val="clear" w:color="auto" w:fill="auto"/>
                <w:lang w:val="en-US" w:eastAsia="zh-CN"/>
              </w:rPr>
              <w:t>9</w:t>
            </w:r>
            <w:r>
              <w:rPr>
                <w:rFonts w:hint="eastAsia" w:ascii="宋体" w:hAnsi="宋体" w:eastAsia="宋体" w:cs="宋体"/>
                <w:b w:val="0"/>
                <w:bCs w:val="0"/>
                <w:color w:val="auto"/>
                <w:sz w:val="21"/>
                <w:szCs w:val="21"/>
                <w:highlight w:val="none"/>
                <w:shd w:val="clear" w:color="auto" w:fill="auto"/>
              </w:rPr>
              <w:t>分；评价为差得0-</w:t>
            </w:r>
            <w:r>
              <w:rPr>
                <w:rFonts w:hint="eastAsia" w:ascii="宋体" w:hAnsi="宋体" w:eastAsia="宋体" w:cs="宋体"/>
                <w:b w:val="0"/>
                <w:bCs w:val="0"/>
                <w:color w:val="auto"/>
                <w:sz w:val="21"/>
                <w:szCs w:val="21"/>
                <w:highlight w:val="none"/>
                <w:shd w:val="clear" w:color="auto" w:fill="auto"/>
                <w:lang w:val="en-US" w:eastAsia="zh-CN"/>
              </w:rPr>
              <w:t>4</w:t>
            </w:r>
            <w:r>
              <w:rPr>
                <w:rFonts w:hint="eastAsia" w:ascii="宋体" w:hAnsi="宋体" w:eastAsia="宋体" w:cs="宋体"/>
                <w:b w:val="0"/>
                <w:bCs w:val="0"/>
                <w:color w:val="auto"/>
                <w:sz w:val="21"/>
                <w:szCs w:val="21"/>
                <w:highlight w:val="none"/>
                <w:shd w:val="clear" w:color="auto" w:fill="auto"/>
              </w:rPr>
              <w:t>分。</w:t>
            </w:r>
          </w:p>
          <w:p>
            <w:pPr>
              <w:spacing w:line="360" w:lineRule="auto"/>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（1）方案符合本项目的工作要求，内容非常详细、合理且有针对性为“优”；</w:t>
            </w:r>
          </w:p>
          <w:p>
            <w:pPr>
              <w:spacing w:line="360" w:lineRule="auto"/>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w:t>
            </w:r>
            <w:r>
              <w:rPr>
                <w:rFonts w:hint="eastAsia" w:ascii="宋体" w:hAnsi="宋体" w:eastAsia="宋体" w:cs="宋体"/>
                <w:b w:val="0"/>
                <w:bCs w:val="0"/>
                <w:color w:val="auto"/>
                <w:sz w:val="21"/>
                <w:szCs w:val="21"/>
                <w:highlight w:val="none"/>
                <w:shd w:val="clear" w:color="auto" w:fill="auto"/>
                <w:lang w:val="en-US" w:eastAsia="zh-CN"/>
              </w:rPr>
              <w:t>2</w:t>
            </w:r>
            <w:r>
              <w:rPr>
                <w:rFonts w:hint="eastAsia" w:ascii="宋体" w:hAnsi="宋体" w:eastAsia="宋体" w:cs="宋体"/>
                <w:b w:val="0"/>
                <w:bCs w:val="0"/>
                <w:color w:val="auto"/>
                <w:sz w:val="21"/>
                <w:szCs w:val="21"/>
                <w:highlight w:val="none"/>
                <w:shd w:val="clear" w:color="auto" w:fill="auto"/>
              </w:rPr>
              <w:t>）方案符合本项目的工作要求，内容较详细且有针对性，为“良”；</w:t>
            </w:r>
          </w:p>
          <w:p>
            <w:pPr>
              <w:spacing w:line="360" w:lineRule="auto"/>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w:t>
            </w:r>
            <w:r>
              <w:rPr>
                <w:rFonts w:hint="eastAsia" w:ascii="宋体" w:hAnsi="宋体" w:eastAsia="宋体" w:cs="宋体"/>
                <w:b w:val="0"/>
                <w:bCs w:val="0"/>
                <w:color w:val="auto"/>
                <w:sz w:val="21"/>
                <w:szCs w:val="21"/>
                <w:highlight w:val="none"/>
                <w:shd w:val="clear" w:color="auto" w:fill="auto"/>
                <w:lang w:val="en-US" w:eastAsia="zh-CN"/>
              </w:rPr>
              <w:t>3</w:t>
            </w:r>
            <w:r>
              <w:rPr>
                <w:rFonts w:hint="eastAsia" w:ascii="宋体" w:hAnsi="宋体" w:eastAsia="宋体" w:cs="宋体"/>
                <w:b w:val="0"/>
                <w:bCs w:val="0"/>
                <w:color w:val="auto"/>
                <w:sz w:val="21"/>
                <w:szCs w:val="21"/>
                <w:highlight w:val="none"/>
                <w:shd w:val="clear" w:color="auto" w:fill="auto"/>
              </w:rPr>
              <w:t>）方案较符合本项目的工作要求，内容较简单，为“中”；</w:t>
            </w:r>
          </w:p>
          <w:p>
            <w:pPr>
              <w:spacing w:line="360" w:lineRule="auto"/>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w:t>
            </w:r>
            <w:r>
              <w:rPr>
                <w:rFonts w:hint="eastAsia" w:ascii="宋体" w:hAnsi="宋体" w:eastAsia="宋体" w:cs="宋体"/>
                <w:b w:val="0"/>
                <w:bCs w:val="0"/>
                <w:color w:val="auto"/>
                <w:sz w:val="21"/>
                <w:szCs w:val="21"/>
                <w:highlight w:val="none"/>
                <w:shd w:val="clear" w:color="auto" w:fill="auto"/>
                <w:lang w:val="en-US" w:eastAsia="zh-CN"/>
              </w:rPr>
              <w:t>4</w:t>
            </w:r>
            <w:r>
              <w:rPr>
                <w:rFonts w:hint="eastAsia" w:ascii="宋体" w:hAnsi="宋体" w:eastAsia="宋体" w:cs="宋体"/>
                <w:b w:val="0"/>
                <w:bCs w:val="0"/>
                <w:color w:val="auto"/>
                <w:sz w:val="21"/>
                <w:szCs w:val="21"/>
                <w:highlight w:val="none"/>
                <w:shd w:val="clear" w:color="auto" w:fill="auto"/>
              </w:rPr>
              <w:t>）方案基本符合本项目的工作要求，内容非常简单，为“差”。</w:t>
            </w:r>
          </w:p>
        </w:tc>
        <w:tc>
          <w:tcPr>
            <w:tcW w:w="571" w:type="dxa"/>
            <w:shd w:val="clear" w:color="auto" w:fill="auto"/>
            <w:tcMar>
              <w:top w:w="10" w:type="dxa"/>
              <w:left w:w="10" w:type="dxa"/>
              <w:right w:w="10" w:type="dxa"/>
            </w:tcMar>
            <w:vAlign w:val="center"/>
          </w:tcPr>
          <w:p>
            <w:pPr>
              <w:snapToGrid w:val="0"/>
              <w:spacing w:line="360" w:lineRule="auto"/>
              <w:jc w:val="center"/>
              <w:rPr>
                <w:rFonts w:hint="eastAsia" w:ascii="宋体" w:hAnsi="宋体" w:eastAsia="宋体" w:cs="宋体"/>
                <w:b w:val="0"/>
                <w:bCs w:val="0"/>
                <w:color w:val="auto"/>
                <w:sz w:val="21"/>
                <w:szCs w:val="21"/>
                <w:highlight w:val="none"/>
                <w:shd w:val="clear" w:color="auto" w:fill="auto"/>
                <w:lang w:eastAsia="zh-CN"/>
              </w:rPr>
            </w:pPr>
            <w:r>
              <w:rPr>
                <w:rFonts w:hint="eastAsia" w:ascii="宋体" w:hAnsi="宋体" w:eastAsia="宋体" w:cs="宋体"/>
                <w:b w:val="0"/>
                <w:bCs w:val="0"/>
                <w:color w:val="auto"/>
                <w:sz w:val="21"/>
                <w:szCs w:val="21"/>
                <w:highlight w:val="none"/>
                <w:shd w:val="clear" w:color="auto" w:fill="auto"/>
                <w:lang w:val="en-US" w:eastAsia="zh-CN"/>
              </w:rPr>
              <w:t>2</w:t>
            </w:r>
            <w:r>
              <w:rPr>
                <w:rFonts w:hint="eastAsia" w:ascii="宋体" w:hAnsi="宋体" w:cs="宋体"/>
                <w:b w:val="0"/>
                <w:bCs w:val="0"/>
                <w:color w:val="auto"/>
                <w:sz w:val="21"/>
                <w:szCs w:val="21"/>
                <w:highlight w:val="none"/>
                <w:shd w:val="clear" w:color="auto" w:fill="auto"/>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06" w:hRule="atLeast"/>
        </w:trPr>
        <w:tc>
          <w:tcPr>
            <w:tcW w:w="572" w:type="dxa"/>
            <w:shd w:val="clear" w:color="auto" w:fill="auto"/>
            <w:tcMar>
              <w:top w:w="10" w:type="dxa"/>
              <w:left w:w="10" w:type="dxa"/>
              <w:right w:w="10" w:type="dxa"/>
            </w:tcMar>
            <w:vAlign w:val="center"/>
          </w:tcPr>
          <w:p>
            <w:pPr>
              <w:spacing w:line="360" w:lineRule="auto"/>
              <w:jc w:val="center"/>
              <w:textAlignment w:val="center"/>
              <w:rPr>
                <w:rFonts w:hint="eastAsia" w:ascii="宋体" w:hAnsi="宋体" w:eastAsia="宋体" w:cs="宋体"/>
                <w:b/>
                <w:color w:val="auto"/>
                <w:sz w:val="21"/>
                <w:szCs w:val="21"/>
                <w:highlight w:val="none"/>
                <w:shd w:val="clear" w:color="auto" w:fill="auto"/>
                <w:lang w:val="en-US" w:eastAsia="zh-CN"/>
              </w:rPr>
            </w:pPr>
            <w:r>
              <w:rPr>
                <w:rFonts w:hint="eastAsia" w:ascii="宋体" w:hAnsi="宋体" w:eastAsia="宋体" w:cs="宋体"/>
                <w:b/>
                <w:color w:val="auto"/>
                <w:sz w:val="21"/>
                <w:szCs w:val="21"/>
                <w:highlight w:val="none"/>
                <w:shd w:val="clear" w:color="auto" w:fill="auto"/>
                <w:lang w:val="en-US" w:eastAsia="zh-CN"/>
              </w:rPr>
              <w:t>4</w:t>
            </w:r>
          </w:p>
        </w:tc>
        <w:tc>
          <w:tcPr>
            <w:tcW w:w="1284" w:type="dxa"/>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1"/>
                <w:szCs w:val="21"/>
                <w:highlight w:val="none"/>
                <w:shd w:val="clear" w:color="auto" w:fill="auto"/>
                <w:lang w:val="en-US" w:eastAsia="zh-CN"/>
              </w:rPr>
            </w:pPr>
            <w:r>
              <w:rPr>
                <w:rFonts w:hint="eastAsia" w:ascii="宋体" w:hAnsi="宋体" w:eastAsia="宋体" w:cs="宋体"/>
                <w:b/>
                <w:color w:val="auto"/>
                <w:sz w:val="21"/>
                <w:szCs w:val="21"/>
                <w:highlight w:val="none"/>
                <w:shd w:val="clear" w:color="auto" w:fill="auto"/>
                <w:lang w:val="en-US" w:eastAsia="zh-CN"/>
              </w:rPr>
              <w:t>项目保障措施</w:t>
            </w:r>
          </w:p>
          <w:p>
            <w:pPr>
              <w:keepNext w:val="0"/>
              <w:keepLines w:val="0"/>
              <w:pageBreakBefore w:val="0"/>
              <w:widowControl w:val="0"/>
              <w:kinsoku/>
              <w:wordWrap/>
              <w:overflowPunct/>
              <w:topLinePunct w:val="0"/>
              <w:autoSpaceDE/>
              <w:autoSpaceDN/>
              <w:bidi w:val="0"/>
              <w:adjustRightInd/>
              <w:snapToGrid/>
              <w:spacing w:after="120" w:line="360" w:lineRule="auto"/>
              <w:ind w:left="0" w:leftChars="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b/>
                <w:color w:val="auto"/>
                <w:kern w:val="2"/>
                <w:sz w:val="21"/>
                <w:szCs w:val="21"/>
                <w:highlight w:val="none"/>
                <w:shd w:val="clear" w:color="auto" w:fill="auto"/>
                <w:lang w:val="en-US" w:eastAsia="zh-CN" w:bidi="ar-SA"/>
              </w:rPr>
              <w:t>（1分）</w:t>
            </w:r>
          </w:p>
        </w:tc>
        <w:tc>
          <w:tcPr>
            <w:tcW w:w="7132" w:type="dxa"/>
            <w:gridSpan w:val="2"/>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highlight w:val="none"/>
                <w:shd w:val="clear" w:color="auto" w:fill="auto"/>
              </w:rPr>
            </w:pPr>
            <w:r>
              <w:rPr>
                <w:rFonts w:hint="eastAsia" w:ascii="宋体" w:hAnsi="宋体" w:cs="宋体"/>
                <w:b w:val="0"/>
                <w:bCs w:val="0"/>
                <w:color w:val="auto"/>
                <w:sz w:val="21"/>
                <w:szCs w:val="21"/>
                <w:highlight w:val="none"/>
                <w:shd w:val="clear" w:color="auto" w:fill="auto"/>
                <w:lang w:val="en-US" w:eastAsia="zh-CN"/>
              </w:rPr>
              <w:t>【客观分】</w:t>
            </w:r>
            <w:r>
              <w:rPr>
                <w:rFonts w:hint="eastAsia" w:ascii="宋体" w:hAnsi="宋体" w:eastAsia="宋体" w:cs="宋体"/>
                <w:b w:val="0"/>
                <w:bCs w:val="0"/>
                <w:color w:val="auto"/>
                <w:sz w:val="21"/>
                <w:szCs w:val="21"/>
                <w:highlight w:val="none"/>
                <w:shd w:val="clear" w:color="auto" w:fill="auto"/>
              </w:rPr>
              <w:t>为保障项目顺利实施，投标人在招标人开立的账户进行本项目的款项结算。按以下情况得分，不提供证明材料不得分：</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1.投标人同意在招标人开立的账户进行本项目的款项结算，并在开标日前已开立结算账户的，得1分；</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lang w:eastAsia="zh-CN"/>
              </w:rPr>
              <w:t>【证明材料】</w:t>
            </w:r>
            <w:r>
              <w:rPr>
                <w:rFonts w:hint="eastAsia" w:ascii="宋体" w:hAnsi="宋体" w:eastAsia="宋体" w:cs="宋体"/>
                <w:b w:val="0"/>
                <w:bCs w:val="0"/>
                <w:color w:val="auto"/>
                <w:sz w:val="21"/>
                <w:szCs w:val="21"/>
                <w:highlight w:val="none"/>
                <w:shd w:val="clear" w:color="auto" w:fill="auto"/>
              </w:rPr>
              <w:t>承诺函以及已开立的账户信息。</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2.投标人同意在招标人开立的账户进行本项目的款项结算，承诺在中标后开立结算账户的，得0.5分；</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lang w:eastAsia="zh-CN"/>
              </w:rPr>
              <w:t>【证明材料】</w:t>
            </w:r>
            <w:r>
              <w:rPr>
                <w:rFonts w:hint="eastAsia" w:ascii="宋体" w:hAnsi="宋体" w:eastAsia="宋体" w:cs="宋体"/>
                <w:b w:val="0"/>
                <w:bCs w:val="0"/>
                <w:color w:val="auto"/>
                <w:sz w:val="21"/>
                <w:szCs w:val="21"/>
                <w:highlight w:val="none"/>
                <w:shd w:val="clear" w:color="auto" w:fill="auto"/>
              </w:rPr>
              <w:t>承诺函。</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3.投标人不同意在招标人开立的账户进行本项目的款项结算，得0分。</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lang w:eastAsia="zh-CN"/>
              </w:rPr>
              <w:t>【证明材料】</w:t>
            </w:r>
            <w:r>
              <w:rPr>
                <w:rFonts w:hint="eastAsia" w:ascii="宋体" w:hAnsi="宋体" w:eastAsia="宋体" w:cs="宋体"/>
                <w:b w:val="0"/>
                <w:bCs w:val="0"/>
                <w:color w:val="auto"/>
                <w:sz w:val="21"/>
                <w:szCs w:val="21"/>
                <w:highlight w:val="none"/>
                <w:shd w:val="clear" w:color="auto" w:fill="auto"/>
              </w:rPr>
              <w:t>承诺函。</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注：以上证明材料均须加盖公章。</w:t>
            </w:r>
          </w:p>
        </w:tc>
        <w:tc>
          <w:tcPr>
            <w:tcW w:w="571" w:type="dxa"/>
            <w:shd w:val="clear" w:color="auto" w:fill="auto"/>
            <w:tcMar>
              <w:top w:w="10" w:type="dxa"/>
              <w:left w:w="10" w:type="dxa"/>
              <w:right w:w="10" w:type="dxa"/>
            </w:tcMar>
            <w:vAlign w:val="center"/>
          </w:tcPr>
          <w:p>
            <w:pPr>
              <w:snapToGrid w:val="0"/>
              <w:spacing w:line="360" w:lineRule="auto"/>
              <w:jc w:val="center"/>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06" w:hRule="atLeast"/>
        </w:trPr>
        <w:tc>
          <w:tcPr>
            <w:tcW w:w="572" w:type="dxa"/>
            <w:shd w:val="clear" w:color="auto" w:fill="auto"/>
            <w:tcMar>
              <w:top w:w="10" w:type="dxa"/>
              <w:left w:w="10" w:type="dxa"/>
              <w:right w:w="10" w:type="dxa"/>
            </w:tcMar>
            <w:vAlign w:val="center"/>
          </w:tcPr>
          <w:p>
            <w:pPr>
              <w:spacing w:line="360" w:lineRule="auto"/>
              <w:jc w:val="center"/>
              <w:textAlignment w:val="center"/>
              <w:rPr>
                <w:rFonts w:hint="eastAsia" w:ascii="宋体" w:hAnsi="宋体" w:eastAsia="宋体" w:cs="宋体"/>
                <w:b/>
                <w:color w:val="auto"/>
                <w:sz w:val="21"/>
                <w:szCs w:val="21"/>
                <w:highlight w:val="none"/>
                <w:shd w:val="clear" w:color="auto" w:fill="auto"/>
                <w:lang w:val="en-US" w:eastAsia="zh-CN"/>
              </w:rPr>
            </w:pPr>
            <w:r>
              <w:rPr>
                <w:rFonts w:hint="eastAsia" w:ascii="宋体" w:hAnsi="宋体" w:eastAsia="宋体" w:cs="宋体"/>
                <w:b/>
                <w:color w:val="auto"/>
                <w:sz w:val="21"/>
                <w:szCs w:val="21"/>
                <w:highlight w:val="none"/>
                <w:shd w:val="clear" w:color="auto" w:fill="auto"/>
                <w:lang w:val="en-US" w:eastAsia="zh-CN"/>
              </w:rPr>
              <w:t>5</w:t>
            </w:r>
          </w:p>
        </w:tc>
        <w:tc>
          <w:tcPr>
            <w:tcW w:w="1284" w:type="dxa"/>
            <w:shd w:val="clear" w:color="auto" w:fill="auto"/>
            <w:tcMar>
              <w:top w:w="10" w:type="dxa"/>
              <w:left w:w="10" w:type="dxa"/>
              <w:right w:w="10" w:type="dxa"/>
            </w:tcMar>
            <w:vAlign w:val="center"/>
          </w:tcPr>
          <w:p>
            <w:pPr>
              <w:widowControl w:val="0"/>
              <w:spacing w:after="120" w:line="360" w:lineRule="auto"/>
              <w:ind w:left="0" w:leftChars="0" w:firstLine="0" w:firstLineChars="0"/>
              <w:jc w:val="center"/>
              <w:rPr>
                <w:rFonts w:hint="eastAsia" w:ascii="宋体" w:hAnsi="宋体" w:eastAsia="宋体" w:cs="宋体"/>
                <w:b/>
                <w:color w:val="auto"/>
                <w:kern w:val="2"/>
                <w:sz w:val="21"/>
                <w:szCs w:val="21"/>
                <w:highlight w:val="none"/>
                <w:shd w:val="clear" w:color="auto" w:fill="auto"/>
                <w:lang w:val="en-US" w:eastAsia="zh-CN" w:bidi="ar-SA"/>
              </w:rPr>
            </w:pPr>
            <w:r>
              <w:rPr>
                <w:rFonts w:hint="eastAsia" w:ascii="宋体" w:hAnsi="宋体" w:eastAsia="宋体" w:cs="宋体"/>
                <w:b/>
                <w:color w:val="auto"/>
                <w:kern w:val="2"/>
                <w:sz w:val="21"/>
                <w:szCs w:val="21"/>
                <w:highlight w:val="none"/>
                <w:shd w:val="clear" w:color="auto" w:fill="auto"/>
                <w:lang w:val="en-US" w:eastAsia="zh-CN" w:bidi="ar-SA"/>
              </w:rPr>
              <w:t>信用评价-浙银善标（2分）</w:t>
            </w:r>
          </w:p>
        </w:tc>
        <w:tc>
          <w:tcPr>
            <w:tcW w:w="7132" w:type="dxa"/>
            <w:gridSpan w:val="2"/>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highlight w:val="none"/>
                <w:shd w:val="clear" w:color="auto" w:fill="auto"/>
              </w:rPr>
            </w:pPr>
            <w:r>
              <w:rPr>
                <w:rFonts w:hint="eastAsia" w:ascii="宋体" w:hAnsi="宋体" w:cs="宋体"/>
                <w:b w:val="0"/>
                <w:bCs w:val="0"/>
                <w:color w:val="auto"/>
                <w:sz w:val="21"/>
                <w:szCs w:val="21"/>
                <w:highlight w:val="none"/>
                <w:shd w:val="clear" w:color="auto" w:fill="auto"/>
                <w:lang w:val="en-US" w:eastAsia="zh-CN"/>
              </w:rPr>
              <w:t>【客观分】</w:t>
            </w:r>
            <w:r>
              <w:rPr>
                <w:rFonts w:hint="eastAsia" w:ascii="宋体" w:hAnsi="宋体" w:eastAsia="宋体" w:cs="宋体"/>
                <w:b w:val="0"/>
                <w:bCs w:val="0"/>
                <w:color w:val="auto"/>
                <w:sz w:val="21"/>
                <w:szCs w:val="21"/>
                <w:highlight w:val="none"/>
                <w:shd w:val="clear" w:color="auto" w:fill="auto"/>
              </w:rPr>
              <w:t>“浙银善标”是践行善本金融理念的最重要实践探索，满足以下“大局担当、环境保护、社会责任、机构治理”正向标准内容任意一项的得</w:t>
            </w:r>
            <w:r>
              <w:rPr>
                <w:rFonts w:hint="eastAsia" w:ascii="宋体" w:hAnsi="宋体" w:eastAsia="宋体" w:cs="宋体"/>
                <w:b w:val="0"/>
                <w:bCs w:val="0"/>
                <w:color w:val="auto"/>
                <w:sz w:val="21"/>
                <w:szCs w:val="21"/>
                <w:highlight w:val="none"/>
                <w:shd w:val="clear" w:color="auto" w:fill="auto"/>
                <w:lang w:val="en-US" w:eastAsia="zh-CN"/>
              </w:rPr>
              <w:t>0.5</w:t>
            </w:r>
            <w:r>
              <w:rPr>
                <w:rFonts w:hint="eastAsia" w:ascii="宋体" w:hAnsi="宋体" w:eastAsia="宋体" w:cs="宋体"/>
                <w:b w:val="0"/>
                <w:bCs w:val="0"/>
                <w:color w:val="auto"/>
                <w:sz w:val="21"/>
                <w:szCs w:val="21"/>
                <w:highlight w:val="none"/>
                <w:shd w:val="clear" w:color="auto" w:fill="auto"/>
              </w:rPr>
              <w:t>分，满分</w:t>
            </w:r>
            <w:r>
              <w:rPr>
                <w:rFonts w:hint="eastAsia" w:ascii="宋体" w:hAnsi="宋体" w:eastAsia="宋体" w:cs="宋体"/>
                <w:b w:val="0"/>
                <w:bCs w:val="0"/>
                <w:color w:val="auto"/>
                <w:sz w:val="21"/>
                <w:szCs w:val="21"/>
                <w:highlight w:val="none"/>
                <w:shd w:val="clear" w:color="auto" w:fill="auto"/>
                <w:lang w:val="en-US" w:eastAsia="zh-CN"/>
              </w:rPr>
              <w:t>2</w:t>
            </w:r>
            <w:r>
              <w:rPr>
                <w:rFonts w:hint="eastAsia" w:ascii="宋体" w:hAnsi="宋体" w:eastAsia="宋体" w:cs="宋体"/>
                <w:b w:val="0"/>
                <w:bCs w:val="0"/>
                <w:color w:val="auto"/>
                <w:sz w:val="21"/>
                <w:szCs w:val="21"/>
                <w:highlight w:val="none"/>
                <w:shd w:val="clear" w:color="auto" w:fill="auto"/>
              </w:rPr>
              <w:t>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1.国家工业和信息化部认定的“国家技术创新示范企业”或国家级制造业单项冠军或国家级、省级、地市级“专精特新”企业，且在有效期内。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lang w:val="en-US" w:eastAsia="zh-CN"/>
              </w:rPr>
              <w:t>【证明材料】</w:t>
            </w:r>
            <w:r>
              <w:rPr>
                <w:rFonts w:hint="eastAsia" w:ascii="宋体" w:hAnsi="宋体" w:eastAsia="宋体" w:cs="宋体"/>
                <w:b w:val="0"/>
                <w:bCs w:val="0"/>
                <w:color w:val="auto"/>
                <w:sz w:val="21"/>
                <w:szCs w:val="21"/>
                <w:highlight w:val="none"/>
                <w:shd w:val="clear" w:color="auto" w:fill="auto"/>
              </w:rPr>
              <w:t>提供认定（或公示）文件复印件及证书复印件。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2.国家级高新技术企业或省级及以上科技型中小企业，且在有效期内。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lang w:eastAsia="zh-CN"/>
              </w:rPr>
              <w:t>【证明材料】</w:t>
            </w:r>
            <w:r>
              <w:rPr>
                <w:rFonts w:hint="eastAsia" w:ascii="宋体" w:hAnsi="宋体" w:eastAsia="宋体" w:cs="宋体"/>
                <w:b w:val="0"/>
                <w:bCs w:val="0"/>
                <w:color w:val="auto"/>
                <w:sz w:val="21"/>
                <w:szCs w:val="21"/>
                <w:highlight w:val="none"/>
                <w:shd w:val="clear" w:color="auto" w:fill="auto"/>
              </w:rPr>
              <w:t>提供认定（或公示）文件复印件及证书复印件。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3.35项“卡脖子”关键技术相关法人机构或科技部火炬中心“创新积分制”企业。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lang w:eastAsia="zh-CN"/>
              </w:rPr>
              <w:t>【证明材料】</w:t>
            </w:r>
            <w:r>
              <w:rPr>
                <w:rFonts w:hint="eastAsia" w:ascii="宋体" w:hAnsi="宋体" w:eastAsia="宋体" w:cs="宋体"/>
                <w:b w:val="0"/>
                <w:bCs w:val="0"/>
                <w:color w:val="auto"/>
                <w:sz w:val="21"/>
                <w:szCs w:val="21"/>
                <w:highlight w:val="none"/>
                <w:shd w:val="clear" w:color="auto" w:fill="auto"/>
              </w:rPr>
              <w:t>提供认定（或公示）文件复印件及证书复印件。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4.近三年（</w:t>
            </w:r>
            <w:r>
              <w:rPr>
                <w:rFonts w:hint="eastAsia" w:ascii="宋体" w:hAnsi="宋体" w:eastAsia="宋体" w:cs="宋体"/>
                <w:b w:val="0"/>
                <w:bCs w:val="0"/>
                <w:color w:val="auto"/>
                <w:sz w:val="21"/>
                <w:szCs w:val="21"/>
                <w:highlight w:val="none"/>
                <w:shd w:val="clear" w:color="auto" w:fill="auto"/>
                <w:lang w:val="en-US" w:eastAsia="zh-CN"/>
              </w:rPr>
              <w:t>2022</w:t>
            </w:r>
            <w:r>
              <w:rPr>
                <w:rFonts w:hint="eastAsia" w:ascii="宋体" w:hAnsi="宋体" w:eastAsia="宋体" w:cs="宋体"/>
                <w:b w:val="0"/>
                <w:bCs w:val="0"/>
                <w:color w:val="auto"/>
                <w:sz w:val="21"/>
                <w:szCs w:val="21"/>
                <w:highlight w:val="none"/>
                <w:shd w:val="clear" w:color="auto" w:fill="auto"/>
              </w:rPr>
              <w:t>年</w:t>
            </w:r>
            <w:r>
              <w:rPr>
                <w:rFonts w:hint="eastAsia" w:ascii="宋体" w:hAnsi="宋体" w:eastAsia="宋体" w:cs="宋体"/>
                <w:b w:val="0"/>
                <w:bCs w:val="0"/>
                <w:color w:val="auto"/>
                <w:sz w:val="21"/>
                <w:szCs w:val="21"/>
                <w:highlight w:val="none"/>
                <w:shd w:val="clear" w:color="auto" w:fill="auto"/>
                <w:lang w:val="en-US" w:eastAsia="zh-CN"/>
              </w:rPr>
              <w:t>1</w:t>
            </w:r>
            <w:r>
              <w:rPr>
                <w:rFonts w:hint="eastAsia" w:ascii="宋体" w:hAnsi="宋体" w:eastAsia="宋体" w:cs="宋体"/>
                <w:b w:val="0"/>
                <w:bCs w:val="0"/>
                <w:color w:val="auto"/>
                <w:sz w:val="21"/>
                <w:szCs w:val="21"/>
                <w:highlight w:val="none"/>
                <w:shd w:val="clear" w:color="auto" w:fill="auto"/>
              </w:rPr>
              <w:t>月以来，以证明材料最晚落款时间为准）获得区县级及以上乡村振兴表彰的企业。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lang w:eastAsia="zh-CN"/>
              </w:rPr>
              <w:t>【证明材料】</w:t>
            </w:r>
            <w:r>
              <w:rPr>
                <w:rFonts w:hint="eastAsia" w:ascii="宋体" w:hAnsi="宋体" w:eastAsia="宋体" w:cs="宋体"/>
                <w:b w:val="0"/>
                <w:bCs w:val="0"/>
                <w:color w:val="auto"/>
                <w:sz w:val="21"/>
                <w:szCs w:val="21"/>
                <w:highlight w:val="none"/>
                <w:shd w:val="clear" w:color="auto" w:fill="auto"/>
              </w:rPr>
              <w:t>提供政府部门颁发的证书（或文件）复印件。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5.近三年（</w:t>
            </w:r>
            <w:r>
              <w:rPr>
                <w:rFonts w:hint="eastAsia" w:ascii="宋体" w:hAnsi="宋体" w:eastAsia="宋体" w:cs="宋体"/>
                <w:b w:val="0"/>
                <w:bCs w:val="0"/>
                <w:color w:val="auto"/>
                <w:sz w:val="21"/>
                <w:szCs w:val="21"/>
                <w:highlight w:val="none"/>
                <w:shd w:val="clear" w:color="auto" w:fill="auto"/>
                <w:lang w:val="en-US" w:eastAsia="zh-CN"/>
              </w:rPr>
              <w:t>2022</w:t>
            </w:r>
            <w:r>
              <w:rPr>
                <w:rFonts w:hint="eastAsia" w:ascii="宋体" w:hAnsi="宋体" w:eastAsia="宋体" w:cs="宋体"/>
                <w:b w:val="0"/>
                <w:bCs w:val="0"/>
                <w:color w:val="auto"/>
                <w:sz w:val="21"/>
                <w:szCs w:val="21"/>
                <w:highlight w:val="none"/>
                <w:shd w:val="clear" w:color="auto" w:fill="auto"/>
              </w:rPr>
              <w:t>年</w:t>
            </w:r>
            <w:r>
              <w:rPr>
                <w:rFonts w:hint="eastAsia" w:ascii="宋体" w:hAnsi="宋体" w:eastAsia="宋体" w:cs="宋体"/>
                <w:b w:val="0"/>
                <w:bCs w:val="0"/>
                <w:color w:val="auto"/>
                <w:sz w:val="21"/>
                <w:szCs w:val="21"/>
                <w:highlight w:val="none"/>
                <w:shd w:val="clear" w:color="auto" w:fill="auto"/>
                <w:lang w:val="en-US" w:eastAsia="zh-CN"/>
              </w:rPr>
              <w:t>1</w:t>
            </w:r>
            <w:r>
              <w:rPr>
                <w:rFonts w:hint="eastAsia" w:ascii="宋体" w:hAnsi="宋体" w:eastAsia="宋体" w:cs="宋体"/>
                <w:b w:val="0"/>
                <w:bCs w:val="0"/>
                <w:color w:val="auto"/>
                <w:sz w:val="21"/>
                <w:szCs w:val="21"/>
                <w:highlight w:val="none"/>
                <w:shd w:val="clear" w:color="auto" w:fill="auto"/>
              </w:rPr>
              <w:t>月以来，以证明材料最晚落款时间为准）入选地市级及以上节能、低碳、绿色名单（含绿色工厂名单、绿色制造名单、绿色供应链管理企业名单等）。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lang w:eastAsia="zh-CN"/>
              </w:rPr>
              <w:t>【证明材料】</w:t>
            </w:r>
            <w:r>
              <w:rPr>
                <w:rFonts w:hint="eastAsia" w:ascii="宋体" w:hAnsi="宋体" w:eastAsia="宋体" w:cs="宋体"/>
                <w:b w:val="0"/>
                <w:bCs w:val="0"/>
                <w:color w:val="auto"/>
                <w:sz w:val="21"/>
                <w:szCs w:val="21"/>
                <w:highlight w:val="none"/>
                <w:shd w:val="clear" w:color="auto" w:fill="auto"/>
              </w:rPr>
              <w:t>提供政府部门颁发的证书（或文件）复印件。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6.“上一年度享受节能减排税收优惠”或“主营产品取得绿色或节能产品认证”的企业。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lang w:eastAsia="zh-CN"/>
              </w:rPr>
              <w:t>【证明材料】</w:t>
            </w:r>
            <w:r>
              <w:rPr>
                <w:rFonts w:hint="eastAsia" w:ascii="宋体" w:hAnsi="宋体" w:eastAsia="宋体" w:cs="宋体"/>
                <w:b w:val="0"/>
                <w:bCs w:val="0"/>
                <w:color w:val="auto"/>
                <w:sz w:val="21"/>
                <w:szCs w:val="21"/>
                <w:highlight w:val="none"/>
                <w:shd w:val="clear" w:color="auto" w:fill="auto"/>
              </w:rPr>
              <w:t>提供政府部门颁发的证书（或文件）复印件。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7.近三年（</w:t>
            </w:r>
            <w:r>
              <w:rPr>
                <w:rFonts w:hint="eastAsia" w:ascii="宋体" w:hAnsi="宋体" w:eastAsia="宋体" w:cs="宋体"/>
                <w:b w:val="0"/>
                <w:bCs w:val="0"/>
                <w:color w:val="auto"/>
                <w:sz w:val="21"/>
                <w:szCs w:val="21"/>
                <w:highlight w:val="none"/>
                <w:shd w:val="clear" w:color="auto" w:fill="auto"/>
                <w:lang w:val="en-US" w:eastAsia="zh-CN"/>
              </w:rPr>
              <w:t>2022</w:t>
            </w:r>
            <w:r>
              <w:rPr>
                <w:rFonts w:hint="eastAsia" w:ascii="宋体" w:hAnsi="宋体" w:eastAsia="宋体" w:cs="宋体"/>
                <w:b w:val="0"/>
                <w:bCs w:val="0"/>
                <w:color w:val="auto"/>
                <w:sz w:val="21"/>
                <w:szCs w:val="21"/>
                <w:highlight w:val="none"/>
                <w:shd w:val="clear" w:color="auto" w:fill="auto"/>
              </w:rPr>
              <w:t>年</w:t>
            </w:r>
            <w:r>
              <w:rPr>
                <w:rFonts w:hint="eastAsia" w:ascii="宋体" w:hAnsi="宋体" w:eastAsia="宋体" w:cs="宋体"/>
                <w:b w:val="0"/>
                <w:bCs w:val="0"/>
                <w:color w:val="auto"/>
                <w:sz w:val="21"/>
                <w:szCs w:val="21"/>
                <w:highlight w:val="none"/>
                <w:shd w:val="clear" w:color="auto" w:fill="auto"/>
                <w:lang w:val="en-US" w:eastAsia="zh-CN"/>
              </w:rPr>
              <w:t>1</w:t>
            </w:r>
            <w:r>
              <w:rPr>
                <w:rFonts w:hint="eastAsia" w:ascii="宋体" w:hAnsi="宋体" w:eastAsia="宋体" w:cs="宋体"/>
                <w:b w:val="0"/>
                <w:bCs w:val="0"/>
                <w:color w:val="auto"/>
                <w:sz w:val="21"/>
                <w:szCs w:val="21"/>
                <w:highlight w:val="none"/>
                <w:shd w:val="clear" w:color="auto" w:fill="auto"/>
              </w:rPr>
              <w:t>月以来，以证明材料最晚落款时间为准）获得县区级及以上地方政府颁发相关证书或进行表彰，证明企业生产经营有利于生物多样性保护。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lang w:eastAsia="zh-CN"/>
              </w:rPr>
              <w:t>【证明材料】</w:t>
            </w:r>
            <w:r>
              <w:rPr>
                <w:rFonts w:hint="eastAsia" w:ascii="宋体" w:hAnsi="宋体" w:eastAsia="宋体" w:cs="宋体"/>
                <w:b w:val="0"/>
                <w:bCs w:val="0"/>
                <w:color w:val="auto"/>
                <w:sz w:val="21"/>
                <w:szCs w:val="21"/>
                <w:highlight w:val="none"/>
                <w:shd w:val="clear" w:color="auto" w:fill="auto"/>
              </w:rPr>
              <w:t>提供政府部门颁发的证书（或文件）复印件。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8.以企业名义参与起草国家或地方或行业重大标准的。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lang w:eastAsia="zh-CN"/>
              </w:rPr>
              <w:t>【证明材料】</w:t>
            </w:r>
            <w:r>
              <w:rPr>
                <w:rFonts w:hint="eastAsia" w:ascii="宋体" w:hAnsi="宋体" w:eastAsia="宋体" w:cs="宋体"/>
                <w:b w:val="0"/>
                <w:bCs w:val="0"/>
                <w:color w:val="auto"/>
                <w:sz w:val="21"/>
                <w:szCs w:val="21"/>
                <w:highlight w:val="none"/>
                <w:shd w:val="clear" w:color="auto" w:fill="auto"/>
              </w:rPr>
              <w:t>提供标准文件复印件或相关证书（或文件）复印件。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9.近三年（</w:t>
            </w:r>
            <w:r>
              <w:rPr>
                <w:rFonts w:hint="eastAsia" w:ascii="宋体" w:hAnsi="宋体" w:eastAsia="宋体" w:cs="宋体"/>
                <w:b w:val="0"/>
                <w:bCs w:val="0"/>
                <w:color w:val="auto"/>
                <w:sz w:val="21"/>
                <w:szCs w:val="21"/>
                <w:highlight w:val="none"/>
                <w:shd w:val="clear" w:color="auto" w:fill="auto"/>
                <w:lang w:val="en-US" w:eastAsia="zh-CN"/>
              </w:rPr>
              <w:t>2022</w:t>
            </w:r>
            <w:r>
              <w:rPr>
                <w:rFonts w:hint="eastAsia" w:ascii="宋体" w:hAnsi="宋体" w:eastAsia="宋体" w:cs="宋体"/>
                <w:b w:val="0"/>
                <w:bCs w:val="0"/>
                <w:color w:val="auto"/>
                <w:sz w:val="21"/>
                <w:szCs w:val="21"/>
                <w:highlight w:val="none"/>
                <w:shd w:val="clear" w:color="auto" w:fill="auto"/>
              </w:rPr>
              <w:t>年</w:t>
            </w:r>
            <w:r>
              <w:rPr>
                <w:rFonts w:hint="eastAsia" w:ascii="宋体" w:hAnsi="宋体" w:eastAsia="宋体" w:cs="宋体"/>
                <w:b w:val="0"/>
                <w:bCs w:val="0"/>
                <w:color w:val="auto"/>
                <w:sz w:val="21"/>
                <w:szCs w:val="21"/>
                <w:highlight w:val="none"/>
                <w:shd w:val="clear" w:color="auto" w:fill="auto"/>
                <w:lang w:val="en-US" w:eastAsia="zh-CN"/>
              </w:rPr>
              <w:t>1</w:t>
            </w:r>
            <w:r>
              <w:rPr>
                <w:rFonts w:hint="eastAsia" w:ascii="宋体" w:hAnsi="宋体" w:eastAsia="宋体" w:cs="宋体"/>
                <w:b w:val="0"/>
                <w:bCs w:val="0"/>
                <w:color w:val="auto"/>
                <w:sz w:val="21"/>
                <w:szCs w:val="21"/>
                <w:highlight w:val="none"/>
                <w:shd w:val="clear" w:color="auto" w:fill="auto"/>
              </w:rPr>
              <w:t>月以来，以证明材料最晚落款时间为准）企业积极参与捐赠、捐款、扶贫扶弱等慈善活动。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lang w:eastAsia="zh-CN"/>
              </w:rPr>
              <w:t>【证明材料】</w:t>
            </w:r>
            <w:r>
              <w:rPr>
                <w:rFonts w:hint="eastAsia" w:ascii="宋体" w:hAnsi="宋体" w:eastAsia="宋体" w:cs="宋体"/>
                <w:b w:val="0"/>
                <w:bCs w:val="0"/>
                <w:color w:val="auto"/>
                <w:sz w:val="21"/>
                <w:szCs w:val="21"/>
                <w:highlight w:val="none"/>
                <w:shd w:val="clear" w:color="auto" w:fill="auto"/>
              </w:rPr>
              <w:t>包括不限于捐款捐物记录、公众报道或表彰等。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10.近三年（</w:t>
            </w:r>
            <w:r>
              <w:rPr>
                <w:rFonts w:hint="eastAsia" w:ascii="宋体" w:hAnsi="宋体" w:eastAsia="宋体" w:cs="宋体"/>
                <w:b w:val="0"/>
                <w:bCs w:val="0"/>
                <w:color w:val="auto"/>
                <w:sz w:val="21"/>
                <w:szCs w:val="21"/>
                <w:highlight w:val="none"/>
                <w:shd w:val="clear" w:color="auto" w:fill="auto"/>
                <w:lang w:val="en-US" w:eastAsia="zh-CN"/>
              </w:rPr>
              <w:t>2022</w:t>
            </w:r>
            <w:r>
              <w:rPr>
                <w:rFonts w:hint="eastAsia" w:ascii="宋体" w:hAnsi="宋体" w:eastAsia="宋体" w:cs="宋体"/>
                <w:b w:val="0"/>
                <w:bCs w:val="0"/>
                <w:color w:val="auto"/>
                <w:sz w:val="21"/>
                <w:szCs w:val="21"/>
                <w:highlight w:val="none"/>
                <w:shd w:val="clear" w:color="auto" w:fill="auto"/>
              </w:rPr>
              <w:t>年</w:t>
            </w:r>
            <w:r>
              <w:rPr>
                <w:rFonts w:hint="eastAsia" w:ascii="宋体" w:hAnsi="宋体" w:eastAsia="宋体" w:cs="宋体"/>
                <w:b w:val="0"/>
                <w:bCs w:val="0"/>
                <w:color w:val="auto"/>
                <w:sz w:val="21"/>
                <w:szCs w:val="21"/>
                <w:highlight w:val="none"/>
                <w:shd w:val="clear" w:color="auto" w:fill="auto"/>
                <w:lang w:val="en-US" w:eastAsia="zh-CN"/>
              </w:rPr>
              <w:t>1</w:t>
            </w:r>
            <w:r>
              <w:rPr>
                <w:rFonts w:hint="eastAsia" w:ascii="宋体" w:hAnsi="宋体" w:eastAsia="宋体" w:cs="宋体"/>
                <w:b w:val="0"/>
                <w:bCs w:val="0"/>
                <w:color w:val="auto"/>
                <w:sz w:val="21"/>
                <w:szCs w:val="21"/>
                <w:highlight w:val="none"/>
                <w:shd w:val="clear" w:color="auto" w:fill="auto"/>
              </w:rPr>
              <w:t>月以来，以证明材料最晚落款时间为准）企业积极参与文化、教育、医疗卫生等公益事业。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lang w:eastAsia="zh-CN"/>
              </w:rPr>
              <w:t>【证明材料】</w:t>
            </w:r>
            <w:r>
              <w:rPr>
                <w:rFonts w:hint="eastAsia" w:ascii="宋体" w:hAnsi="宋体" w:eastAsia="宋体" w:cs="宋体"/>
                <w:b w:val="0"/>
                <w:bCs w:val="0"/>
                <w:color w:val="auto"/>
                <w:sz w:val="21"/>
                <w:szCs w:val="21"/>
                <w:highlight w:val="none"/>
                <w:shd w:val="clear" w:color="auto" w:fill="auto"/>
              </w:rPr>
              <w:t>包括不限于公益活动记录、公众报道或表彰等。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注：以上证明材料均须加盖公章。</w:t>
            </w:r>
          </w:p>
        </w:tc>
        <w:tc>
          <w:tcPr>
            <w:tcW w:w="571" w:type="dxa"/>
            <w:shd w:val="clear" w:color="auto" w:fill="auto"/>
            <w:tcMar>
              <w:top w:w="10" w:type="dxa"/>
              <w:left w:w="10" w:type="dxa"/>
              <w:right w:w="10" w:type="dxa"/>
            </w:tcMar>
            <w:vAlign w:val="center"/>
          </w:tcPr>
          <w:p>
            <w:pPr>
              <w:snapToGrid w:val="0"/>
              <w:spacing w:line="360" w:lineRule="auto"/>
              <w:jc w:val="center"/>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4" w:hRule="atLeast"/>
        </w:trPr>
        <w:tc>
          <w:tcPr>
            <w:tcW w:w="1856" w:type="dxa"/>
            <w:gridSpan w:val="2"/>
            <w:vMerge w:val="restart"/>
            <w:shd w:val="clear" w:color="auto" w:fill="auto"/>
            <w:tcMar>
              <w:top w:w="10" w:type="dxa"/>
              <w:left w:w="10" w:type="dxa"/>
              <w:right w:w="10" w:type="dxa"/>
            </w:tcMar>
            <w:vAlign w:val="center"/>
          </w:tcPr>
          <w:p>
            <w:pPr>
              <w:spacing w:line="360" w:lineRule="auto"/>
              <w:jc w:val="center"/>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价格                （</w:t>
            </w:r>
            <w:r>
              <w:rPr>
                <w:rFonts w:hint="eastAsia" w:ascii="宋体" w:hAnsi="宋体" w:eastAsia="宋体" w:cs="宋体"/>
                <w:b/>
                <w:bCs/>
                <w:color w:val="auto"/>
                <w:sz w:val="21"/>
                <w:szCs w:val="21"/>
                <w:highlight w:val="none"/>
                <w:shd w:val="clear" w:color="auto" w:fill="auto"/>
                <w:lang w:val="en-US" w:eastAsia="zh-CN"/>
              </w:rPr>
              <w:t>45</w:t>
            </w:r>
            <w:r>
              <w:rPr>
                <w:rFonts w:hint="eastAsia" w:ascii="宋体" w:hAnsi="宋体" w:eastAsia="宋体" w:cs="宋体"/>
                <w:b/>
                <w:bCs/>
                <w:color w:val="auto"/>
                <w:sz w:val="21"/>
                <w:szCs w:val="21"/>
                <w:highlight w:val="none"/>
                <w:shd w:val="clear" w:color="auto" w:fill="auto"/>
              </w:rPr>
              <w:t>分）</w:t>
            </w:r>
          </w:p>
          <w:p>
            <w:pPr>
              <w:spacing w:line="360" w:lineRule="auto"/>
              <w:jc w:val="center"/>
              <w:rPr>
                <w:rFonts w:hint="eastAsia" w:ascii="宋体" w:hAnsi="宋体" w:eastAsia="宋体" w:cs="宋体"/>
                <w:color w:val="auto"/>
                <w:sz w:val="21"/>
                <w:szCs w:val="21"/>
                <w:highlight w:val="none"/>
                <w:shd w:val="clear" w:color="auto" w:fill="auto"/>
              </w:rPr>
            </w:pPr>
            <w:r>
              <w:rPr>
                <w:rFonts w:hint="eastAsia" w:ascii="宋体" w:hAnsi="宋体" w:cs="宋体"/>
                <w:b w:val="0"/>
                <w:bCs w:val="0"/>
                <w:color w:val="auto"/>
                <w:sz w:val="21"/>
                <w:szCs w:val="21"/>
                <w:highlight w:val="none"/>
                <w:shd w:val="clear" w:color="auto" w:fill="auto"/>
                <w:lang w:val="en-US" w:eastAsia="zh-CN"/>
              </w:rPr>
              <w:t>【客观分】</w:t>
            </w:r>
          </w:p>
        </w:tc>
        <w:tc>
          <w:tcPr>
            <w:tcW w:w="3223" w:type="dxa"/>
            <w:shd w:val="clear" w:color="auto" w:fill="auto"/>
            <w:tcMar>
              <w:top w:w="10" w:type="dxa"/>
              <w:left w:w="10" w:type="dxa"/>
              <w:right w:w="10" w:type="dxa"/>
            </w:tcMar>
            <w:vAlign w:val="center"/>
          </w:tcPr>
          <w:p>
            <w:pPr>
              <w:spacing w:line="360" w:lineRule="auto"/>
              <w:jc w:val="center"/>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价格-居住楼宇</w:t>
            </w:r>
            <w:r>
              <w:rPr>
                <w:rFonts w:hint="eastAsia" w:ascii="宋体" w:hAnsi="宋体" w:eastAsia="宋体" w:cs="宋体"/>
                <w:b w:val="0"/>
                <w:bCs w:val="0"/>
                <w:color w:val="auto"/>
                <w:kern w:val="0"/>
                <w:sz w:val="21"/>
                <w:szCs w:val="21"/>
                <w:highlight w:val="none"/>
                <w:shd w:val="clear" w:color="auto" w:fill="auto"/>
              </w:rPr>
              <w:t>（</w:t>
            </w:r>
            <w:r>
              <w:rPr>
                <w:rFonts w:hint="eastAsia" w:ascii="宋体" w:hAnsi="宋体" w:eastAsia="宋体" w:cs="宋体"/>
                <w:b w:val="0"/>
                <w:bCs w:val="0"/>
                <w:color w:val="auto"/>
                <w:kern w:val="0"/>
                <w:sz w:val="21"/>
                <w:szCs w:val="21"/>
                <w:highlight w:val="none"/>
                <w:shd w:val="clear" w:color="auto" w:fill="auto"/>
                <w:lang w:val="en-US" w:eastAsia="zh-CN"/>
              </w:rPr>
              <w:t>10</w:t>
            </w:r>
            <w:r>
              <w:rPr>
                <w:rFonts w:hint="eastAsia" w:ascii="宋体" w:hAnsi="宋体" w:eastAsia="宋体" w:cs="宋体"/>
                <w:b w:val="0"/>
                <w:bCs w:val="0"/>
                <w:color w:val="auto"/>
                <w:kern w:val="0"/>
                <w:sz w:val="21"/>
                <w:szCs w:val="21"/>
                <w:highlight w:val="none"/>
                <w:shd w:val="clear" w:color="auto" w:fill="auto"/>
              </w:rPr>
              <w:t>分）</w:t>
            </w:r>
          </w:p>
        </w:tc>
        <w:tc>
          <w:tcPr>
            <w:tcW w:w="3909" w:type="dxa"/>
            <w:vMerge w:val="restart"/>
            <w:shd w:val="clear" w:color="auto" w:fill="auto"/>
            <w:vAlign w:val="center"/>
          </w:tcPr>
          <w:p>
            <w:pPr>
              <w:widowControl/>
              <w:spacing w:line="360" w:lineRule="auto"/>
              <w:jc w:val="left"/>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满足招标文件要求且投标价格最低的投标报价为评标价基准价，其价格分为满分。</w:t>
            </w:r>
          </w:p>
          <w:p>
            <w:pPr>
              <w:spacing w:line="360" w:lineRule="auto"/>
              <w:jc w:val="left"/>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价格分计算公式：投标报价得分=(评标基准价/有效投标报价)×权重</w:t>
            </w:r>
          </w:p>
          <w:p>
            <w:pPr>
              <w:widowControl w:val="0"/>
              <w:spacing w:after="120" w:line="360" w:lineRule="auto"/>
              <w:ind w:left="0" w:leftChars="0" w:firstLine="0" w:firstLineChars="0"/>
              <w:jc w:val="left"/>
              <w:rPr>
                <w:rFonts w:hint="eastAsia" w:ascii="宋体" w:hAnsi="宋体" w:eastAsia="宋体" w:cs="宋体"/>
                <w:b w:val="0"/>
                <w:bCs w:val="0"/>
                <w:color w:val="auto"/>
                <w:kern w:val="2"/>
                <w:sz w:val="21"/>
                <w:szCs w:val="21"/>
                <w:highlight w:val="none"/>
                <w:shd w:val="clear" w:color="auto" w:fill="auto"/>
                <w:lang w:val="en-US" w:eastAsia="zh-CN" w:bidi="ar-SA"/>
              </w:rPr>
            </w:pPr>
            <w:r>
              <w:rPr>
                <w:rFonts w:hint="eastAsia" w:ascii="宋体" w:hAnsi="宋体" w:eastAsia="宋体" w:cs="宋体"/>
                <w:b w:val="0"/>
                <w:bCs w:val="0"/>
                <w:color w:val="auto"/>
                <w:kern w:val="2"/>
                <w:sz w:val="21"/>
                <w:szCs w:val="21"/>
                <w:highlight w:val="none"/>
                <w:shd w:val="clear" w:color="auto" w:fill="auto"/>
                <w:lang w:val="en-US" w:eastAsia="zh-CN" w:bidi="ar-SA"/>
              </w:rPr>
              <w:t>注：报价文件需提供向银保监报备的费率表及费率测算表</w:t>
            </w:r>
          </w:p>
        </w:tc>
        <w:tc>
          <w:tcPr>
            <w:tcW w:w="571" w:type="dxa"/>
            <w:shd w:val="clear" w:color="auto" w:fill="auto"/>
            <w:tcMar>
              <w:top w:w="10" w:type="dxa"/>
              <w:left w:w="10" w:type="dxa"/>
              <w:right w:w="10" w:type="dxa"/>
            </w:tcMar>
            <w:vAlign w:val="center"/>
          </w:tcPr>
          <w:p>
            <w:pPr>
              <w:widowControl/>
              <w:spacing w:line="360" w:lineRule="auto"/>
              <w:jc w:val="center"/>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39" w:hRule="atLeast"/>
        </w:trPr>
        <w:tc>
          <w:tcPr>
            <w:tcW w:w="1856" w:type="dxa"/>
            <w:gridSpan w:val="2"/>
            <w:vMerge w:val="continue"/>
            <w:shd w:val="clear" w:color="auto" w:fill="auto"/>
            <w:tcMar>
              <w:top w:w="10" w:type="dxa"/>
              <w:left w:w="10" w:type="dxa"/>
              <w:right w:w="10" w:type="dxa"/>
            </w:tcMar>
            <w:vAlign w:val="center"/>
          </w:tcPr>
          <w:p>
            <w:pPr>
              <w:spacing w:line="360" w:lineRule="auto"/>
              <w:jc w:val="center"/>
              <w:rPr>
                <w:rFonts w:hint="eastAsia" w:ascii="宋体" w:hAnsi="宋体" w:eastAsia="宋体" w:cs="宋体"/>
                <w:b/>
                <w:bCs/>
                <w:color w:val="auto"/>
                <w:sz w:val="21"/>
                <w:szCs w:val="21"/>
                <w:highlight w:val="none"/>
                <w:shd w:val="clear" w:color="auto" w:fill="auto"/>
              </w:rPr>
            </w:pPr>
          </w:p>
        </w:tc>
        <w:tc>
          <w:tcPr>
            <w:tcW w:w="3223" w:type="dxa"/>
            <w:shd w:val="clear" w:color="auto" w:fill="auto"/>
            <w:tcMar>
              <w:top w:w="10" w:type="dxa"/>
              <w:left w:w="10" w:type="dxa"/>
              <w:right w:w="10" w:type="dxa"/>
            </w:tcMar>
            <w:vAlign w:val="center"/>
          </w:tcPr>
          <w:p>
            <w:pPr>
              <w:spacing w:line="360" w:lineRule="auto"/>
              <w:jc w:val="center"/>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价格-商业用房</w:t>
            </w:r>
            <w:r>
              <w:rPr>
                <w:rFonts w:hint="eastAsia" w:ascii="宋体" w:hAnsi="宋体" w:eastAsia="宋体" w:cs="宋体"/>
                <w:b w:val="0"/>
                <w:bCs w:val="0"/>
                <w:color w:val="auto"/>
                <w:kern w:val="0"/>
                <w:sz w:val="21"/>
                <w:szCs w:val="21"/>
                <w:highlight w:val="none"/>
                <w:shd w:val="clear" w:color="auto" w:fill="auto"/>
              </w:rPr>
              <w:t>（</w:t>
            </w:r>
            <w:r>
              <w:rPr>
                <w:rFonts w:hint="eastAsia" w:ascii="宋体" w:hAnsi="宋体" w:eastAsia="宋体" w:cs="宋体"/>
                <w:b w:val="0"/>
                <w:bCs w:val="0"/>
                <w:color w:val="auto"/>
                <w:kern w:val="0"/>
                <w:sz w:val="21"/>
                <w:szCs w:val="21"/>
                <w:highlight w:val="none"/>
                <w:shd w:val="clear" w:color="auto" w:fill="auto"/>
                <w:lang w:val="en-US" w:eastAsia="zh-CN"/>
              </w:rPr>
              <w:t>5</w:t>
            </w:r>
            <w:r>
              <w:rPr>
                <w:rFonts w:hint="eastAsia" w:ascii="宋体" w:hAnsi="宋体" w:eastAsia="宋体" w:cs="宋体"/>
                <w:b w:val="0"/>
                <w:bCs w:val="0"/>
                <w:color w:val="auto"/>
                <w:kern w:val="0"/>
                <w:sz w:val="21"/>
                <w:szCs w:val="21"/>
                <w:highlight w:val="none"/>
                <w:shd w:val="clear" w:color="auto" w:fill="auto"/>
              </w:rPr>
              <w:t>分）</w:t>
            </w:r>
          </w:p>
        </w:tc>
        <w:tc>
          <w:tcPr>
            <w:tcW w:w="3909" w:type="dxa"/>
            <w:vMerge w:val="continue"/>
            <w:shd w:val="clear" w:color="auto" w:fill="auto"/>
            <w:vAlign w:val="center"/>
          </w:tcPr>
          <w:p>
            <w:pPr>
              <w:spacing w:line="360" w:lineRule="auto"/>
              <w:jc w:val="center"/>
              <w:rPr>
                <w:rFonts w:hint="eastAsia" w:ascii="宋体" w:hAnsi="宋体" w:eastAsia="宋体" w:cs="宋体"/>
                <w:b w:val="0"/>
                <w:bCs w:val="0"/>
                <w:color w:val="auto"/>
                <w:sz w:val="21"/>
                <w:szCs w:val="21"/>
                <w:highlight w:val="none"/>
                <w:shd w:val="clear" w:color="auto" w:fill="auto"/>
              </w:rPr>
            </w:pPr>
          </w:p>
        </w:tc>
        <w:tc>
          <w:tcPr>
            <w:tcW w:w="571" w:type="dxa"/>
            <w:shd w:val="clear" w:color="auto" w:fill="auto"/>
            <w:tcMar>
              <w:top w:w="10" w:type="dxa"/>
              <w:left w:w="10" w:type="dxa"/>
              <w:right w:w="10" w:type="dxa"/>
            </w:tcMar>
            <w:vAlign w:val="center"/>
          </w:tcPr>
          <w:p>
            <w:pPr>
              <w:widowControl/>
              <w:spacing w:line="360" w:lineRule="auto"/>
              <w:jc w:val="center"/>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44" w:hRule="atLeast"/>
        </w:trPr>
        <w:tc>
          <w:tcPr>
            <w:tcW w:w="1856" w:type="dxa"/>
            <w:gridSpan w:val="2"/>
            <w:vMerge w:val="continue"/>
            <w:shd w:val="clear" w:color="auto" w:fill="auto"/>
            <w:tcMar>
              <w:top w:w="10" w:type="dxa"/>
              <w:left w:w="10" w:type="dxa"/>
              <w:right w:w="10" w:type="dxa"/>
            </w:tcMar>
            <w:vAlign w:val="center"/>
          </w:tcPr>
          <w:p>
            <w:pPr>
              <w:spacing w:line="360" w:lineRule="auto"/>
              <w:jc w:val="center"/>
              <w:rPr>
                <w:rFonts w:hint="eastAsia" w:ascii="宋体" w:hAnsi="宋体" w:eastAsia="宋体" w:cs="宋体"/>
                <w:b/>
                <w:bCs/>
                <w:color w:val="auto"/>
                <w:sz w:val="21"/>
                <w:szCs w:val="21"/>
                <w:highlight w:val="none"/>
                <w:shd w:val="clear" w:color="auto" w:fill="auto"/>
              </w:rPr>
            </w:pPr>
          </w:p>
        </w:tc>
        <w:tc>
          <w:tcPr>
            <w:tcW w:w="3223" w:type="dxa"/>
            <w:shd w:val="clear" w:color="auto" w:fill="auto"/>
            <w:tcMar>
              <w:top w:w="10" w:type="dxa"/>
              <w:left w:w="10" w:type="dxa"/>
              <w:right w:w="10" w:type="dxa"/>
            </w:tcMar>
            <w:vAlign w:val="center"/>
          </w:tcPr>
          <w:p>
            <w:pPr>
              <w:spacing w:line="360" w:lineRule="auto"/>
              <w:jc w:val="center"/>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价格-厂房类房产</w:t>
            </w:r>
            <w:r>
              <w:rPr>
                <w:rFonts w:hint="eastAsia" w:ascii="宋体" w:hAnsi="宋体" w:eastAsia="宋体" w:cs="宋体"/>
                <w:b w:val="0"/>
                <w:bCs w:val="0"/>
                <w:color w:val="auto"/>
                <w:kern w:val="0"/>
                <w:sz w:val="21"/>
                <w:szCs w:val="21"/>
                <w:highlight w:val="none"/>
                <w:shd w:val="clear" w:color="auto" w:fill="auto"/>
              </w:rPr>
              <w:t>（</w:t>
            </w:r>
            <w:r>
              <w:rPr>
                <w:rFonts w:hint="eastAsia" w:ascii="宋体" w:hAnsi="宋体" w:eastAsia="宋体" w:cs="宋体"/>
                <w:b w:val="0"/>
                <w:bCs w:val="0"/>
                <w:color w:val="auto"/>
                <w:kern w:val="0"/>
                <w:sz w:val="21"/>
                <w:szCs w:val="21"/>
                <w:highlight w:val="none"/>
                <w:shd w:val="clear" w:color="auto" w:fill="auto"/>
                <w:lang w:val="en-US" w:eastAsia="zh-CN"/>
              </w:rPr>
              <w:t>20</w:t>
            </w:r>
            <w:r>
              <w:rPr>
                <w:rFonts w:hint="eastAsia" w:ascii="宋体" w:hAnsi="宋体" w:eastAsia="宋体" w:cs="宋体"/>
                <w:b w:val="0"/>
                <w:bCs w:val="0"/>
                <w:color w:val="auto"/>
                <w:kern w:val="0"/>
                <w:sz w:val="21"/>
                <w:szCs w:val="21"/>
                <w:highlight w:val="none"/>
                <w:shd w:val="clear" w:color="auto" w:fill="auto"/>
              </w:rPr>
              <w:t>分）</w:t>
            </w:r>
          </w:p>
        </w:tc>
        <w:tc>
          <w:tcPr>
            <w:tcW w:w="3909" w:type="dxa"/>
            <w:vMerge w:val="continue"/>
            <w:shd w:val="clear" w:color="auto" w:fill="auto"/>
            <w:vAlign w:val="center"/>
          </w:tcPr>
          <w:p>
            <w:pPr>
              <w:spacing w:line="360" w:lineRule="auto"/>
              <w:jc w:val="center"/>
              <w:rPr>
                <w:rFonts w:hint="eastAsia" w:ascii="宋体" w:hAnsi="宋体" w:eastAsia="宋体" w:cs="宋体"/>
                <w:b w:val="0"/>
                <w:bCs w:val="0"/>
                <w:color w:val="auto"/>
                <w:sz w:val="21"/>
                <w:szCs w:val="21"/>
                <w:highlight w:val="none"/>
                <w:shd w:val="clear" w:color="auto" w:fill="auto"/>
              </w:rPr>
            </w:pPr>
          </w:p>
        </w:tc>
        <w:tc>
          <w:tcPr>
            <w:tcW w:w="571" w:type="dxa"/>
            <w:shd w:val="clear" w:color="auto" w:fill="auto"/>
            <w:tcMar>
              <w:top w:w="10" w:type="dxa"/>
              <w:left w:w="10" w:type="dxa"/>
              <w:right w:w="10" w:type="dxa"/>
            </w:tcMar>
            <w:vAlign w:val="center"/>
          </w:tcPr>
          <w:p>
            <w:pPr>
              <w:widowControl/>
              <w:spacing w:line="360" w:lineRule="auto"/>
              <w:jc w:val="center"/>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856" w:type="dxa"/>
            <w:gridSpan w:val="2"/>
            <w:vMerge w:val="continue"/>
            <w:shd w:val="clear" w:color="auto" w:fill="auto"/>
            <w:tcMar>
              <w:top w:w="10" w:type="dxa"/>
              <w:left w:w="10" w:type="dxa"/>
              <w:right w:w="10" w:type="dxa"/>
            </w:tcMar>
            <w:vAlign w:val="center"/>
          </w:tcPr>
          <w:p>
            <w:pPr>
              <w:spacing w:line="360" w:lineRule="auto"/>
              <w:jc w:val="center"/>
              <w:rPr>
                <w:rFonts w:hint="eastAsia" w:ascii="宋体" w:hAnsi="宋体" w:eastAsia="宋体" w:cs="宋体"/>
                <w:b/>
                <w:bCs/>
                <w:color w:val="auto"/>
                <w:sz w:val="21"/>
                <w:szCs w:val="21"/>
                <w:highlight w:val="none"/>
                <w:shd w:val="clear" w:color="auto" w:fill="auto"/>
              </w:rPr>
            </w:pPr>
          </w:p>
        </w:tc>
        <w:tc>
          <w:tcPr>
            <w:tcW w:w="3223" w:type="dxa"/>
            <w:shd w:val="clear" w:color="auto" w:fill="auto"/>
            <w:tcMar>
              <w:top w:w="10" w:type="dxa"/>
              <w:left w:w="10" w:type="dxa"/>
              <w:right w:w="10" w:type="dxa"/>
            </w:tcMar>
            <w:vAlign w:val="center"/>
          </w:tcPr>
          <w:p>
            <w:pPr>
              <w:spacing w:line="360" w:lineRule="auto"/>
              <w:jc w:val="center"/>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价格-在建建筑工程</w:t>
            </w:r>
            <w:r>
              <w:rPr>
                <w:rFonts w:hint="eastAsia" w:ascii="宋体" w:hAnsi="宋体" w:eastAsia="宋体" w:cs="宋体"/>
                <w:b w:val="0"/>
                <w:bCs w:val="0"/>
                <w:color w:val="auto"/>
                <w:kern w:val="0"/>
                <w:sz w:val="21"/>
                <w:szCs w:val="21"/>
                <w:highlight w:val="none"/>
                <w:shd w:val="clear" w:color="auto" w:fill="auto"/>
              </w:rPr>
              <w:t>（5分）</w:t>
            </w:r>
          </w:p>
        </w:tc>
        <w:tc>
          <w:tcPr>
            <w:tcW w:w="3909" w:type="dxa"/>
            <w:vMerge w:val="continue"/>
            <w:shd w:val="clear" w:color="auto" w:fill="auto"/>
            <w:vAlign w:val="center"/>
          </w:tcPr>
          <w:p>
            <w:pPr>
              <w:spacing w:line="360" w:lineRule="auto"/>
              <w:jc w:val="center"/>
              <w:rPr>
                <w:rFonts w:hint="eastAsia" w:ascii="宋体" w:hAnsi="宋体" w:eastAsia="宋体" w:cs="宋体"/>
                <w:b w:val="0"/>
                <w:bCs w:val="0"/>
                <w:color w:val="auto"/>
                <w:sz w:val="21"/>
                <w:szCs w:val="21"/>
                <w:highlight w:val="none"/>
                <w:shd w:val="clear" w:color="auto" w:fill="auto"/>
              </w:rPr>
            </w:pPr>
          </w:p>
        </w:tc>
        <w:tc>
          <w:tcPr>
            <w:tcW w:w="571" w:type="dxa"/>
            <w:shd w:val="clear" w:color="auto" w:fill="auto"/>
            <w:tcMar>
              <w:top w:w="10" w:type="dxa"/>
              <w:left w:w="10" w:type="dxa"/>
              <w:right w:w="10" w:type="dxa"/>
            </w:tcMar>
            <w:vAlign w:val="center"/>
          </w:tcPr>
          <w:p>
            <w:pPr>
              <w:spacing w:line="360" w:lineRule="auto"/>
              <w:jc w:val="center"/>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21" w:hRule="atLeast"/>
        </w:trPr>
        <w:tc>
          <w:tcPr>
            <w:tcW w:w="1856" w:type="dxa"/>
            <w:gridSpan w:val="2"/>
            <w:vMerge w:val="continue"/>
            <w:shd w:val="clear" w:color="auto" w:fill="auto"/>
            <w:tcMar>
              <w:top w:w="10" w:type="dxa"/>
              <w:left w:w="10" w:type="dxa"/>
              <w:right w:w="10" w:type="dxa"/>
            </w:tcMar>
            <w:vAlign w:val="center"/>
          </w:tcPr>
          <w:p>
            <w:pPr>
              <w:spacing w:line="360" w:lineRule="auto"/>
              <w:jc w:val="center"/>
              <w:rPr>
                <w:rFonts w:hint="eastAsia" w:ascii="宋体" w:hAnsi="宋体" w:eastAsia="宋体" w:cs="宋体"/>
                <w:b/>
                <w:bCs/>
                <w:color w:val="auto"/>
                <w:sz w:val="21"/>
                <w:szCs w:val="21"/>
                <w:highlight w:val="none"/>
                <w:shd w:val="clear" w:color="auto" w:fill="auto"/>
              </w:rPr>
            </w:pPr>
          </w:p>
        </w:tc>
        <w:tc>
          <w:tcPr>
            <w:tcW w:w="3223" w:type="dxa"/>
            <w:shd w:val="clear" w:color="auto" w:fill="auto"/>
            <w:tcMar>
              <w:top w:w="10" w:type="dxa"/>
              <w:left w:w="10" w:type="dxa"/>
              <w:right w:w="10" w:type="dxa"/>
            </w:tcMar>
            <w:vAlign w:val="center"/>
          </w:tcPr>
          <w:p>
            <w:pPr>
              <w:spacing w:line="360" w:lineRule="auto"/>
              <w:jc w:val="center"/>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价格-特殊建筑构造物</w:t>
            </w:r>
            <w:r>
              <w:rPr>
                <w:rFonts w:hint="eastAsia" w:ascii="宋体" w:hAnsi="宋体" w:eastAsia="宋体" w:cs="宋体"/>
                <w:b w:val="0"/>
                <w:bCs w:val="0"/>
                <w:color w:val="auto"/>
                <w:kern w:val="0"/>
                <w:sz w:val="21"/>
                <w:szCs w:val="21"/>
                <w:highlight w:val="none"/>
                <w:shd w:val="clear" w:color="auto" w:fill="auto"/>
              </w:rPr>
              <w:t>（5分）</w:t>
            </w:r>
          </w:p>
        </w:tc>
        <w:tc>
          <w:tcPr>
            <w:tcW w:w="3909" w:type="dxa"/>
            <w:vMerge w:val="continue"/>
            <w:shd w:val="clear" w:color="auto" w:fill="auto"/>
            <w:vAlign w:val="center"/>
          </w:tcPr>
          <w:p>
            <w:pPr>
              <w:widowControl/>
              <w:spacing w:line="360" w:lineRule="auto"/>
              <w:jc w:val="center"/>
              <w:rPr>
                <w:rFonts w:hint="eastAsia" w:ascii="宋体" w:hAnsi="宋体" w:eastAsia="宋体" w:cs="宋体"/>
                <w:b w:val="0"/>
                <w:bCs w:val="0"/>
                <w:color w:val="auto"/>
                <w:sz w:val="21"/>
                <w:szCs w:val="21"/>
                <w:highlight w:val="none"/>
                <w:shd w:val="clear" w:color="auto" w:fill="auto"/>
              </w:rPr>
            </w:pPr>
          </w:p>
        </w:tc>
        <w:tc>
          <w:tcPr>
            <w:tcW w:w="571" w:type="dxa"/>
            <w:shd w:val="clear" w:color="auto" w:fill="auto"/>
            <w:tcMar>
              <w:top w:w="10" w:type="dxa"/>
              <w:left w:w="10" w:type="dxa"/>
              <w:right w:w="10" w:type="dxa"/>
            </w:tcMar>
            <w:vAlign w:val="center"/>
          </w:tcPr>
          <w:p>
            <w:pPr>
              <w:widowControl/>
              <w:spacing w:line="360" w:lineRule="auto"/>
              <w:jc w:val="center"/>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5</w:t>
            </w:r>
          </w:p>
        </w:tc>
      </w:tr>
    </w:tbl>
    <w:p>
      <w:pPr>
        <w:rPr>
          <w:rFonts w:hint="eastAsia"/>
        </w:rPr>
        <w:sectPr>
          <w:pgSz w:w="11906" w:h="16838"/>
          <w:pgMar w:top="1440" w:right="1800" w:bottom="1440" w:left="1800" w:header="851" w:footer="992" w:gutter="0"/>
          <w:cols w:space="425" w:num="1"/>
          <w:docGrid w:type="lines" w:linePitch="312" w:charSpace="0"/>
        </w:sectPr>
      </w:pPr>
    </w:p>
    <w:p>
      <w:pPr>
        <w:pStyle w:val="3"/>
        <w:bidi w:val="0"/>
        <w:jc w:val="center"/>
        <w:rPr>
          <w:rFonts w:hint="eastAsia" w:ascii="宋体" w:hAnsi="宋体" w:eastAsia="宋体" w:cs="宋体"/>
          <w:b/>
          <w:bCs w:val="0"/>
          <w:color w:val="auto"/>
          <w:spacing w:val="-6"/>
          <w:kern w:val="2"/>
          <w:sz w:val="32"/>
          <w:szCs w:val="32"/>
          <w:highlight w:val="none"/>
          <w:lang w:val="en-US" w:eastAsia="zh-CN" w:bidi="ar-SA"/>
        </w:rPr>
      </w:pPr>
      <w:r>
        <w:rPr>
          <w:rFonts w:hint="eastAsia" w:ascii="宋体" w:hAnsi="宋体" w:eastAsia="宋体" w:cs="宋体"/>
          <w:b/>
          <w:bCs w:val="0"/>
          <w:color w:val="auto"/>
          <w:spacing w:val="-6"/>
          <w:kern w:val="2"/>
          <w:sz w:val="32"/>
          <w:szCs w:val="32"/>
          <w:highlight w:val="none"/>
          <w:lang w:val="en-US" w:eastAsia="zh-CN" w:bidi="ar-SA"/>
        </w:rPr>
        <w:t>第五章  拟签订合同的主要条款</w:t>
      </w:r>
    </w:p>
    <w:p>
      <w:pPr>
        <w:rPr>
          <w:rFonts w:hint="eastAsia"/>
        </w:rPr>
      </w:pPr>
    </w:p>
    <w:p>
      <w:pPr>
        <w:spacing w:line="360" w:lineRule="auto"/>
        <w:jc w:val="center"/>
        <w:rPr>
          <w:rFonts w:hint="eastAsia" w:ascii="宋体" w:cs="Lucida Sans"/>
          <w:b/>
          <w:bCs/>
          <w:color w:val="auto"/>
          <w:sz w:val="32"/>
          <w:szCs w:val="32"/>
          <w:highlight w:val="none"/>
        </w:rPr>
      </w:pPr>
      <w:r>
        <w:rPr>
          <w:rFonts w:hint="eastAsia" w:ascii="宋体" w:hAnsi="宋体" w:cs="Lucida Sans"/>
          <w:b/>
          <w:bCs/>
          <w:color w:val="auto"/>
          <w:sz w:val="32"/>
          <w:szCs w:val="32"/>
          <w:highlight w:val="none"/>
          <w:lang w:eastAsia="zh-CN"/>
        </w:rPr>
        <w:t>浙商银行台州分行公司客户贷款抵押物（房屋建筑物）财产保险服务项目采购</w:t>
      </w:r>
    </w:p>
    <w:p>
      <w:pPr>
        <w:jc w:val="center"/>
        <w:rPr>
          <w:rFonts w:ascii="宋体" w:cs="Lucida Sans"/>
          <w:bCs/>
          <w:color w:val="auto"/>
          <w:sz w:val="21"/>
          <w:szCs w:val="21"/>
          <w:highlight w:val="none"/>
        </w:rPr>
      </w:pPr>
      <w:r>
        <w:rPr>
          <w:rFonts w:hint="eastAsia" w:ascii="宋体" w:cs="Lucida Sans"/>
          <w:bCs/>
          <w:color w:val="auto"/>
          <w:sz w:val="21"/>
          <w:szCs w:val="21"/>
          <w:highlight w:val="none"/>
        </w:rPr>
        <w:t>（合同编号：        ）</w:t>
      </w:r>
    </w:p>
    <w:p>
      <w:pPr>
        <w:autoSpaceDE w:val="0"/>
        <w:autoSpaceDN w:val="0"/>
        <w:adjustRightInd w:val="0"/>
        <w:snapToGrid w:val="0"/>
        <w:spacing w:line="360" w:lineRule="auto"/>
        <w:ind w:right="360"/>
        <w:jc w:val="left"/>
        <w:rPr>
          <w:rFonts w:hint="eastAsia" w:ascii="宋体" w:hAnsi="宋体" w:cs="宋体"/>
          <w:color w:val="auto"/>
          <w:kern w:val="0"/>
          <w:sz w:val="21"/>
          <w:szCs w:val="21"/>
          <w:highlight w:val="none"/>
        </w:rPr>
      </w:pPr>
    </w:p>
    <w:p>
      <w:pPr>
        <w:autoSpaceDE w:val="0"/>
        <w:autoSpaceDN w:val="0"/>
        <w:adjustRightInd w:val="0"/>
        <w:snapToGrid w:val="0"/>
        <w:spacing w:line="360" w:lineRule="auto"/>
        <w:ind w:right="360"/>
        <w:jc w:val="left"/>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rPr>
        <w:t>甲        方：浙商银行股份有限公司</w:t>
      </w:r>
      <w:r>
        <w:rPr>
          <w:rFonts w:hint="eastAsia" w:ascii="宋体" w:hAnsi="宋体" w:cs="宋体"/>
          <w:color w:val="auto"/>
          <w:kern w:val="0"/>
          <w:sz w:val="21"/>
          <w:szCs w:val="21"/>
          <w:highlight w:val="none"/>
          <w:lang w:val="en-US" w:eastAsia="zh-CN"/>
        </w:rPr>
        <w:t>台州分行</w:t>
      </w:r>
    </w:p>
    <w:p>
      <w:pPr>
        <w:autoSpaceDE w:val="0"/>
        <w:autoSpaceDN w:val="0"/>
        <w:adjustRightInd w:val="0"/>
        <w:snapToGrid w:val="0"/>
        <w:spacing w:line="360" w:lineRule="auto"/>
        <w:ind w:right="36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纳税人类型  ：</w:t>
      </w:r>
    </w:p>
    <w:p>
      <w:pPr>
        <w:autoSpaceDE w:val="0"/>
        <w:autoSpaceDN w:val="0"/>
        <w:adjustRightInd w:val="0"/>
        <w:snapToGrid w:val="0"/>
        <w:spacing w:line="360" w:lineRule="auto"/>
        <w:ind w:right="360"/>
        <w:jc w:val="left"/>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rPr>
        <w:t>纳税人识别号：</w:t>
      </w:r>
    </w:p>
    <w:p>
      <w:pPr>
        <w:autoSpaceDE w:val="0"/>
        <w:autoSpaceDN w:val="0"/>
        <w:adjustRightInd w:val="0"/>
        <w:snapToGrid w:val="0"/>
        <w:spacing w:line="360" w:lineRule="auto"/>
        <w:ind w:right="360"/>
        <w:jc w:val="left"/>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rPr>
        <w:t>地        址：</w:t>
      </w:r>
    </w:p>
    <w:p>
      <w:pPr>
        <w:autoSpaceDE w:val="0"/>
        <w:autoSpaceDN w:val="0"/>
        <w:adjustRightInd w:val="0"/>
        <w:snapToGrid w:val="0"/>
        <w:spacing w:line="360" w:lineRule="auto"/>
        <w:ind w:right="36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电        话：</w:t>
      </w:r>
    </w:p>
    <w:p>
      <w:pPr>
        <w:autoSpaceDE w:val="0"/>
        <w:autoSpaceDN w:val="0"/>
        <w:adjustRightInd w:val="0"/>
        <w:snapToGrid w:val="0"/>
        <w:spacing w:line="360" w:lineRule="auto"/>
        <w:ind w:right="36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开   户   行：</w:t>
      </w:r>
    </w:p>
    <w:p>
      <w:pPr>
        <w:autoSpaceDE w:val="0"/>
        <w:autoSpaceDN w:val="0"/>
        <w:adjustRightInd w:val="0"/>
        <w:snapToGrid w:val="0"/>
        <w:spacing w:line="360" w:lineRule="auto"/>
        <w:ind w:right="360"/>
        <w:jc w:val="left"/>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rPr>
        <w:t>账        号：</w:t>
      </w:r>
    </w:p>
    <w:p>
      <w:pPr>
        <w:autoSpaceDE w:val="0"/>
        <w:autoSpaceDN w:val="0"/>
        <w:adjustRightInd w:val="0"/>
        <w:snapToGrid w:val="0"/>
        <w:spacing w:line="360" w:lineRule="auto"/>
        <w:ind w:right="360"/>
        <w:jc w:val="left"/>
        <w:rPr>
          <w:rFonts w:hint="eastAsia" w:ascii="宋体" w:hAnsi="宋体" w:cs="宋体"/>
          <w:color w:val="auto"/>
          <w:kern w:val="0"/>
          <w:sz w:val="21"/>
          <w:szCs w:val="21"/>
          <w:highlight w:val="none"/>
        </w:rPr>
      </w:pPr>
    </w:p>
    <w:p>
      <w:pPr>
        <w:autoSpaceDE w:val="0"/>
        <w:autoSpaceDN w:val="0"/>
        <w:adjustRightInd w:val="0"/>
        <w:snapToGrid w:val="0"/>
        <w:spacing w:line="360" w:lineRule="auto"/>
        <w:ind w:right="36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乙        方： </w:t>
      </w:r>
    </w:p>
    <w:p>
      <w:pPr>
        <w:autoSpaceDE w:val="0"/>
        <w:autoSpaceDN w:val="0"/>
        <w:adjustRightInd w:val="0"/>
        <w:snapToGrid w:val="0"/>
        <w:spacing w:line="360" w:lineRule="auto"/>
        <w:ind w:right="36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纳税人类型  ：</w:t>
      </w:r>
    </w:p>
    <w:p>
      <w:pPr>
        <w:autoSpaceDE w:val="0"/>
        <w:autoSpaceDN w:val="0"/>
        <w:adjustRightInd w:val="0"/>
        <w:snapToGrid w:val="0"/>
        <w:spacing w:line="360" w:lineRule="auto"/>
        <w:ind w:right="36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纳税人识别号：</w:t>
      </w:r>
    </w:p>
    <w:p>
      <w:pPr>
        <w:autoSpaceDE w:val="0"/>
        <w:autoSpaceDN w:val="0"/>
        <w:adjustRightInd w:val="0"/>
        <w:snapToGrid w:val="0"/>
        <w:spacing w:line="360" w:lineRule="auto"/>
        <w:ind w:left="1470" w:right="360" w:hanging="1470" w:hangingChars="70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地        址： </w:t>
      </w:r>
    </w:p>
    <w:p>
      <w:pPr>
        <w:autoSpaceDE w:val="0"/>
        <w:autoSpaceDN w:val="0"/>
        <w:adjustRightInd w:val="0"/>
        <w:snapToGrid w:val="0"/>
        <w:spacing w:line="360" w:lineRule="auto"/>
        <w:ind w:right="36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电        话：</w:t>
      </w:r>
    </w:p>
    <w:p>
      <w:pPr>
        <w:autoSpaceDE w:val="0"/>
        <w:autoSpaceDN w:val="0"/>
        <w:adjustRightInd w:val="0"/>
        <w:snapToGrid w:val="0"/>
        <w:spacing w:line="360" w:lineRule="auto"/>
        <w:ind w:right="36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开   户   行： </w:t>
      </w:r>
    </w:p>
    <w:p>
      <w:pPr>
        <w:autoSpaceDE w:val="0"/>
        <w:autoSpaceDN w:val="0"/>
        <w:adjustRightInd w:val="0"/>
        <w:snapToGrid w:val="0"/>
        <w:spacing w:line="360" w:lineRule="auto"/>
        <w:ind w:right="36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账        号：</w:t>
      </w:r>
    </w:p>
    <w:p>
      <w:pPr>
        <w:autoSpaceDE w:val="0"/>
        <w:autoSpaceDN w:val="0"/>
        <w:adjustRightInd w:val="0"/>
        <w:snapToGrid w:val="0"/>
        <w:spacing w:line="360" w:lineRule="auto"/>
        <w:ind w:right="36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       </w:t>
      </w:r>
    </w:p>
    <w:p>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甲乙双方经公开招标，就</w:t>
      </w:r>
      <w:r>
        <w:rPr>
          <w:rFonts w:hint="eastAsia" w:ascii="宋体" w:hAnsi="宋体" w:eastAsia="宋体" w:cs="宋体"/>
          <w:i w:val="0"/>
          <w:iCs w:val="0"/>
          <w:caps w:val="0"/>
          <w:color w:val="auto"/>
          <w:spacing w:val="0"/>
          <w:kern w:val="0"/>
          <w:sz w:val="21"/>
          <w:szCs w:val="21"/>
          <w:highlight w:val="none"/>
          <w:shd w:val="clear" w:color="auto" w:fill="auto"/>
        </w:rPr>
        <w:t>浙商银行台州分行公司客户贷款抵押物（房屋建筑物）财产保险服务项目采购</w:t>
      </w:r>
      <w:r>
        <w:rPr>
          <w:rFonts w:hint="eastAsia" w:ascii="宋体" w:hAnsi="宋体" w:eastAsia="宋体" w:cs="宋体"/>
          <w:color w:val="auto"/>
          <w:kern w:val="0"/>
          <w:sz w:val="21"/>
          <w:szCs w:val="21"/>
          <w:highlight w:val="none"/>
        </w:rPr>
        <w:t>有关事宜，根据《中华人民共和国民法典》和相关法律法规的规定，甲乙双方本着诚实信用、平等互利的原则，经过平等友好协商，特订立本合同，双方自愿共同遵守。</w:t>
      </w:r>
    </w:p>
    <w:p>
      <w:pPr>
        <w:widowControl/>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一、定义</w:t>
      </w:r>
    </w:p>
    <w:p>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除非另有特别约定，在本合同以及与本合同有关的甲乙双方另行签订的其他文件中，下列词语按如下定义进行解释：</w:t>
      </w:r>
    </w:p>
    <w:p>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1.“合同”是指甲方和乙方已达成的协议，即由双方签订的合同格式中的文件，包括所有的附件、附录和组成合同部分的所有其他文件。</w:t>
      </w:r>
    </w:p>
    <w:p>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2.“服务”是指本合同约定的乙方同意按照甲方的要求为采购单位提供抵押物品保险服务。</w:t>
      </w:r>
    </w:p>
    <w:p>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3.“被保险人”是指按本合同约定在乙方处办理各类抵押物</w:t>
      </w:r>
      <w:r>
        <w:rPr>
          <w:rFonts w:hint="eastAsia" w:ascii="宋体" w:hAnsi="宋体" w:eastAsia="宋体" w:cs="宋体"/>
          <w:color w:val="auto"/>
          <w:kern w:val="0"/>
          <w:sz w:val="21"/>
          <w:szCs w:val="21"/>
          <w:highlight w:val="none"/>
          <w:lang w:val="en-US" w:eastAsia="zh-CN"/>
        </w:rPr>
        <w:t>保险</w:t>
      </w:r>
      <w:r>
        <w:rPr>
          <w:rFonts w:hint="eastAsia" w:ascii="宋体" w:hAnsi="宋体" w:eastAsia="宋体" w:cs="宋体"/>
          <w:color w:val="auto"/>
          <w:kern w:val="0"/>
          <w:sz w:val="21"/>
          <w:szCs w:val="21"/>
          <w:highlight w:val="none"/>
        </w:rPr>
        <w:t>的具体采购单位。</w:t>
      </w:r>
    </w:p>
    <w:p>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4.“工作日”是指除公休日和国家法定节假日以外的日历日。</w:t>
      </w:r>
    </w:p>
    <w:p>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第三方”是指本合同以外的任何中国境内、境外的法人、自然人或其他组织。</w:t>
      </w:r>
    </w:p>
    <w:p>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6.“附件”是指与本合同的订立、履行有关的，经甲乙双方认可的，对本合同约定的内容进行细化、补充、修改、变更的文件、图纸、音像制品等资料。</w:t>
      </w:r>
    </w:p>
    <w:p>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7.“出单公司”是指乙方为本次招标提供保险承保出单、理赔以及相关保险服务的</w:t>
      </w:r>
      <w:r>
        <w:rPr>
          <w:rFonts w:hint="eastAsia" w:ascii="宋体" w:hAnsi="宋体" w:eastAsia="宋体" w:cs="宋体"/>
          <w:color w:val="auto"/>
          <w:kern w:val="0"/>
          <w:sz w:val="21"/>
          <w:szCs w:val="21"/>
          <w:highlight w:val="none"/>
          <w:lang w:val="en-US" w:eastAsia="zh-CN"/>
        </w:rPr>
        <w:t>公司或分支机构</w:t>
      </w:r>
      <w:r>
        <w:rPr>
          <w:rFonts w:hint="eastAsia" w:ascii="宋体" w:hAnsi="宋体" w:eastAsia="宋体" w:cs="宋体"/>
          <w:color w:val="auto"/>
          <w:kern w:val="0"/>
          <w:sz w:val="21"/>
          <w:szCs w:val="21"/>
          <w:highlight w:val="none"/>
        </w:rPr>
        <w:t>。</w:t>
      </w:r>
    </w:p>
    <w:p>
      <w:pPr>
        <w:widowControl/>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二、适用范围</w:t>
      </w:r>
    </w:p>
    <w:p>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本合同条款仅适用于本次招标采购活动。</w:t>
      </w:r>
    </w:p>
    <w:p>
      <w:pPr>
        <w:widowControl/>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三、合同的组成</w:t>
      </w:r>
    </w:p>
    <w:p>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下列文件应作为本合同的组成部分</w:t>
      </w:r>
    </w:p>
    <w:p>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1.本合同书；</w:t>
      </w:r>
    </w:p>
    <w:p>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2.中标通知书；</w:t>
      </w:r>
    </w:p>
    <w:p>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3.投标文件及其附件（含投标人在评标期间递交和确认并经招标代理人同意的对有关问题的补充资料和澄清文件等，如果有）；</w:t>
      </w:r>
    </w:p>
    <w:p>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4.招标文件及其附件（含招标代理人在评标期间经投标人确认同意的对有关问题的补充资料和澄清文件等，如果有）；</w:t>
      </w:r>
    </w:p>
    <w:p>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5.投保人的投保材料；</w:t>
      </w:r>
    </w:p>
    <w:p>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6.投保单、保险单及批改申请、批单；</w:t>
      </w:r>
    </w:p>
    <w:p>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7.保险人应提供投保及赔案处理情况报表；</w:t>
      </w:r>
    </w:p>
    <w:p>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8.与本次招标有关的并经当事人双方确认的其他文件。</w:t>
      </w:r>
    </w:p>
    <w:p>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上述文件互为补充和解释，如有不清或相互矛盾之处，以所列顺序在前的为准，但甲乙双方有特别约定的除外。</w:t>
      </w:r>
    </w:p>
    <w:p>
      <w:pPr>
        <w:widowControl/>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四、保险条件</w:t>
      </w:r>
    </w:p>
    <w:p>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1.中标保险费率</w:t>
      </w:r>
    </w:p>
    <w:tbl>
      <w:tblPr>
        <w:tblStyle w:val="21"/>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5"/>
        <w:gridCol w:w="2982"/>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547" w:type="pct"/>
            <w:noWrap w:val="0"/>
            <w:vAlign w:val="center"/>
          </w:tcPr>
          <w:p>
            <w:pPr>
              <w:widowControl/>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险种名称保险标的物</w:t>
            </w:r>
          </w:p>
        </w:tc>
        <w:tc>
          <w:tcPr>
            <w:tcW w:w="1751" w:type="pct"/>
            <w:noWrap w:val="0"/>
            <w:vAlign w:val="center"/>
          </w:tcPr>
          <w:p>
            <w:pPr>
              <w:widowControl/>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保险费率</w:t>
            </w:r>
          </w:p>
        </w:tc>
        <w:tc>
          <w:tcPr>
            <w:tcW w:w="1700" w:type="pct"/>
            <w:noWrap w:val="0"/>
            <w:vAlign w:val="center"/>
          </w:tcPr>
          <w:p>
            <w:pPr>
              <w:widowControl/>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635" w:type="dxa"/>
            <w:noWrap w:val="0"/>
            <w:vAlign w:val="center"/>
          </w:tcPr>
          <w:p>
            <w:pPr>
              <w:bidi w:val="0"/>
              <w:jc w:val="center"/>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sz w:val="21"/>
                <w:szCs w:val="21"/>
                <w:highlight w:val="none"/>
                <w:lang w:val="en-US" w:eastAsia="zh-CN"/>
              </w:rPr>
              <w:t>居住用房地产</w:t>
            </w:r>
          </w:p>
        </w:tc>
        <w:tc>
          <w:tcPr>
            <w:tcW w:w="1751" w:type="pct"/>
            <w:noWrap w:val="0"/>
            <w:vAlign w:val="center"/>
          </w:tcPr>
          <w:p>
            <w:pPr>
              <w:widowControl/>
              <w:spacing w:line="360" w:lineRule="auto"/>
              <w:ind w:firstLine="437"/>
              <w:jc w:val="center"/>
              <w:rPr>
                <w:rFonts w:hint="eastAsia" w:ascii="宋体" w:hAnsi="宋体" w:eastAsia="宋体" w:cs="宋体"/>
                <w:color w:val="auto"/>
                <w:kern w:val="0"/>
                <w:sz w:val="21"/>
                <w:szCs w:val="21"/>
                <w:highlight w:val="none"/>
              </w:rPr>
            </w:pPr>
          </w:p>
        </w:tc>
        <w:tc>
          <w:tcPr>
            <w:tcW w:w="1700" w:type="pct"/>
            <w:noWrap w:val="0"/>
            <w:vAlign w:val="center"/>
          </w:tcPr>
          <w:p>
            <w:pPr>
              <w:widowControl/>
              <w:spacing w:line="360" w:lineRule="auto"/>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635" w:type="dxa"/>
            <w:noWrap w:val="0"/>
            <w:vAlign w:val="center"/>
          </w:tcPr>
          <w:p>
            <w:pPr>
              <w:bidi w:val="0"/>
              <w:jc w:val="center"/>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sz w:val="21"/>
                <w:szCs w:val="21"/>
                <w:highlight w:val="none"/>
                <w:lang w:val="en-US" w:eastAsia="zh-CN"/>
              </w:rPr>
              <w:t>工业用房</w:t>
            </w:r>
          </w:p>
        </w:tc>
        <w:tc>
          <w:tcPr>
            <w:tcW w:w="1751" w:type="pct"/>
            <w:noWrap w:val="0"/>
            <w:vAlign w:val="center"/>
          </w:tcPr>
          <w:p>
            <w:pPr>
              <w:widowControl/>
              <w:spacing w:line="360" w:lineRule="auto"/>
              <w:ind w:firstLine="437"/>
              <w:jc w:val="center"/>
              <w:rPr>
                <w:rFonts w:hint="eastAsia" w:ascii="宋体" w:hAnsi="宋体" w:eastAsia="宋体" w:cs="宋体"/>
                <w:color w:val="auto"/>
                <w:kern w:val="0"/>
                <w:sz w:val="21"/>
                <w:szCs w:val="21"/>
                <w:highlight w:val="none"/>
              </w:rPr>
            </w:pPr>
          </w:p>
        </w:tc>
        <w:tc>
          <w:tcPr>
            <w:tcW w:w="1700" w:type="pct"/>
            <w:noWrap w:val="0"/>
            <w:vAlign w:val="center"/>
          </w:tcPr>
          <w:p>
            <w:pPr>
              <w:widowControl/>
              <w:spacing w:line="360" w:lineRule="auto"/>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635" w:type="dxa"/>
            <w:noWrap w:val="0"/>
            <w:vAlign w:val="center"/>
          </w:tcPr>
          <w:p>
            <w:pPr>
              <w:bidi w:val="0"/>
              <w:jc w:val="center"/>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sz w:val="21"/>
                <w:szCs w:val="21"/>
                <w:highlight w:val="none"/>
                <w:lang w:val="en-US" w:eastAsia="zh-CN"/>
              </w:rPr>
              <w:t>办公用房</w:t>
            </w:r>
          </w:p>
        </w:tc>
        <w:tc>
          <w:tcPr>
            <w:tcW w:w="1751" w:type="pct"/>
            <w:noWrap w:val="0"/>
            <w:vAlign w:val="center"/>
          </w:tcPr>
          <w:p>
            <w:pPr>
              <w:widowControl/>
              <w:spacing w:line="360" w:lineRule="auto"/>
              <w:ind w:firstLine="437"/>
              <w:jc w:val="center"/>
              <w:rPr>
                <w:rFonts w:hint="eastAsia" w:ascii="宋体" w:hAnsi="宋体" w:eastAsia="宋体" w:cs="宋体"/>
                <w:color w:val="auto"/>
                <w:kern w:val="0"/>
                <w:sz w:val="21"/>
                <w:szCs w:val="21"/>
                <w:highlight w:val="none"/>
              </w:rPr>
            </w:pPr>
          </w:p>
        </w:tc>
        <w:tc>
          <w:tcPr>
            <w:tcW w:w="1700" w:type="pct"/>
            <w:noWrap w:val="0"/>
            <w:vAlign w:val="center"/>
          </w:tcPr>
          <w:p>
            <w:pPr>
              <w:widowControl/>
              <w:spacing w:line="360" w:lineRule="auto"/>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635" w:type="dxa"/>
            <w:noWrap w:val="0"/>
            <w:vAlign w:val="center"/>
          </w:tcPr>
          <w:p>
            <w:pPr>
              <w:bidi w:val="0"/>
              <w:jc w:val="center"/>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sz w:val="21"/>
                <w:szCs w:val="21"/>
                <w:highlight w:val="none"/>
                <w:lang w:val="en-US" w:eastAsia="zh-CN"/>
              </w:rPr>
              <w:t>商业用房</w:t>
            </w:r>
          </w:p>
        </w:tc>
        <w:tc>
          <w:tcPr>
            <w:tcW w:w="1751" w:type="pct"/>
            <w:noWrap w:val="0"/>
            <w:vAlign w:val="center"/>
          </w:tcPr>
          <w:p>
            <w:pPr>
              <w:widowControl/>
              <w:spacing w:line="360" w:lineRule="auto"/>
              <w:ind w:firstLine="437"/>
              <w:jc w:val="center"/>
              <w:rPr>
                <w:rFonts w:hint="eastAsia" w:ascii="宋体" w:hAnsi="宋体" w:eastAsia="宋体" w:cs="宋体"/>
                <w:color w:val="auto"/>
                <w:kern w:val="0"/>
                <w:sz w:val="21"/>
                <w:szCs w:val="21"/>
                <w:highlight w:val="none"/>
              </w:rPr>
            </w:pPr>
          </w:p>
        </w:tc>
        <w:tc>
          <w:tcPr>
            <w:tcW w:w="1700" w:type="pct"/>
            <w:noWrap w:val="0"/>
            <w:vAlign w:val="center"/>
          </w:tcPr>
          <w:p>
            <w:pPr>
              <w:widowControl/>
              <w:spacing w:line="360" w:lineRule="auto"/>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635" w:type="dxa"/>
            <w:noWrap w:val="0"/>
            <w:vAlign w:val="center"/>
          </w:tcPr>
          <w:p>
            <w:pPr>
              <w:bidi w:val="0"/>
              <w:jc w:val="center"/>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sz w:val="21"/>
                <w:szCs w:val="21"/>
                <w:highlight w:val="none"/>
                <w:lang w:val="en-US" w:eastAsia="zh-CN"/>
              </w:rPr>
              <w:t>其他房地产</w:t>
            </w:r>
          </w:p>
        </w:tc>
        <w:tc>
          <w:tcPr>
            <w:tcW w:w="1751" w:type="pct"/>
            <w:noWrap w:val="0"/>
            <w:vAlign w:val="center"/>
          </w:tcPr>
          <w:p>
            <w:pPr>
              <w:widowControl/>
              <w:spacing w:line="360" w:lineRule="auto"/>
              <w:ind w:firstLine="437"/>
              <w:jc w:val="center"/>
              <w:rPr>
                <w:rFonts w:hint="eastAsia" w:ascii="宋体" w:hAnsi="宋体" w:eastAsia="宋体" w:cs="宋体"/>
                <w:color w:val="auto"/>
                <w:kern w:val="0"/>
                <w:sz w:val="21"/>
                <w:szCs w:val="21"/>
                <w:highlight w:val="none"/>
              </w:rPr>
            </w:pPr>
          </w:p>
        </w:tc>
        <w:tc>
          <w:tcPr>
            <w:tcW w:w="1700" w:type="pct"/>
            <w:noWrap w:val="0"/>
            <w:vAlign w:val="center"/>
          </w:tcPr>
          <w:p>
            <w:pPr>
              <w:widowControl/>
              <w:spacing w:line="360" w:lineRule="auto"/>
              <w:jc w:val="center"/>
              <w:rPr>
                <w:rFonts w:hint="eastAsia" w:ascii="宋体" w:hAnsi="宋体" w:eastAsia="宋体" w:cs="宋体"/>
                <w:color w:val="auto"/>
                <w:kern w:val="0"/>
                <w:sz w:val="21"/>
                <w:szCs w:val="21"/>
                <w:highlight w:val="none"/>
              </w:rPr>
            </w:pPr>
          </w:p>
        </w:tc>
      </w:tr>
    </w:tbl>
    <w:p>
      <w:pPr>
        <w:widowControl/>
        <w:spacing w:line="360" w:lineRule="auto"/>
        <w:ind w:firstLine="437"/>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2.保险条款</w:t>
      </w:r>
    </w:p>
    <w:p>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乙方经</w:t>
      </w:r>
      <w:r>
        <w:rPr>
          <w:rFonts w:hint="eastAsia" w:ascii="宋体" w:hAnsi="宋体" w:cs="宋体"/>
          <w:color w:val="auto"/>
          <w:kern w:val="0"/>
          <w:sz w:val="21"/>
          <w:szCs w:val="21"/>
          <w:highlight w:val="none"/>
        </w:rPr>
        <w:t>国家金融监督管理总局</w:t>
      </w:r>
      <w:r>
        <w:rPr>
          <w:rFonts w:hint="eastAsia" w:ascii="宋体" w:hAnsi="宋体" w:eastAsia="宋体" w:cs="宋体"/>
          <w:color w:val="auto"/>
          <w:kern w:val="0"/>
          <w:sz w:val="21"/>
          <w:szCs w:val="21"/>
          <w:highlight w:val="none"/>
        </w:rPr>
        <w:t>批复的财产条款（由乙方提供，并作为本合同条款附件）：</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3"/>
        <w:gridCol w:w="3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3" w:type="dxa"/>
            <w:shd w:val="clear" w:color="auto" w:fill="E0E0E0"/>
            <w:noWrap w:val="0"/>
            <w:vAlign w:val="top"/>
          </w:tcPr>
          <w:p>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条 款 名 称</w:t>
            </w:r>
          </w:p>
        </w:tc>
        <w:tc>
          <w:tcPr>
            <w:tcW w:w="3449" w:type="dxa"/>
            <w:shd w:val="clear" w:color="auto" w:fill="E0E0E0"/>
            <w:noWrap w:val="0"/>
            <w:vAlign w:val="top"/>
          </w:tcPr>
          <w:p>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编     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403" w:type="dxa"/>
            <w:noWrap w:val="0"/>
            <w:vAlign w:val="top"/>
          </w:tcPr>
          <w:p>
            <w:pPr>
              <w:widowControl/>
              <w:spacing w:line="360" w:lineRule="auto"/>
              <w:jc w:val="left"/>
              <w:rPr>
                <w:rFonts w:hint="eastAsia" w:ascii="宋体" w:hAnsi="宋体" w:eastAsia="宋体" w:cs="宋体"/>
                <w:color w:val="auto"/>
                <w:kern w:val="0"/>
                <w:sz w:val="21"/>
                <w:szCs w:val="21"/>
                <w:highlight w:val="none"/>
              </w:rPr>
            </w:pPr>
          </w:p>
        </w:tc>
        <w:tc>
          <w:tcPr>
            <w:tcW w:w="3449" w:type="dxa"/>
            <w:noWrap w:val="0"/>
            <w:vAlign w:val="top"/>
          </w:tcPr>
          <w:p>
            <w:pPr>
              <w:widowControl/>
              <w:spacing w:line="360" w:lineRule="auto"/>
              <w:jc w:val="left"/>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3" w:type="dxa"/>
            <w:noWrap w:val="0"/>
            <w:vAlign w:val="top"/>
          </w:tcPr>
          <w:p>
            <w:pPr>
              <w:widowControl/>
              <w:spacing w:line="360" w:lineRule="auto"/>
              <w:jc w:val="left"/>
              <w:rPr>
                <w:rFonts w:hint="eastAsia" w:ascii="宋体" w:hAnsi="宋体" w:eastAsia="宋体" w:cs="宋体"/>
                <w:color w:val="auto"/>
                <w:kern w:val="0"/>
                <w:sz w:val="21"/>
                <w:szCs w:val="21"/>
                <w:highlight w:val="none"/>
              </w:rPr>
            </w:pPr>
          </w:p>
        </w:tc>
        <w:tc>
          <w:tcPr>
            <w:tcW w:w="3449" w:type="dxa"/>
            <w:noWrap w:val="0"/>
            <w:vAlign w:val="top"/>
          </w:tcPr>
          <w:p>
            <w:pPr>
              <w:widowControl/>
              <w:spacing w:line="360" w:lineRule="auto"/>
              <w:jc w:val="left"/>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3" w:type="dxa"/>
            <w:noWrap w:val="0"/>
            <w:vAlign w:val="top"/>
          </w:tcPr>
          <w:p>
            <w:pPr>
              <w:widowControl/>
              <w:spacing w:line="360" w:lineRule="auto"/>
              <w:jc w:val="left"/>
              <w:rPr>
                <w:rFonts w:hint="eastAsia" w:ascii="宋体" w:hAnsi="宋体" w:eastAsia="宋体" w:cs="宋体"/>
                <w:color w:val="auto"/>
                <w:kern w:val="0"/>
                <w:sz w:val="21"/>
                <w:szCs w:val="21"/>
                <w:highlight w:val="none"/>
              </w:rPr>
            </w:pPr>
          </w:p>
        </w:tc>
        <w:tc>
          <w:tcPr>
            <w:tcW w:w="3449" w:type="dxa"/>
            <w:noWrap w:val="0"/>
            <w:vAlign w:val="top"/>
          </w:tcPr>
          <w:p>
            <w:pPr>
              <w:widowControl/>
              <w:spacing w:line="360" w:lineRule="auto"/>
              <w:jc w:val="left"/>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3" w:type="dxa"/>
            <w:noWrap w:val="0"/>
            <w:vAlign w:val="top"/>
          </w:tcPr>
          <w:p>
            <w:pPr>
              <w:widowControl/>
              <w:spacing w:line="360" w:lineRule="auto"/>
              <w:jc w:val="left"/>
              <w:rPr>
                <w:rFonts w:hint="eastAsia" w:ascii="宋体" w:hAnsi="宋体" w:eastAsia="宋体" w:cs="宋体"/>
                <w:color w:val="auto"/>
                <w:kern w:val="0"/>
                <w:sz w:val="21"/>
                <w:szCs w:val="21"/>
                <w:highlight w:val="none"/>
              </w:rPr>
            </w:pPr>
          </w:p>
        </w:tc>
        <w:tc>
          <w:tcPr>
            <w:tcW w:w="3449" w:type="dxa"/>
            <w:noWrap w:val="0"/>
            <w:vAlign w:val="top"/>
          </w:tcPr>
          <w:p>
            <w:pPr>
              <w:widowControl/>
              <w:spacing w:line="360" w:lineRule="auto"/>
              <w:jc w:val="left"/>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3" w:type="dxa"/>
            <w:noWrap w:val="0"/>
            <w:vAlign w:val="top"/>
          </w:tcPr>
          <w:p>
            <w:pPr>
              <w:widowControl/>
              <w:spacing w:line="360" w:lineRule="auto"/>
              <w:jc w:val="left"/>
              <w:rPr>
                <w:rFonts w:hint="eastAsia" w:ascii="宋体" w:hAnsi="宋体" w:eastAsia="宋体" w:cs="宋体"/>
                <w:color w:val="auto"/>
                <w:kern w:val="0"/>
                <w:sz w:val="21"/>
                <w:szCs w:val="21"/>
                <w:highlight w:val="none"/>
              </w:rPr>
            </w:pPr>
          </w:p>
        </w:tc>
        <w:tc>
          <w:tcPr>
            <w:tcW w:w="3449" w:type="dxa"/>
            <w:noWrap w:val="0"/>
            <w:vAlign w:val="top"/>
          </w:tcPr>
          <w:p>
            <w:pPr>
              <w:widowControl/>
              <w:spacing w:line="360" w:lineRule="auto"/>
              <w:jc w:val="left"/>
              <w:rPr>
                <w:rFonts w:hint="eastAsia" w:ascii="宋体" w:hAnsi="宋体" w:eastAsia="宋体" w:cs="宋体"/>
                <w:color w:val="auto"/>
                <w:kern w:val="0"/>
                <w:sz w:val="21"/>
                <w:szCs w:val="21"/>
                <w:highlight w:val="none"/>
              </w:rPr>
            </w:pPr>
          </w:p>
        </w:tc>
      </w:tr>
    </w:tbl>
    <w:p>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3.投保险种与保险金额/赔偿限额</w:t>
      </w:r>
    </w:p>
    <w:p>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（1）投保险种原则上为银行授信业务保险服务</w:t>
      </w:r>
      <w:r>
        <w:rPr>
          <w:rFonts w:hint="eastAsia" w:ascii="宋体" w:hAnsi="宋体" w:eastAsia="宋体" w:cs="宋体"/>
          <w:color w:val="auto"/>
          <w:kern w:val="0"/>
          <w:sz w:val="21"/>
          <w:szCs w:val="21"/>
          <w:highlight w:val="none"/>
          <w:lang w:eastAsia="zh-CN"/>
        </w:rPr>
        <w:t>，包含住宅、公寓、写字楼、商铺、厂房等</w:t>
      </w:r>
      <w:r>
        <w:rPr>
          <w:rFonts w:hint="eastAsia" w:ascii="宋体" w:hAnsi="宋体" w:eastAsia="宋体" w:cs="宋体"/>
          <w:color w:val="auto"/>
          <w:kern w:val="0"/>
          <w:sz w:val="21"/>
          <w:szCs w:val="21"/>
          <w:highlight w:val="none"/>
        </w:rPr>
        <w:t>，有特别需要的的另行协商处理。</w:t>
      </w:r>
    </w:p>
    <w:p>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（2）保险金额与赔偿限额根据招标、投标相关文件以及投保险种具体情况而定。</w:t>
      </w:r>
    </w:p>
    <w:p>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4.服务期限：服务期限为</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年，自20</w:t>
      </w:r>
      <w:r>
        <w:rPr>
          <w:rFonts w:hint="eastAsia" w:ascii="宋体" w:hAnsi="宋体" w:eastAsia="宋体" w:cs="宋体"/>
          <w:color w:val="auto"/>
          <w:kern w:val="0"/>
          <w:sz w:val="21"/>
          <w:szCs w:val="21"/>
          <w:highlight w:val="none"/>
          <w:lang w:val="en-US" w:eastAsia="zh-CN"/>
        </w:rPr>
        <w:t>25</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日</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时起至202</w:t>
      </w:r>
      <w:r>
        <w:rPr>
          <w:rFonts w:hint="eastAsia" w:ascii="宋体" w:hAnsi="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日</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时止。</w:t>
      </w:r>
    </w:p>
    <w:p>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5.支付方式和要求</w:t>
      </w:r>
    </w:p>
    <w:p>
      <w:pPr>
        <w:widowControl/>
        <w:spacing w:line="360" w:lineRule="auto"/>
        <w:ind w:firstLine="420" w:firstLineChars="200"/>
        <w:jc w:val="left"/>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（1）一单一结（如果贷款提前结清，应退回未到期</w:t>
      </w:r>
      <w:r>
        <w:rPr>
          <w:rFonts w:hint="eastAsia" w:ascii="宋体" w:hAnsi="宋体" w:cs="宋体"/>
          <w:color w:val="auto"/>
          <w:kern w:val="0"/>
          <w:sz w:val="21"/>
          <w:szCs w:val="21"/>
          <w:highlight w:val="none"/>
          <w:lang w:eastAsia="zh-CN"/>
        </w:rPr>
        <w:t>部分</w:t>
      </w:r>
      <w:r>
        <w:rPr>
          <w:rFonts w:hint="eastAsia" w:ascii="宋体" w:hAnsi="宋体" w:eastAsia="宋体" w:cs="宋体"/>
          <w:color w:val="auto"/>
          <w:kern w:val="0"/>
          <w:sz w:val="21"/>
          <w:szCs w:val="21"/>
          <w:highlight w:val="none"/>
        </w:rPr>
        <w:t>抵押物保险合同的</w:t>
      </w:r>
      <w:r>
        <w:rPr>
          <w:rFonts w:hint="eastAsia" w:ascii="宋体" w:hAnsi="宋体" w:cs="宋体"/>
          <w:color w:val="auto"/>
          <w:kern w:val="0"/>
          <w:sz w:val="21"/>
          <w:szCs w:val="21"/>
          <w:highlight w:val="none"/>
          <w:lang w:eastAsia="zh-CN"/>
        </w:rPr>
        <w:t>相应</w:t>
      </w:r>
      <w:r>
        <w:rPr>
          <w:rFonts w:hint="eastAsia" w:ascii="宋体" w:hAnsi="宋体" w:eastAsia="宋体" w:cs="宋体"/>
          <w:color w:val="auto"/>
          <w:kern w:val="0"/>
          <w:sz w:val="21"/>
          <w:szCs w:val="21"/>
          <w:highlight w:val="none"/>
        </w:rPr>
        <w:t>保费）。</w:t>
      </w:r>
    </w:p>
    <w:p>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（2）乙方提供以下账户作为乙方收取款额的指定账户</w:t>
      </w:r>
    </w:p>
    <w:p>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单位：</w:t>
      </w:r>
    </w:p>
    <w:p>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开户行：</w:t>
      </w:r>
    </w:p>
    <w:p>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账户：</w:t>
      </w:r>
    </w:p>
    <w:p>
      <w:pPr>
        <w:widowControl/>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五、组织实施</w:t>
      </w:r>
    </w:p>
    <w:p>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1.甲、乙双方合同当事人应该为</w:t>
      </w:r>
      <w:r>
        <w:rPr>
          <w:rFonts w:hint="eastAsia" w:ascii="宋体" w:hAnsi="宋体" w:cs="宋体"/>
          <w:color w:val="auto"/>
          <w:kern w:val="0"/>
          <w:sz w:val="21"/>
          <w:szCs w:val="21"/>
          <w:highlight w:val="none"/>
          <w:lang w:val="en-US" w:eastAsia="zh-CN"/>
        </w:rPr>
        <w:t>本</w:t>
      </w:r>
      <w:r>
        <w:rPr>
          <w:rFonts w:hint="eastAsia" w:ascii="宋体" w:hAnsi="宋体" w:eastAsia="宋体" w:cs="宋体"/>
          <w:color w:val="auto"/>
          <w:kern w:val="0"/>
          <w:sz w:val="21"/>
          <w:szCs w:val="21"/>
          <w:highlight w:val="none"/>
        </w:rPr>
        <w:t>合同的顺利实施积极创造有利条件。</w:t>
      </w:r>
    </w:p>
    <w:p>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2.乙方应按照本合同、招标文件的要求以及投标文件的承诺认真履行。</w:t>
      </w:r>
    </w:p>
    <w:p>
      <w:pPr>
        <w:widowControl/>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六、违约责任</w:t>
      </w:r>
    </w:p>
    <w:p>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.若乙方有下列情形之一，甲方有权扣除</w:t>
      </w:r>
      <w:r>
        <w:rPr>
          <w:rFonts w:hint="eastAsia" w:ascii="宋体" w:hAnsi="宋体" w:cs="宋体"/>
          <w:color w:val="auto"/>
          <w:kern w:val="0"/>
          <w:sz w:val="21"/>
          <w:szCs w:val="21"/>
          <w:highlight w:val="none"/>
          <w:lang w:eastAsia="zh-CN"/>
        </w:rPr>
        <w:t>或要求乙方支付</w:t>
      </w:r>
      <w:r>
        <w:rPr>
          <w:rFonts w:hint="eastAsia" w:ascii="宋体" w:hAnsi="宋体" w:eastAsia="宋体" w:cs="宋体"/>
          <w:color w:val="auto"/>
          <w:kern w:val="0"/>
          <w:sz w:val="21"/>
          <w:szCs w:val="21"/>
          <w:highlight w:val="none"/>
        </w:rPr>
        <w:t>正式保险单中的10%的保费金额作为违约金：</w:t>
      </w:r>
    </w:p>
    <w:p>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（1）乙方对所提供的服务与合同、招标文件、投标文件要求不符负有责任。</w:t>
      </w:r>
    </w:p>
    <w:p>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（2）采用不正当竞争手段谋取中标的，或其他因乙方原因影响本合同无法履行或终止的。</w:t>
      </w:r>
    </w:p>
    <w:p>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（3）乙方未能交付服务。</w:t>
      </w:r>
    </w:p>
    <w:p>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.乙方有下列情形之一的，中标、成交无效，甲方已支付的保险费乙方应全额退还甲方并按同期银行贷款利率向甲方支付相应的利息；乙方还应按正式保险单中的10%保费金额作为违约金</w:t>
      </w:r>
      <w:r>
        <w:rPr>
          <w:rFonts w:hint="eastAsia" w:ascii="宋体" w:hAnsi="宋体" w:cs="宋体"/>
          <w:color w:val="auto"/>
          <w:kern w:val="0"/>
          <w:sz w:val="21"/>
          <w:szCs w:val="21"/>
          <w:highlight w:val="none"/>
          <w:lang w:eastAsia="zh-CN"/>
        </w:rPr>
        <w:t>向甲方支付</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eastAsia="zh-CN"/>
        </w:rPr>
        <w:t>如违约金不足以覆盖甲方</w:t>
      </w:r>
      <w:r>
        <w:rPr>
          <w:rFonts w:hint="eastAsia" w:ascii="宋体" w:hAnsi="宋体" w:eastAsia="宋体" w:cs="宋体"/>
          <w:color w:val="auto"/>
          <w:kern w:val="0"/>
          <w:sz w:val="21"/>
          <w:szCs w:val="21"/>
          <w:highlight w:val="none"/>
        </w:rPr>
        <w:t>实际损失的，</w:t>
      </w:r>
      <w:r>
        <w:rPr>
          <w:rFonts w:hint="eastAsia" w:ascii="宋体" w:hAnsi="宋体" w:cs="宋体"/>
          <w:color w:val="auto"/>
          <w:kern w:val="0"/>
          <w:sz w:val="21"/>
          <w:szCs w:val="21"/>
          <w:highlight w:val="none"/>
          <w:lang w:eastAsia="zh-CN"/>
        </w:rPr>
        <w:t>乙方还应</w:t>
      </w:r>
      <w:r>
        <w:rPr>
          <w:rFonts w:hint="eastAsia" w:ascii="宋体" w:hAnsi="宋体" w:eastAsia="宋体" w:cs="宋体"/>
          <w:color w:val="auto"/>
          <w:kern w:val="0"/>
          <w:sz w:val="21"/>
          <w:szCs w:val="21"/>
          <w:highlight w:val="none"/>
        </w:rPr>
        <w:t>赔偿甲方的损失。</w:t>
      </w:r>
    </w:p>
    <w:p>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（1）提供虚假材料谋取中标、成交的；</w:t>
      </w:r>
    </w:p>
    <w:p>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（2）采取不正当手段诋毁、排挤其他供应商的；</w:t>
      </w:r>
    </w:p>
    <w:p>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（3）与招标人、其他供应商或者招标代理人恶意串通的；</w:t>
      </w:r>
    </w:p>
    <w:p>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（4）向招标人、招标代理人行贿或者提供其他不正当利益的；</w:t>
      </w:r>
    </w:p>
    <w:p>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（5）在招标采购过程中与招标人进行协商谈判的。</w:t>
      </w:r>
    </w:p>
    <w:p>
      <w:pPr>
        <w:widowControl/>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七、不可抗力</w:t>
      </w:r>
    </w:p>
    <w:p>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合同任何一方由于受诸如战争、骚乱、瘟疫、严重火灾、洪水、台风、地震、疫情等不可抗力事件的影响而不能执行合同时，履行合同的期限应予以延长，延长的期限应相当于事故所影响的时间。不可抗力事件是指甲乙双方在缔结合同时所不能预见的，且它的发生及其后果是无法避免和无法克服的事故。</w:t>
      </w:r>
    </w:p>
    <w:p>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2.遭受不可抗力一方应在不可抗力事故发生后尽快以书面形式通知对方，并于事故发生后14天内将有关部门出具的证明文件、详细情况报告以及不可抗力对履行合同影响程度的说明用特快专递或挂号信寄给对方。</w:t>
      </w:r>
    </w:p>
    <w:p>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发生不可抗力时，任何一方均不对因不可抗力无法履行或延迟履行本合同义务而使另一方蒙受损失承担责任，但遭受不可抗力一方有责任尽可能及时采取适当或必要措施减少或消除不可抗力的影响。遭受不可抗力的一方对因未尽本项义务而造成的损失承担赔偿责任。</w:t>
      </w:r>
    </w:p>
    <w:p>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4.一旦不可抗力事故的影响持续120天以上，甲乙双方通过友好协商，在合理的时间内达成进一步履行合同或终止合同的协议。</w:t>
      </w:r>
    </w:p>
    <w:p>
      <w:pPr>
        <w:widowControl/>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八、保密条款</w:t>
      </w:r>
    </w:p>
    <w:p>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1.任何一方对其获知的本合同涉及的所有有形、无形的信息及资料（包括但不限于甲乙双方的往来书面文字文件、电子邮件及信息、软盘资料等）中另一方的商业秘密或国家秘密负有保密义务。</w:t>
      </w:r>
    </w:p>
    <w:p>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除非法律、法规另有规定或得到本合同之另一方的书面许可，任何一方不得向第三人泄露前款规定的商业秘密或国家秘密。保密期限自任何一方获知该商业秘密或国家秘密之日起至本条规定的秘密成为公众信息之日止。</w:t>
      </w:r>
    </w:p>
    <w:p>
      <w:pPr>
        <w:widowControl/>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cs="宋体"/>
          <w:b/>
          <w:bCs/>
          <w:color w:val="auto"/>
          <w:kern w:val="0"/>
          <w:sz w:val="21"/>
          <w:szCs w:val="21"/>
          <w:highlight w:val="none"/>
          <w:lang w:eastAsia="zh-CN"/>
        </w:rPr>
        <w:t>九、</w:t>
      </w:r>
      <w:r>
        <w:rPr>
          <w:rFonts w:hint="eastAsia" w:ascii="宋体" w:hAnsi="宋体" w:eastAsia="宋体" w:cs="宋体"/>
          <w:b/>
          <w:bCs/>
          <w:color w:val="auto"/>
          <w:kern w:val="0"/>
          <w:sz w:val="21"/>
          <w:szCs w:val="21"/>
          <w:highlight w:val="none"/>
        </w:rPr>
        <w:t>客户信息真实性管理</w:t>
      </w:r>
    </w:p>
    <w:p>
      <w:pPr>
        <w:widowControl/>
        <w:spacing w:line="360" w:lineRule="auto"/>
        <w:ind w:firstLine="420" w:firstLineChars="20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合作中若涉及客户信息收集、使用等处理，应确保符合《民法典》《个人信息保护法》《数据安全法》《网络安全法》《消费者权益保护法》《全国人民代表大会常务委员会关于加强网络信息保护的决定》、国家标准《信息安全技术个人信息安全规范》等规定要求，遵循合法、正当、必要、诚信的原则，向客户明示收集、使用及处理信息的目的、方式和范围，并经客户授权同意。具体要求如下：</w:t>
      </w:r>
    </w:p>
    <w:p>
      <w:pPr>
        <w:widowControl/>
        <w:spacing w:line="360" w:lineRule="auto"/>
        <w:ind w:firstLine="420" w:firstLineChars="20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w:t>
      </w:r>
      <w:r>
        <w:rPr>
          <w:rFonts w:hint="eastAsia" w:ascii="宋体" w:hAnsi="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收集、使用及处理客户个人信息必须是依据法定义务或履行本协议所必要的行为，并在履行本协议必要范围内收集客户信息。未经客户授权同意，不得将客户个人信息公开披露，不得转移、出售给第三方。一方向另一方提供其处理的个人信息的，应当向个人告知接收方的名称或者姓名、联系方式、处理目的、处理方式和个人信息的种类，并取得个人的单独同意。信息接收方应当在上述处理目的、处理方式和个人信息的种类等范围内处理个人信息。信息接收方变更原先的处理目的、处理方式的，应当协商确定重新取得客户个人同意。</w:t>
      </w:r>
    </w:p>
    <w:p>
      <w:pPr>
        <w:widowControl/>
        <w:spacing w:line="360" w:lineRule="auto"/>
        <w:ind w:firstLine="420" w:firstLineChars="20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w:t>
      </w:r>
      <w:r>
        <w:rPr>
          <w:rFonts w:hint="eastAsia" w:ascii="宋体" w:hAnsi="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客户个人信息保存期限应符合实现本协议业务处理目的所必要的最短时间。完成收集和使用的目的后应及时删除或匿名处理合作过程中获取的客户个人信息。本合同不生效、无效、终止或被撤销的，甲方有权要求乙方返还或删除客户信息。</w:t>
      </w:r>
    </w:p>
    <w:p>
      <w:pPr>
        <w:widowControl/>
        <w:spacing w:line="360" w:lineRule="auto"/>
        <w:ind w:firstLine="420" w:firstLineChars="20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3</w:t>
      </w:r>
      <w:r>
        <w:rPr>
          <w:rFonts w:hint="eastAsia" w:ascii="宋体" w:hAnsi="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涉及客户敏感信息处理的，应具有特定的目的和充分的必要性，取得客户的单独同意，符合个人信息保护相关法律法规规定和管理要求。</w:t>
      </w:r>
    </w:p>
    <w:p>
      <w:pPr>
        <w:widowControl/>
        <w:spacing w:line="360" w:lineRule="auto"/>
        <w:ind w:firstLine="420" w:firstLineChars="20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4</w:t>
      </w:r>
      <w:r>
        <w:rPr>
          <w:rFonts w:hint="eastAsia" w:ascii="宋体" w:hAnsi="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乙方应对客户个人信息严格保密，采取技术措施和其他必要措施，确保客户信息安全。若乙方发生或者可能发生客户个人信息泄露、篡改、丢失的，应当立即采取补救措施，并同步通知甲方，减轻对客户及甲方的危害。</w:t>
      </w:r>
    </w:p>
    <w:p>
      <w:pPr>
        <w:widowControl/>
        <w:spacing w:line="360" w:lineRule="auto"/>
        <w:ind w:firstLine="420" w:firstLineChars="20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5</w:t>
      </w:r>
      <w:r>
        <w:rPr>
          <w:rFonts w:hint="eastAsia" w:ascii="宋体" w:hAnsi="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乙方应保证客户信息来源合法，提供给甲方的客户信息真实、准确。客户对其信息提出的查阅、复制、更正、补充、删除等要求，在合法合理的前提下，甲乙双方应及时配合客户进行处理。在先收到客户要求的一方，应及时通知另一方。</w:t>
      </w:r>
    </w:p>
    <w:p>
      <w:pPr>
        <w:widowControl/>
        <w:spacing w:line="360" w:lineRule="auto"/>
        <w:ind w:firstLine="420" w:firstLineChars="20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6</w:t>
      </w:r>
      <w:r>
        <w:rPr>
          <w:rFonts w:hint="eastAsia" w:ascii="宋体" w:hAnsi="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甲方有权对乙方处理涉及甲方业务及甲方客户个人信息的有关事宜进行监督，甲方有权按照法律法规相关规定，要求乙方配合完成涉及客户信息处理的相关事宜。乙方未按照个人信息保护相关法律法规及合同约定处理客户信息，给甲方及甲方客户造成影响和损失的，乙方应承担一切赔偿责任，同时甲方有权解除本合同。</w:t>
      </w:r>
    </w:p>
    <w:p>
      <w:pPr>
        <w:widowControl/>
        <w:spacing w:line="360" w:lineRule="auto"/>
        <w:ind w:firstLine="422" w:firstLineChars="200"/>
        <w:jc w:val="left"/>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lang w:eastAsia="zh-CN"/>
        </w:rPr>
        <w:t>十、反洗钱合作</w:t>
      </w:r>
    </w:p>
    <w:p>
      <w:pPr>
        <w:widowControl/>
        <w:spacing w:line="360" w:lineRule="auto"/>
        <w:ind w:firstLine="420" w:firstLineChars="200"/>
        <w:jc w:val="left"/>
        <w:rPr>
          <w:rFonts w:hint="eastAsia" w:ascii="宋体" w:hAnsi="宋体" w:eastAsia="宋体" w:cs="宋体"/>
          <w:b w:val="0"/>
          <w:bCs w:val="0"/>
          <w:color w:val="auto"/>
          <w:kern w:val="0"/>
          <w:sz w:val="21"/>
          <w:szCs w:val="21"/>
          <w:highlight w:val="none"/>
        </w:rPr>
      </w:pPr>
      <w:r>
        <w:rPr>
          <w:rFonts w:hint="eastAsia" w:ascii="宋体" w:hAnsi="宋体" w:cs="宋体"/>
          <w:b w:val="0"/>
          <w:bCs w:val="0"/>
          <w:color w:val="auto"/>
          <w:kern w:val="0"/>
          <w:sz w:val="21"/>
          <w:szCs w:val="21"/>
          <w:highlight w:val="none"/>
          <w:lang w:eastAsia="zh-CN"/>
        </w:rPr>
        <w:t>签</w:t>
      </w:r>
      <w:r>
        <w:rPr>
          <w:rFonts w:hint="eastAsia" w:ascii="宋体" w:hAnsi="宋体" w:eastAsia="宋体" w:cs="宋体"/>
          <w:b w:val="0"/>
          <w:bCs w:val="0"/>
          <w:color w:val="auto"/>
          <w:kern w:val="0"/>
          <w:sz w:val="21"/>
          <w:szCs w:val="21"/>
          <w:highlight w:val="none"/>
        </w:rPr>
        <w:t>订本协议的双方应遵守《中华人民共和国反洗钱法》、《金融机构客户身份识别和客户身份资料及交易记录保存管理办法》、《金融机构大额交易和可疑交易报告管理办法》、《关于加强反洗钱客户身份识别有关工作的通知》以及《保险业反洗钱工作管理办法》等法律法规及监管规定，有效落实相关反洗钱义务。</w:t>
      </w:r>
    </w:p>
    <w:p>
      <w:pPr>
        <w:widowControl/>
        <w:spacing w:line="360" w:lineRule="auto"/>
        <w:ind w:firstLine="422" w:firstLineChars="200"/>
        <w:jc w:val="left"/>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lang w:eastAsia="zh-CN"/>
        </w:rPr>
        <w:t>十</w:t>
      </w:r>
      <w:r>
        <w:rPr>
          <w:rFonts w:hint="eastAsia" w:ascii="宋体" w:hAnsi="宋体" w:cs="宋体"/>
          <w:b/>
          <w:bCs/>
          <w:color w:val="auto"/>
          <w:kern w:val="0"/>
          <w:sz w:val="21"/>
          <w:szCs w:val="21"/>
          <w:highlight w:val="none"/>
          <w:lang w:eastAsia="zh-CN"/>
        </w:rPr>
        <w:t>一</w:t>
      </w:r>
      <w:r>
        <w:rPr>
          <w:rFonts w:hint="eastAsia" w:ascii="宋体" w:hAnsi="宋体" w:eastAsia="宋体" w:cs="宋体"/>
          <w:b/>
          <w:bCs/>
          <w:color w:val="auto"/>
          <w:kern w:val="0"/>
          <w:sz w:val="21"/>
          <w:szCs w:val="21"/>
          <w:highlight w:val="none"/>
          <w:lang w:eastAsia="zh-CN"/>
        </w:rPr>
        <w:t>、清廉合作承诺</w:t>
      </w:r>
    </w:p>
    <w:p>
      <w:pPr>
        <w:widowControl/>
        <w:spacing w:line="360" w:lineRule="auto"/>
        <w:ind w:firstLine="420" w:firstLineChars="20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为秉持廉洁、诚信原则进行合作洽谈及签订相关协议，维护廉洁、诚信、共赢的合作关系，双方同意就此次合作开展廉洁监督。双方郑重承诺：在合作洽谈、合同签订及履行等相关过程中，不会对合作经办人或相关业务负责人有赠送现金或实物等任何违反廉洁自律规定的行为，并自觉接受对方监督。</w:t>
      </w:r>
    </w:p>
    <w:p>
      <w:pPr>
        <w:widowControl/>
        <w:spacing w:line="360" w:lineRule="auto"/>
        <w:ind w:firstLine="422" w:firstLineChars="200"/>
        <w:jc w:val="left"/>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lang w:eastAsia="zh-CN"/>
        </w:rPr>
        <w:t>十二、消费者权益保护条款</w:t>
      </w:r>
    </w:p>
    <w:p>
      <w:pPr>
        <w:widowControl/>
        <w:spacing w:line="360" w:lineRule="auto"/>
        <w:ind w:firstLine="420" w:firstLineChars="20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甲乙双方应重视消费者权益保护工作，依法合规建立合作机构准入和退出机制。</w:t>
      </w:r>
    </w:p>
    <w:p>
      <w:pPr>
        <w:widowControl/>
        <w:spacing w:line="360" w:lineRule="auto"/>
        <w:ind w:firstLine="420" w:firstLineChars="20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w:t>
      </w:r>
      <w:r>
        <w:rPr>
          <w:rFonts w:hint="eastAsia" w:ascii="宋体" w:hAnsi="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甲乙双方应严格按照相关法律法规要求履行合规及风险管理、服务连续性、服务价格管理、信息安全管控、客户纠纷解决、信息披露及应急处置等方面的责任。</w:t>
      </w:r>
    </w:p>
    <w:p>
      <w:pPr>
        <w:widowControl/>
        <w:spacing w:line="360" w:lineRule="auto"/>
        <w:ind w:firstLine="420" w:firstLineChars="20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w:t>
      </w:r>
      <w:r>
        <w:rPr>
          <w:rFonts w:hint="eastAsia" w:ascii="宋体" w:hAnsi="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甲乙双方应建立健全消费者投诉处理机制，明示消费者投诉渠道和方式，完善投诉数据统计，妥善对接和处理合作过程中发生的保险消费纠纷。客户向乙方投诉的，乙方应在初步调查核实的基础上及时向甲方进行报告，并配合甲方后续处理措施；客户直接向甲方投诉的，甲方有权就与乙方相关的事实或乙方所掌握的信息要求乙方提供协助，乙方应积极配合；客户向监管部门投诉的，甲乙双方应立即成立专项投诉处理小组，相互配合完成投诉案件处置。双方在投诉处理过程中应积极做好与政府、监管部门、新闻媒体等机构的沟通协调，防范风险扩散。</w:t>
      </w:r>
    </w:p>
    <w:p>
      <w:pPr>
        <w:widowControl/>
        <w:spacing w:line="360" w:lineRule="auto"/>
        <w:ind w:firstLine="420" w:firstLineChars="20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3</w:t>
      </w:r>
      <w:r>
        <w:rPr>
          <w:rFonts w:hint="eastAsia" w:ascii="宋体" w:hAnsi="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甲乙双方应根据消费者投诉反映出的问题积极进行溯源改进，查找服务薄弱环节和风险隐患，从源头上减少消费投诉的发生，提高服务水平，加强保险消费者权益保护。</w:t>
      </w:r>
    </w:p>
    <w:p>
      <w:pPr>
        <w:widowControl/>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cs="宋体"/>
          <w:b/>
          <w:bCs/>
          <w:color w:val="auto"/>
          <w:kern w:val="0"/>
          <w:sz w:val="21"/>
          <w:szCs w:val="21"/>
          <w:highlight w:val="none"/>
          <w:lang w:eastAsia="zh-CN"/>
        </w:rPr>
        <w:t>十三</w:t>
      </w:r>
      <w:r>
        <w:rPr>
          <w:rFonts w:hint="eastAsia" w:ascii="宋体" w:hAnsi="宋体" w:eastAsia="宋体" w:cs="宋体"/>
          <w:b/>
          <w:bCs/>
          <w:color w:val="auto"/>
          <w:kern w:val="0"/>
          <w:sz w:val="21"/>
          <w:szCs w:val="21"/>
          <w:highlight w:val="none"/>
        </w:rPr>
        <w:t>、合同的解释</w:t>
      </w:r>
    </w:p>
    <w:p>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1.任何一方对本合同及其附件的解释均应遵循诚实信用原则，依照本合同签订时有效的中华人民共和国的法律、法规以及人们通常的理解进行。</w:t>
      </w:r>
    </w:p>
    <w:p>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2.本合同标题仅供查阅方便，并非对本合同的诠释或解释，本合同中以日表述的时间期限均指公历日。</w:t>
      </w:r>
    </w:p>
    <w:p>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3.对本合同的任何解释均应以书面做出。</w:t>
      </w:r>
    </w:p>
    <w:p>
      <w:pPr>
        <w:widowControl/>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十</w:t>
      </w:r>
      <w:r>
        <w:rPr>
          <w:rFonts w:hint="eastAsia" w:ascii="宋体" w:hAnsi="宋体" w:cs="宋体"/>
          <w:b/>
          <w:bCs/>
          <w:color w:val="auto"/>
          <w:kern w:val="0"/>
          <w:sz w:val="21"/>
          <w:szCs w:val="21"/>
          <w:highlight w:val="none"/>
          <w:lang w:eastAsia="zh-CN"/>
        </w:rPr>
        <w:t>四</w:t>
      </w:r>
      <w:r>
        <w:rPr>
          <w:rFonts w:hint="eastAsia" w:ascii="宋体" w:hAnsi="宋体" w:eastAsia="宋体" w:cs="宋体"/>
          <w:b/>
          <w:bCs/>
          <w:color w:val="auto"/>
          <w:kern w:val="0"/>
          <w:sz w:val="21"/>
          <w:szCs w:val="21"/>
          <w:highlight w:val="none"/>
        </w:rPr>
        <w:t>、争议的解决</w:t>
      </w:r>
    </w:p>
    <w:p>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1.在执行本合同中发生的与本合同有关的争端，甲乙双方应通过友好协商解决，经协商不能达成</w:t>
      </w:r>
      <w:r>
        <w:rPr>
          <w:rFonts w:hint="eastAsia" w:ascii="宋体" w:hAnsi="宋体" w:cs="宋体"/>
          <w:color w:val="auto"/>
          <w:kern w:val="0"/>
          <w:sz w:val="21"/>
          <w:szCs w:val="21"/>
          <w:highlight w:val="none"/>
          <w:lang w:eastAsia="zh-CN"/>
        </w:rPr>
        <w:t>一致</w:t>
      </w:r>
      <w:r>
        <w:rPr>
          <w:rFonts w:hint="eastAsia" w:ascii="宋体" w:hAnsi="宋体" w:eastAsia="宋体" w:cs="宋体"/>
          <w:color w:val="auto"/>
          <w:kern w:val="0"/>
          <w:sz w:val="21"/>
          <w:szCs w:val="21"/>
          <w:highlight w:val="none"/>
        </w:rPr>
        <w:t>时，</w:t>
      </w:r>
      <w:r>
        <w:rPr>
          <w:rFonts w:hint="eastAsia" w:ascii="宋体" w:hAnsi="宋体" w:cs="宋体"/>
          <w:color w:val="auto"/>
          <w:kern w:val="0"/>
          <w:sz w:val="21"/>
          <w:szCs w:val="21"/>
          <w:highlight w:val="none"/>
          <w:lang w:eastAsia="zh-CN"/>
        </w:rPr>
        <w:t>任一方均可将争议提交至甲方所在地有管辖权的法院诉讼解决。</w:t>
      </w:r>
    </w:p>
    <w:p>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cs="宋体"/>
          <w:strike w:val="0"/>
          <w:dstrike w:val="0"/>
          <w:color w:val="auto"/>
          <w:kern w:val="0"/>
          <w:sz w:val="21"/>
          <w:szCs w:val="21"/>
          <w:highlight w:val="none"/>
          <w:lang w:eastAsia="zh-CN"/>
        </w:rPr>
        <w:t>诉讼</w:t>
      </w:r>
      <w:r>
        <w:rPr>
          <w:rFonts w:hint="eastAsia" w:ascii="宋体" w:hAnsi="宋体" w:eastAsia="宋体" w:cs="宋体"/>
          <w:color w:val="auto"/>
          <w:kern w:val="0"/>
          <w:sz w:val="21"/>
          <w:szCs w:val="21"/>
          <w:highlight w:val="none"/>
        </w:rPr>
        <w:t>费用应由败诉方负担。</w:t>
      </w:r>
    </w:p>
    <w:p>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3.在</w:t>
      </w:r>
      <w:r>
        <w:rPr>
          <w:rFonts w:hint="eastAsia" w:ascii="宋体" w:hAnsi="宋体" w:cs="宋体"/>
          <w:color w:val="auto"/>
          <w:kern w:val="0"/>
          <w:sz w:val="21"/>
          <w:szCs w:val="21"/>
          <w:highlight w:val="none"/>
          <w:lang w:eastAsia="zh-CN"/>
        </w:rPr>
        <w:t>诉讼</w:t>
      </w:r>
      <w:r>
        <w:rPr>
          <w:rFonts w:hint="eastAsia" w:ascii="宋体" w:hAnsi="宋体" w:eastAsia="宋体" w:cs="宋体"/>
          <w:color w:val="auto"/>
          <w:kern w:val="0"/>
          <w:sz w:val="21"/>
          <w:szCs w:val="21"/>
          <w:highlight w:val="none"/>
        </w:rPr>
        <w:t>期间，除正在进行的</w:t>
      </w:r>
      <w:r>
        <w:rPr>
          <w:rFonts w:hint="eastAsia" w:ascii="宋体" w:hAnsi="宋体" w:cs="宋体"/>
          <w:color w:val="auto"/>
          <w:kern w:val="0"/>
          <w:sz w:val="21"/>
          <w:szCs w:val="21"/>
          <w:highlight w:val="none"/>
          <w:lang w:eastAsia="zh-CN"/>
        </w:rPr>
        <w:t>诉讼</w:t>
      </w:r>
      <w:r>
        <w:rPr>
          <w:rFonts w:hint="eastAsia" w:ascii="宋体" w:hAnsi="宋体" w:eastAsia="宋体" w:cs="宋体"/>
          <w:color w:val="auto"/>
          <w:kern w:val="0"/>
          <w:sz w:val="21"/>
          <w:szCs w:val="21"/>
          <w:highlight w:val="none"/>
        </w:rPr>
        <w:t>部分外，合同其他部分继续执行。</w:t>
      </w:r>
    </w:p>
    <w:p>
      <w:pPr>
        <w:widowControl/>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cs="宋体"/>
          <w:b/>
          <w:bCs/>
          <w:color w:val="auto"/>
          <w:kern w:val="0"/>
          <w:sz w:val="21"/>
          <w:szCs w:val="21"/>
          <w:highlight w:val="none"/>
          <w:lang w:eastAsia="zh-CN"/>
        </w:rPr>
        <w:t>十五、</w:t>
      </w:r>
      <w:r>
        <w:rPr>
          <w:rFonts w:hint="eastAsia" w:ascii="宋体" w:hAnsi="宋体" w:eastAsia="宋体" w:cs="宋体"/>
          <w:b/>
          <w:bCs/>
          <w:color w:val="auto"/>
          <w:kern w:val="0"/>
          <w:sz w:val="21"/>
          <w:szCs w:val="21"/>
          <w:highlight w:val="none"/>
        </w:rPr>
        <w:t>合同的终止</w:t>
      </w:r>
    </w:p>
    <w:p>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cs="宋体"/>
          <w:color w:val="auto"/>
          <w:kern w:val="0"/>
          <w:sz w:val="21"/>
          <w:szCs w:val="21"/>
          <w:highlight w:val="none"/>
          <w:lang w:eastAsia="zh-CN"/>
        </w:rPr>
        <w:t>除另有约定外，</w:t>
      </w:r>
      <w:r>
        <w:rPr>
          <w:rFonts w:hint="eastAsia" w:ascii="宋体" w:hAnsi="宋体" w:eastAsia="宋体" w:cs="宋体"/>
          <w:color w:val="auto"/>
          <w:kern w:val="0"/>
          <w:sz w:val="21"/>
          <w:szCs w:val="21"/>
          <w:highlight w:val="none"/>
        </w:rPr>
        <w:t>合同期内任何一方不得擅自终止合同，否则应负担所造成的一切损失。如一方因故需终止合同，必须提前三个月书面通知另一方，经双方达成一致意见后，方可终止。</w:t>
      </w:r>
    </w:p>
    <w:p>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2.出现下列情况时本合同自行终止：</w:t>
      </w:r>
    </w:p>
    <w:p>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（1）本合同正常履行完毕；</w:t>
      </w:r>
    </w:p>
    <w:p>
      <w:pPr>
        <w:widowControl/>
        <w:spacing w:line="360" w:lineRule="auto"/>
        <w:ind w:firstLine="420" w:firstLineChars="20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eastAsia="zh-CN"/>
        </w:rPr>
        <w:t>）甲方采购权限上收至上一级机构导致的合作终止；</w:t>
      </w:r>
    </w:p>
    <w:p>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）甲乙双方协议终止本合同的履行；</w:t>
      </w:r>
    </w:p>
    <w:p>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）不可抗力导致本合同无法履行或履行不必要时；</w:t>
      </w:r>
    </w:p>
    <w:p>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）一方不履行合同条款，造成另一方无法执行合同协议，协商又不能求得解决，责任方赔偿损失后，合同终止。</w:t>
      </w:r>
    </w:p>
    <w:p>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3.国家保险政策发生重大变化时，双方应及时协商重新修订合同相关条款。如协商未达成一致，甲方有权终止合同。</w:t>
      </w:r>
    </w:p>
    <w:p>
      <w:pPr>
        <w:widowControl/>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十</w:t>
      </w:r>
      <w:r>
        <w:rPr>
          <w:rFonts w:hint="eastAsia" w:ascii="宋体" w:hAnsi="宋体" w:cs="宋体"/>
          <w:b/>
          <w:bCs/>
          <w:color w:val="auto"/>
          <w:kern w:val="0"/>
          <w:sz w:val="21"/>
          <w:szCs w:val="21"/>
          <w:highlight w:val="none"/>
          <w:lang w:eastAsia="zh-CN"/>
        </w:rPr>
        <w:t>六</w:t>
      </w:r>
      <w:r>
        <w:rPr>
          <w:rFonts w:hint="eastAsia" w:ascii="宋体" w:hAnsi="宋体" w:eastAsia="宋体" w:cs="宋体"/>
          <w:b/>
          <w:bCs/>
          <w:color w:val="auto"/>
          <w:kern w:val="0"/>
          <w:sz w:val="21"/>
          <w:szCs w:val="21"/>
          <w:highlight w:val="none"/>
        </w:rPr>
        <w:t>、法律适用</w:t>
      </w:r>
    </w:p>
    <w:p>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本合同及附件的订立、效力、解释、履行、争议的解决等适用本合同签订时有效的中华人民共和国法律、法规的有关规定。</w:t>
      </w:r>
    </w:p>
    <w:p>
      <w:pPr>
        <w:widowControl/>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十</w:t>
      </w:r>
      <w:r>
        <w:rPr>
          <w:rFonts w:hint="eastAsia" w:ascii="宋体" w:hAnsi="宋体" w:cs="宋体"/>
          <w:b/>
          <w:bCs/>
          <w:color w:val="auto"/>
          <w:kern w:val="0"/>
          <w:sz w:val="21"/>
          <w:szCs w:val="21"/>
          <w:highlight w:val="none"/>
          <w:lang w:eastAsia="zh-CN"/>
        </w:rPr>
        <w:t>七</w:t>
      </w:r>
      <w:r>
        <w:rPr>
          <w:rFonts w:hint="eastAsia" w:ascii="宋体" w:hAnsi="宋体" w:eastAsia="宋体" w:cs="宋体"/>
          <w:b/>
          <w:bCs/>
          <w:color w:val="auto"/>
          <w:kern w:val="0"/>
          <w:sz w:val="21"/>
          <w:szCs w:val="21"/>
          <w:highlight w:val="none"/>
        </w:rPr>
        <w:t>、权利的保留</w:t>
      </w:r>
    </w:p>
    <w:p>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任何一方没有行使其权利或没有就违约方的违约行为采取任何行动，不应被视为是对其权利的放弃或对追究其他各方违约责任权利的放弃。任何一方放弃针对违约方的某种权利，或放弃追究违约方的某种责任，不应视为对其他权利或追究其他责任的放弃。</w:t>
      </w:r>
    </w:p>
    <w:p>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如果本合同部分条款依据现行有关法律、法规被确认为无效或无法履行，且该部分无效或无法履行的条款不影响本合同其他条款效力的，本合同其他条款继续有效；同时，合同各方应根据现行有关法律、法规对该部分无效或无法履行的条款进行调整，使其依法成为有效条款，并尽量符合本合同所体现的原则和精神。</w:t>
      </w:r>
    </w:p>
    <w:p>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3.在本合同履行期间，因中国法律、法规、政策的变化致使本合同的部分条款相冲突、无效或失去可强制执行效力时，甲乙双方应尽快修改本合同中相冲突或无效或失去可强制执行效力的条款。</w:t>
      </w:r>
    </w:p>
    <w:p>
      <w:pPr>
        <w:widowControl/>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十</w:t>
      </w:r>
      <w:r>
        <w:rPr>
          <w:rFonts w:hint="eastAsia" w:ascii="宋体" w:hAnsi="宋体" w:cs="宋体"/>
          <w:b/>
          <w:bCs/>
          <w:color w:val="auto"/>
          <w:kern w:val="0"/>
          <w:sz w:val="21"/>
          <w:szCs w:val="21"/>
          <w:highlight w:val="none"/>
          <w:lang w:eastAsia="zh-CN"/>
        </w:rPr>
        <w:t>八</w:t>
      </w:r>
      <w:r>
        <w:rPr>
          <w:rFonts w:hint="eastAsia" w:ascii="宋体" w:hAnsi="宋体" w:eastAsia="宋体" w:cs="宋体"/>
          <w:b/>
          <w:bCs/>
          <w:color w:val="auto"/>
          <w:kern w:val="0"/>
          <w:sz w:val="21"/>
          <w:szCs w:val="21"/>
          <w:highlight w:val="none"/>
        </w:rPr>
        <w:t>、通知</w:t>
      </w:r>
    </w:p>
    <w:p>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乙双方发出与本合同有关的通知或回复，应以专人送递、传真或特快专递的方式发出。如果以专人送递或特快专递发送，以送达至对方的住所或通讯联络地视为送达；如果以传真方式发送，传真到达对方特定系统视为送达；如果以电子邮件方式发送，电子邮件到达对方特定系统视为送达。</w:t>
      </w:r>
    </w:p>
    <w:p>
      <w:pPr>
        <w:widowControl/>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十</w:t>
      </w:r>
      <w:r>
        <w:rPr>
          <w:rFonts w:hint="eastAsia" w:ascii="宋体" w:hAnsi="宋体" w:cs="宋体"/>
          <w:b/>
          <w:bCs/>
          <w:color w:val="auto"/>
          <w:kern w:val="0"/>
          <w:sz w:val="21"/>
          <w:szCs w:val="21"/>
          <w:highlight w:val="none"/>
          <w:lang w:eastAsia="zh-CN"/>
        </w:rPr>
        <w:t>九</w:t>
      </w:r>
      <w:r>
        <w:rPr>
          <w:rFonts w:hint="eastAsia" w:ascii="宋体" w:hAnsi="宋体" w:eastAsia="宋体" w:cs="宋体"/>
          <w:b/>
          <w:bCs/>
          <w:color w:val="auto"/>
          <w:kern w:val="0"/>
          <w:sz w:val="21"/>
          <w:szCs w:val="21"/>
          <w:highlight w:val="none"/>
        </w:rPr>
        <w:t>、合同修改</w:t>
      </w:r>
    </w:p>
    <w:p>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1.对于本合同的未尽事宜，需进行修改、补充或完善的，甲乙双方必须就所修改的内容签订书面的合同修改书，作为本合同的补充协议。</w:t>
      </w:r>
    </w:p>
    <w:p>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2.补充协议与本合同具有同等法律效力。</w:t>
      </w:r>
    </w:p>
    <w:p>
      <w:pPr>
        <w:widowControl/>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cs="宋体"/>
          <w:b/>
          <w:bCs/>
          <w:color w:val="auto"/>
          <w:kern w:val="0"/>
          <w:sz w:val="21"/>
          <w:szCs w:val="21"/>
          <w:highlight w:val="none"/>
          <w:lang w:eastAsia="zh-CN"/>
        </w:rPr>
        <w:t>二</w:t>
      </w:r>
      <w:r>
        <w:rPr>
          <w:rFonts w:hint="eastAsia" w:ascii="宋体" w:hAnsi="宋体" w:eastAsia="宋体" w:cs="宋体"/>
          <w:b/>
          <w:bCs/>
          <w:color w:val="auto"/>
          <w:kern w:val="0"/>
          <w:sz w:val="21"/>
          <w:szCs w:val="21"/>
          <w:highlight w:val="none"/>
        </w:rPr>
        <w:t>十、转让</w:t>
      </w:r>
    </w:p>
    <w:p>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除甲方事先书面同意外，乙方不能全部或部分转让本合同项下的权利和义务。</w:t>
      </w:r>
    </w:p>
    <w:p>
      <w:pPr>
        <w:widowControl/>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cs="宋体"/>
          <w:b/>
          <w:bCs/>
          <w:color w:val="auto"/>
          <w:kern w:val="0"/>
          <w:sz w:val="21"/>
          <w:szCs w:val="21"/>
          <w:highlight w:val="none"/>
          <w:lang w:eastAsia="zh-CN"/>
        </w:rPr>
        <w:t>二十一</w:t>
      </w:r>
      <w:r>
        <w:rPr>
          <w:rFonts w:hint="eastAsia" w:ascii="宋体" w:hAnsi="宋体" w:eastAsia="宋体" w:cs="宋体"/>
          <w:b/>
          <w:bCs/>
          <w:color w:val="auto"/>
          <w:kern w:val="0"/>
          <w:sz w:val="21"/>
          <w:szCs w:val="21"/>
          <w:highlight w:val="none"/>
        </w:rPr>
        <w:t>、合同生效及其他</w:t>
      </w:r>
    </w:p>
    <w:p>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1.除非合同中另有说明，本合同经甲乙双方法定代表人或授权代理人签字</w:t>
      </w:r>
      <w:r>
        <w:rPr>
          <w:rFonts w:hint="eastAsia" w:ascii="宋体" w:hAnsi="宋体" w:cs="宋体"/>
          <w:color w:val="auto"/>
          <w:kern w:val="0"/>
          <w:sz w:val="21"/>
          <w:szCs w:val="21"/>
          <w:highlight w:val="none"/>
          <w:lang w:eastAsia="zh-CN"/>
        </w:rPr>
        <w:t>或</w:t>
      </w:r>
      <w:r>
        <w:rPr>
          <w:rFonts w:hint="eastAsia" w:ascii="宋体" w:hAnsi="宋体" w:eastAsia="宋体" w:cs="宋体"/>
          <w:color w:val="auto"/>
          <w:kern w:val="0"/>
          <w:sz w:val="21"/>
          <w:szCs w:val="21"/>
          <w:highlight w:val="none"/>
        </w:rPr>
        <w:t>盖章</w:t>
      </w:r>
      <w:r>
        <w:rPr>
          <w:rFonts w:hint="eastAsia" w:ascii="宋体" w:hAnsi="宋体" w:cs="宋体"/>
          <w:color w:val="auto"/>
          <w:kern w:val="0"/>
          <w:sz w:val="21"/>
          <w:szCs w:val="21"/>
          <w:highlight w:val="none"/>
          <w:lang w:eastAsia="zh-CN"/>
        </w:rPr>
        <w:t>并加盖公章或合同专用章</w:t>
      </w:r>
      <w:r>
        <w:rPr>
          <w:rFonts w:hint="eastAsia" w:ascii="宋体" w:hAnsi="宋体" w:eastAsia="宋体" w:cs="宋体"/>
          <w:color w:val="auto"/>
          <w:kern w:val="0"/>
          <w:sz w:val="21"/>
          <w:szCs w:val="21"/>
          <w:highlight w:val="none"/>
        </w:rPr>
        <w:t>后，即开始生效。</w:t>
      </w:r>
    </w:p>
    <w:p>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2.本合同中的附件均为本合同不可分割的部分，与本合同具有同等的法律效力。</w:t>
      </w:r>
    </w:p>
    <w:p>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3.本合同期满后，在合同有效期内乙方与被保险人签订的财产保险单，在保险单约定的保险期限内继续有效。</w:t>
      </w:r>
    </w:p>
    <w:p>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4.本合同一式</w:t>
      </w:r>
      <w:r>
        <w:rPr>
          <w:rFonts w:hint="eastAsia" w:ascii="宋体" w:hAnsi="宋体" w:cs="宋体"/>
          <w:color w:val="auto"/>
          <w:kern w:val="0"/>
          <w:sz w:val="21"/>
          <w:szCs w:val="21"/>
          <w:highlight w:val="none"/>
          <w:lang w:eastAsia="zh-CN"/>
        </w:rPr>
        <w:t>肆</w:t>
      </w:r>
      <w:r>
        <w:rPr>
          <w:rFonts w:hint="eastAsia" w:ascii="宋体" w:hAnsi="宋体" w:eastAsia="宋体" w:cs="宋体"/>
          <w:color w:val="auto"/>
          <w:kern w:val="0"/>
          <w:sz w:val="21"/>
          <w:szCs w:val="21"/>
          <w:highlight w:val="none"/>
        </w:rPr>
        <w:t>份，甲乙双方各执</w:t>
      </w:r>
      <w:r>
        <w:rPr>
          <w:rFonts w:hint="eastAsia" w:ascii="宋体" w:hAnsi="宋体" w:cs="宋体"/>
          <w:color w:val="auto"/>
          <w:kern w:val="0"/>
          <w:sz w:val="21"/>
          <w:szCs w:val="21"/>
          <w:highlight w:val="none"/>
          <w:lang w:eastAsia="zh-CN"/>
        </w:rPr>
        <w:t>贰</w:t>
      </w:r>
      <w:r>
        <w:rPr>
          <w:rFonts w:hint="eastAsia" w:ascii="宋体" w:hAnsi="宋体" w:eastAsia="宋体" w:cs="宋体"/>
          <w:color w:val="auto"/>
          <w:kern w:val="0"/>
          <w:sz w:val="21"/>
          <w:szCs w:val="21"/>
          <w:highlight w:val="none"/>
        </w:rPr>
        <w:t>份，每份正本具有同等法律效力。</w:t>
      </w:r>
    </w:p>
    <w:p>
      <w:pPr>
        <w:widowControl/>
        <w:spacing w:after="120" w:line="360" w:lineRule="auto"/>
        <w:jc w:val="left"/>
        <w:rPr>
          <w:rFonts w:hint="eastAsia" w:ascii="宋体" w:hAnsi="宋体" w:eastAsia="宋体" w:cs="宋体"/>
          <w:color w:val="auto"/>
          <w:kern w:val="0"/>
          <w:sz w:val="21"/>
          <w:szCs w:val="21"/>
          <w:highlight w:val="none"/>
        </w:rPr>
      </w:pPr>
    </w:p>
    <w:p>
      <w:pPr>
        <w:widowControl/>
        <w:tabs>
          <w:tab w:val="left" w:pos="4680"/>
        </w:tabs>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甲方：（盖章）                    乙方：（盖章）</w:t>
      </w:r>
    </w:p>
    <w:p>
      <w:pPr>
        <w:widowControl/>
        <w:tabs>
          <w:tab w:val="left" w:pos="4680"/>
        </w:tabs>
        <w:spacing w:line="36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法定代表人</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 xml:space="preserve">                      法定代表人</w:t>
      </w:r>
      <w:r>
        <w:rPr>
          <w:rFonts w:hint="eastAsia" w:ascii="宋体" w:hAnsi="宋体" w:cs="宋体"/>
          <w:color w:val="auto"/>
          <w:kern w:val="0"/>
          <w:sz w:val="21"/>
          <w:szCs w:val="21"/>
          <w:highlight w:val="none"/>
          <w:lang w:eastAsia="zh-CN"/>
        </w:rPr>
        <w:t>：</w:t>
      </w:r>
    </w:p>
    <w:p>
      <w:pPr>
        <w:widowControl/>
        <w:tabs>
          <w:tab w:val="left" w:pos="4680"/>
        </w:tabs>
        <w:autoSpaceDE/>
        <w:autoSpaceDN/>
        <w:adjustRightInd/>
        <w:snapToGrid/>
        <w:spacing w:line="360" w:lineRule="auto"/>
        <w:ind w:left="0" w:firstLine="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委托代理人：                      委托代理人：</w:t>
      </w:r>
    </w:p>
    <w:p>
      <w:pPr>
        <w:widowControl/>
        <w:tabs>
          <w:tab w:val="left" w:pos="4680"/>
        </w:tabs>
        <w:spacing w:after="0" w:afterLines="0" w:line="360" w:lineRule="auto"/>
        <w:contextualSpacing/>
        <w:jc w:val="left"/>
        <w:rPr>
          <w:rFonts w:hint="eastAsia" w:ascii="宋体" w:hAnsi="宋体" w:cs="宋体"/>
          <w:b/>
          <w:color w:val="auto"/>
          <w:sz w:val="21"/>
          <w:szCs w:val="21"/>
          <w:highlight w:val="none"/>
        </w:rPr>
      </w:pPr>
      <w:r>
        <w:rPr>
          <w:rFonts w:hint="eastAsia" w:ascii="宋体" w:hAnsi="宋体" w:eastAsia="宋体" w:cs="宋体"/>
          <w:color w:val="auto"/>
          <w:kern w:val="0"/>
          <w:sz w:val="21"/>
          <w:szCs w:val="21"/>
          <w:highlight w:val="none"/>
        </w:rPr>
        <w:t>日期：     年   月   日           日期：     年   月   日</w:t>
      </w:r>
    </w:p>
    <w:p>
      <w:pPr>
        <w:pStyle w:val="9"/>
      </w:pPr>
    </w:p>
    <w:p>
      <w:pPr>
        <w:pStyle w:val="3"/>
        <w:bidi w:val="0"/>
        <w:jc w:val="center"/>
        <w:rPr>
          <w:rFonts w:hint="eastAsia" w:ascii="宋体" w:hAnsi="宋体" w:eastAsia="宋体" w:cs="宋体"/>
          <w:b/>
          <w:bCs w:val="0"/>
          <w:color w:val="auto"/>
          <w:spacing w:val="-6"/>
          <w:kern w:val="2"/>
          <w:sz w:val="32"/>
          <w:szCs w:val="32"/>
          <w:highlight w:val="none"/>
          <w:lang w:val="en-US" w:eastAsia="zh-CN" w:bidi="ar-SA"/>
        </w:rPr>
      </w:pPr>
      <w:r>
        <w:rPr>
          <w:rFonts w:hint="eastAsia" w:ascii="宋体" w:hAnsi="宋体" w:eastAsia="宋体" w:cs="宋体"/>
          <w:b/>
          <w:bCs w:val="0"/>
          <w:color w:val="auto"/>
          <w:spacing w:val="-6"/>
          <w:kern w:val="2"/>
          <w:sz w:val="32"/>
          <w:szCs w:val="32"/>
          <w:highlight w:val="none"/>
          <w:lang w:val="en-US" w:eastAsia="zh-CN" w:bidi="ar-SA"/>
        </w:rPr>
        <w:t>第六章  投标文件格式</w:t>
      </w:r>
    </w:p>
    <w:p>
      <w:pPr>
        <w:pageBreakBefore w:val="0"/>
        <w:kinsoku/>
        <w:overflowPunct/>
        <w:topLinePunct w:val="0"/>
        <w:bidi w:val="0"/>
        <w:spacing w:line="360" w:lineRule="auto"/>
        <w:rPr>
          <w:rFonts w:hint="eastAsia" w:ascii="宋体" w:hAnsi="宋体" w:eastAsia="宋体" w:cs="宋体"/>
          <w:b/>
          <w:bCs/>
          <w:color w:val="auto"/>
          <w:spacing w:val="-6"/>
          <w:sz w:val="24"/>
          <w:highlight w:val="none"/>
        </w:rPr>
      </w:pPr>
    </w:p>
    <w:p>
      <w:pPr>
        <w:pStyle w:val="11"/>
        <w:pageBreakBefore w:val="0"/>
        <w:kinsoku/>
        <w:overflowPunct/>
        <w:topLinePunct w:val="0"/>
        <w:bidi w:val="0"/>
        <w:spacing w:beforeLines="0" w:afterLines="0" w:line="360" w:lineRule="auto"/>
        <w:jc w:val="center"/>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投标文件的编制应按照本项目：“第</w:t>
      </w:r>
      <w:r>
        <w:rPr>
          <w:rFonts w:hint="eastAsia" w:hAnsi="宋体" w:cs="宋体"/>
          <w:b/>
          <w:bCs/>
          <w:color w:val="auto"/>
          <w:spacing w:val="-6"/>
          <w:sz w:val="21"/>
          <w:szCs w:val="21"/>
          <w:highlight w:val="none"/>
          <w:lang w:val="en-US" w:eastAsia="zh-CN"/>
        </w:rPr>
        <w:t>二</w:t>
      </w:r>
      <w:r>
        <w:rPr>
          <w:rFonts w:hint="eastAsia" w:ascii="宋体" w:hAnsi="宋体" w:eastAsia="宋体" w:cs="宋体"/>
          <w:b/>
          <w:bCs/>
          <w:color w:val="auto"/>
          <w:spacing w:val="-6"/>
          <w:sz w:val="21"/>
          <w:szCs w:val="21"/>
          <w:highlight w:val="none"/>
        </w:rPr>
        <w:t>章  投标人须知”</w:t>
      </w:r>
      <w:r>
        <w:rPr>
          <w:rFonts w:hint="eastAsia" w:ascii="宋体" w:hAnsi="宋体" w:eastAsia="宋体" w:cs="宋体"/>
          <w:b/>
          <w:color w:val="auto"/>
          <w:spacing w:val="-6"/>
          <w:sz w:val="21"/>
          <w:szCs w:val="21"/>
          <w:highlight w:val="none"/>
        </w:rPr>
        <w:t>的要求编制。</w:t>
      </w:r>
    </w:p>
    <w:p>
      <w:pPr>
        <w:pageBreakBefore w:val="0"/>
        <w:kinsoku/>
        <w:overflowPunct/>
        <w:topLinePunct w:val="0"/>
        <w:bidi w:val="0"/>
        <w:spacing w:line="360" w:lineRule="auto"/>
        <w:rPr>
          <w:rFonts w:hint="eastAsia" w:ascii="宋体" w:hAnsi="宋体" w:eastAsia="宋体" w:cs="宋体"/>
          <w:b/>
          <w:bCs/>
          <w:color w:val="auto"/>
          <w:spacing w:val="-6"/>
          <w:sz w:val="24"/>
          <w:highlight w:val="none"/>
        </w:rPr>
      </w:pPr>
    </w:p>
    <w:p>
      <w:pPr>
        <w:pageBreakBefore w:val="0"/>
        <w:kinsoku/>
        <w:overflowPunct/>
        <w:topLinePunct w:val="0"/>
        <w:bidi w:val="0"/>
        <w:spacing w:line="360" w:lineRule="auto"/>
        <w:rPr>
          <w:rFonts w:hint="eastAsia" w:ascii="宋体" w:hAnsi="宋体" w:eastAsia="宋体" w:cs="宋体"/>
          <w:b/>
          <w:bCs/>
          <w:color w:val="auto"/>
          <w:spacing w:val="-6"/>
          <w:sz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6"/>
          <w:sz w:val="24"/>
          <w:highlight w:val="none"/>
        </w:rPr>
      </w:pPr>
    </w:p>
    <w:p>
      <w:pPr>
        <w:spacing w:line="360" w:lineRule="auto"/>
        <w:jc w:val="center"/>
        <w:rPr>
          <w:rFonts w:hint="eastAsia" w:ascii="宋体" w:hAnsi="宋体"/>
          <w:b/>
          <w:bCs/>
          <w:spacing w:val="-6"/>
          <w:sz w:val="24"/>
        </w:rPr>
      </w:pPr>
      <w:r>
        <w:rPr>
          <w:rFonts w:hint="eastAsia" w:ascii="宋体" w:hAnsi="宋体"/>
          <w:b/>
          <w:bCs/>
          <w:spacing w:val="-6"/>
          <w:sz w:val="24"/>
        </w:rPr>
        <w:t>外层包装（封签）</w:t>
      </w:r>
    </w:p>
    <w:p>
      <w:pPr>
        <w:spacing w:line="360" w:lineRule="auto"/>
        <w:rPr>
          <w:rFonts w:hint="eastAsia" w:ascii="宋体" w:hAnsi="宋体"/>
          <w:spacing w:val="-6"/>
          <w:sz w:val="24"/>
        </w:rPr>
      </w:pPr>
    </w:p>
    <w:p>
      <w:pPr>
        <w:spacing w:line="360" w:lineRule="auto"/>
        <w:jc w:val="center"/>
        <w:rPr>
          <w:rFonts w:hint="eastAsia" w:ascii="宋体" w:hAnsi="宋体"/>
          <w:bCs/>
          <w:spacing w:val="-6"/>
          <w:sz w:val="24"/>
        </w:rPr>
      </w:pPr>
      <w:r>
        <w:rPr>
          <w:rFonts w:hint="eastAsia" w:ascii="宋体" w:hAnsi="宋体"/>
          <w:bCs/>
          <w:spacing w:val="-6"/>
          <w:sz w:val="24"/>
          <w:u w:val="single"/>
        </w:rPr>
        <w:t xml:space="preserve">                    </w:t>
      </w:r>
      <w:r>
        <w:rPr>
          <w:rFonts w:hint="eastAsia" w:ascii="宋体" w:hAnsi="宋体"/>
          <w:bCs/>
          <w:spacing w:val="-6"/>
          <w:sz w:val="24"/>
        </w:rPr>
        <w:t>（投标人名称）</w:t>
      </w:r>
    </w:p>
    <w:p>
      <w:pPr>
        <w:spacing w:line="360" w:lineRule="auto"/>
        <w:jc w:val="center"/>
        <w:rPr>
          <w:rFonts w:hint="eastAsia" w:ascii="宋体" w:hAnsi="宋体"/>
          <w:b/>
          <w:bCs/>
          <w:spacing w:val="-6"/>
          <w:sz w:val="24"/>
        </w:rPr>
      </w:pPr>
      <w:r>
        <w:rPr>
          <w:rFonts w:hint="eastAsia" w:ascii="宋体" w:hAnsi="宋体"/>
          <w:b/>
          <w:bCs/>
          <w:spacing w:val="-6"/>
          <w:sz w:val="24"/>
        </w:rPr>
        <w:t>投标文件</w:t>
      </w:r>
    </w:p>
    <w:p>
      <w:pPr>
        <w:pStyle w:val="2"/>
        <w:rPr>
          <w:rFonts w:hint="eastAsia" w:ascii="宋体" w:hAnsi="宋体"/>
          <w:b/>
          <w:bCs/>
          <w:spacing w:val="-6"/>
          <w:sz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pacing w:val="-6"/>
          <w:sz w:val="24"/>
          <w:highlight w:val="none"/>
          <w:lang w:eastAsia="zh-CN"/>
        </w:rPr>
      </w:pPr>
      <w:r>
        <w:rPr>
          <w:rFonts w:hint="eastAsia" w:ascii="宋体" w:hAnsi="宋体" w:eastAsia="宋体" w:cs="宋体"/>
          <w:bCs/>
          <w:color w:val="auto"/>
          <w:spacing w:val="-6"/>
          <w:sz w:val="24"/>
          <w:highlight w:val="none"/>
        </w:rPr>
        <w:t>招 标 人：</w:t>
      </w:r>
      <w:r>
        <w:rPr>
          <w:rFonts w:hint="eastAsia" w:ascii="宋体" w:hAnsi="宋体" w:eastAsia="宋体" w:cs="宋体"/>
          <w:bCs/>
          <w:color w:val="auto"/>
          <w:spacing w:val="-6"/>
          <w:sz w:val="24"/>
          <w:highlight w:val="none"/>
          <w:lang w:eastAsia="zh-CN"/>
        </w:rPr>
        <w:t>浙商银行股份有限公司</w:t>
      </w:r>
      <w:r>
        <w:rPr>
          <w:rFonts w:hint="eastAsia" w:ascii="宋体" w:hAnsi="宋体" w:eastAsia="宋体" w:cs="宋体"/>
          <w:bCs/>
          <w:color w:val="auto"/>
          <w:spacing w:val="-6"/>
          <w:sz w:val="24"/>
          <w:highlight w:val="none"/>
          <w:lang w:val="en-US" w:eastAsia="zh-CN"/>
        </w:rPr>
        <w:t>台州</w:t>
      </w:r>
      <w:r>
        <w:rPr>
          <w:rFonts w:hint="eastAsia" w:ascii="宋体" w:hAnsi="宋体" w:eastAsia="宋体" w:cs="宋体"/>
          <w:bCs/>
          <w:color w:val="auto"/>
          <w:spacing w:val="-6"/>
          <w:sz w:val="24"/>
          <w:highlight w:val="none"/>
          <w:lang w:eastAsia="zh-CN"/>
        </w:rPr>
        <w:t>分行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Cs/>
          <w:color w:val="auto"/>
          <w:spacing w:val="-6"/>
          <w:sz w:val="24"/>
          <w:highlight w:val="none"/>
          <w:lang w:val="en-US" w:eastAsia="zh-CN"/>
        </w:rPr>
      </w:pPr>
      <w:r>
        <w:rPr>
          <w:rFonts w:hint="eastAsia" w:ascii="宋体" w:hAnsi="宋体" w:eastAsia="宋体" w:cs="宋体"/>
          <w:bCs/>
          <w:color w:val="auto"/>
          <w:spacing w:val="-6"/>
          <w:sz w:val="24"/>
          <w:highlight w:val="none"/>
        </w:rPr>
        <w:t>项目名称：</w:t>
      </w:r>
      <w:r>
        <w:rPr>
          <w:rFonts w:hint="eastAsia" w:ascii="宋体" w:hAnsi="宋体" w:eastAsia="宋体" w:cs="宋体"/>
          <w:bCs/>
          <w:color w:val="auto"/>
          <w:spacing w:val="-6"/>
          <w:sz w:val="24"/>
          <w:highlight w:val="none"/>
          <w:lang w:eastAsia="zh-CN"/>
        </w:rPr>
        <w:t>浙商银行台州分行公司客户贷款抵押物（房屋建筑物）财产保险服务项目</w:t>
      </w:r>
      <w:r>
        <w:rPr>
          <w:rFonts w:hint="eastAsia" w:ascii="宋体" w:hAnsi="宋体" w:cs="宋体"/>
          <w:bCs/>
          <w:color w:val="auto"/>
          <w:spacing w:val="-6"/>
          <w:sz w:val="24"/>
          <w:highlight w:val="none"/>
          <w:lang w:val="en-US" w:eastAsia="zh-CN"/>
        </w:rPr>
        <w:t>采购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pacing w:val="-6"/>
          <w:sz w:val="24"/>
          <w:highlight w:val="none"/>
          <w:lang w:eastAsia="zh-CN"/>
        </w:rPr>
      </w:pPr>
      <w:r>
        <w:rPr>
          <w:rFonts w:hint="eastAsia" w:ascii="宋体" w:hAnsi="宋体" w:eastAsia="宋体" w:cs="宋体"/>
          <w:bCs/>
          <w:color w:val="auto"/>
          <w:spacing w:val="-6"/>
          <w:sz w:val="24"/>
          <w:highlight w:val="none"/>
          <w:lang w:eastAsia="zh-CN"/>
        </w:rPr>
        <w:t>项目编号：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pacing w:val="-6"/>
          <w:sz w:val="24"/>
          <w:highlight w:val="none"/>
        </w:rPr>
      </w:pPr>
      <w:r>
        <w:rPr>
          <w:rFonts w:hint="eastAsia" w:ascii="宋体" w:hAnsi="宋体" w:eastAsia="宋体" w:cs="宋体"/>
          <w:bCs/>
          <w:color w:val="auto"/>
          <w:spacing w:val="-6"/>
          <w:sz w:val="24"/>
          <w:highlight w:val="none"/>
        </w:rPr>
        <w:t>投标人名称（盖章）：</w:t>
      </w:r>
    </w:p>
    <w:p>
      <w:pPr>
        <w:spacing w:line="360" w:lineRule="auto"/>
        <w:rPr>
          <w:rFonts w:hint="eastAsia" w:ascii="宋体" w:hAnsi="宋体"/>
          <w:bCs/>
          <w:spacing w:val="-6"/>
          <w:sz w:val="24"/>
        </w:rPr>
      </w:pPr>
      <w:r>
        <w:rPr>
          <w:rFonts w:hint="eastAsia" w:ascii="宋体" w:hAnsi="宋体"/>
          <w:bCs/>
          <w:spacing w:val="-6"/>
          <w:sz w:val="24"/>
        </w:rPr>
        <w:t>投标人地址：</w:t>
      </w:r>
    </w:p>
    <w:p>
      <w:pPr>
        <w:spacing w:line="360" w:lineRule="auto"/>
        <w:rPr>
          <w:rFonts w:hint="eastAsia" w:ascii="宋体" w:hAnsi="宋体"/>
          <w:bCs/>
          <w:spacing w:val="-6"/>
          <w:sz w:val="24"/>
        </w:rPr>
      </w:pPr>
      <w:r>
        <w:rPr>
          <w:rFonts w:hint="eastAsia" w:ascii="宋体" w:hAnsi="宋体"/>
          <w:bCs/>
          <w:spacing w:val="-6"/>
          <w:sz w:val="24"/>
        </w:rPr>
        <w:t>在     年   月   日   时   分之前不得启封</w:t>
      </w:r>
    </w:p>
    <w:p>
      <w:pPr>
        <w:spacing w:line="360" w:lineRule="auto"/>
        <w:rPr>
          <w:rFonts w:hint="eastAsia" w:ascii="宋体" w:hAnsi="宋体"/>
          <w:bCs/>
          <w:spacing w:val="-6"/>
          <w:sz w:val="24"/>
        </w:rPr>
      </w:pPr>
    </w:p>
    <w:p>
      <w:pPr>
        <w:spacing w:line="360" w:lineRule="auto"/>
        <w:rPr>
          <w:rFonts w:hint="eastAsia" w:ascii="宋体" w:hAnsi="宋体"/>
          <w:bCs/>
          <w:spacing w:val="-6"/>
          <w:sz w:val="24"/>
        </w:rPr>
      </w:pPr>
      <w:r>
        <w:rPr>
          <w:rFonts w:hint="eastAsia" w:ascii="宋体" w:hAnsi="宋体"/>
          <w:bCs/>
          <w:spacing w:val="-6"/>
          <w:sz w:val="24"/>
        </w:rPr>
        <w:t>日期：     年   月   日</w:t>
      </w:r>
    </w:p>
    <w:p>
      <w:pPr>
        <w:rPr>
          <w:rFonts w:hint="eastAsia"/>
        </w:rPr>
      </w:pPr>
      <w:r>
        <w:rPr>
          <w:rFonts w:hint="eastAsia"/>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color w:val="auto"/>
          <w:spacing w:val="-6"/>
          <w:sz w:val="24"/>
          <w:highlight w:val="none"/>
        </w:rPr>
      </w:pPr>
      <w:r>
        <w:rPr>
          <w:rFonts w:hint="eastAsia" w:ascii="宋体" w:hAnsi="宋体" w:eastAsia="宋体" w:cs="宋体"/>
          <w:bCs/>
          <w:color w:val="auto"/>
          <w:spacing w:val="-6"/>
          <w:sz w:val="24"/>
          <w:highlight w:val="none"/>
        </w:rPr>
        <w:t>报价文件</w:t>
      </w:r>
      <w:r>
        <w:rPr>
          <w:rFonts w:hint="eastAsia" w:ascii="宋体" w:hAnsi="宋体" w:eastAsia="宋体" w:cs="宋体"/>
          <w:color w:val="auto"/>
          <w:spacing w:val="-6"/>
          <w:sz w:val="24"/>
          <w:highlight w:val="none"/>
        </w:rPr>
        <w:t>封面</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pacing w:val="-6"/>
          <w:sz w:val="24"/>
          <w:highlight w:val="none"/>
        </w:rPr>
      </w:pPr>
      <w:r>
        <w:rPr>
          <w:rFonts w:hint="eastAsia" w:ascii="宋体" w:hAnsi="宋体" w:eastAsia="宋体" w:cs="宋体"/>
          <w:bCs/>
          <w:color w:val="auto"/>
          <w:spacing w:val="-6"/>
          <w:sz w:val="24"/>
          <w:highlight w:val="none"/>
        </w:rPr>
        <w:t>（投标人名称）</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pacing w:val="-6"/>
          <w:sz w:val="24"/>
          <w:highlight w:val="none"/>
        </w:rPr>
      </w:pPr>
      <w:r>
        <w:rPr>
          <w:rFonts w:hint="eastAsia" w:ascii="宋体" w:hAnsi="宋体" w:eastAsia="宋体" w:cs="宋体"/>
          <w:b/>
          <w:bCs/>
          <w:color w:val="auto"/>
          <w:spacing w:val="-6"/>
          <w:sz w:val="24"/>
          <w:highlight w:val="none"/>
        </w:rPr>
        <w:t>报价文件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pacing w:val="-6"/>
          <w:sz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pacing w:val="-6"/>
          <w:sz w:val="24"/>
          <w:highlight w:val="none"/>
          <w:lang w:eastAsia="zh-CN"/>
        </w:rPr>
      </w:pPr>
      <w:r>
        <w:rPr>
          <w:rFonts w:hint="eastAsia" w:ascii="宋体" w:hAnsi="宋体" w:eastAsia="宋体" w:cs="宋体"/>
          <w:bCs/>
          <w:color w:val="auto"/>
          <w:spacing w:val="-6"/>
          <w:sz w:val="24"/>
          <w:highlight w:val="none"/>
        </w:rPr>
        <w:t>招 标 人：</w:t>
      </w:r>
      <w:r>
        <w:rPr>
          <w:rFonts w:hint="eastAsia" w:ascii="宋体" w:hAnsi="宋体" w:eastAsia="宋体" w:cs="宋体"/>
          <w:bCs/>
          <w:color w:val="auto"/>
          <w:spacing w:val="-6"/>
          <w:sz w:val="24"/>
          <w:highlight w:val="none"/>
          <w:lang w:eastAsia="zh-CN"/>
        </w:rPr>
        <w:t>浙商银行股份有限公司</w:t>
      </w:r>
      <w:r>
        <w:rPr>
          <w:rFonts w:hint="eastAsia" w:ascii="宋体" w:hAnsi="宋体" w:eastAsia="宋体" w:cs="宋体"/>
          <w:bCs/>
          <w:color w:val="auto"/>
          <w:spacing w:val="-6"/>
          <w:sz w:val="24"/>
          <w:highlight w:val="none"/>
          <w:lang w:val="en-US" w:eastAsia="zh-CN"/>
        </w:rPr>
        <w:t>台州</w:t>
      </w:r>
      <w:r>
        <w:rPr>
          <w:rFonts w:hint="eastAsia" w:ascii="宋体" w:hAnsi="宋体" w:eastAsia="宋体" w:cs="宋体"/>
          <w:bCs/>
          <w:color w:val="auto"/>
          <w:spacing w:val="-6"/>
          <w:sz w:val="24"/>
          <w:highlight w:val="none"/>
          <w:lang w:eastAsia="zh-CN"/>
        </w:rPr>
        <w:t>分行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Cs/>
          <w:color w:val="auto"/>
          <w:spacing w:val="-6"/>
          <w:sz w:val="24"/>
          <w:highlight w:val="none"/>
          <w:lang w:val="en-US" w:eastAsia="zh-CN"/>
        </w:rPr>
      </w:pPr>
      <w:r>
        <w:rPr>
          <w:rFonts w:hint="eastAsia" w:ascii="宋体" w:hAnsi="宋体" w:eastAsia="宋体" w:cs="宋体"/>
          <w:bCs/>
          <w:color w:val="auto"/>
          <w:spacing w:val="-6"/>
          <w:sz w:val="24"/>
          <w:highlight w:val="none"/>
        </w:rPr>
        <w:t>项目名称：</w:t>
      </w:r>
      <w:r>
        <w:rPr>
          <w:rFonts w:hint="eastAsia" w:ascii="宋体" w:hAnsi="宋体" w:eastAsia="宋体" w:cs="宋体"/>
          <w:bCs/>
          <w:color w:val="auto"/>
          <w:spacing w:val="-6"/>
          <w:sz w:val="24"/>
          <w:highlight w:val="none"/>
          <w:lang w:eastAsia="zh-CN"/>
        </w:rPr>
        <w:t>浙商银行台州分行公司客户贷款抵押物（房屋建筑物）财产保险服务项目</w:t>
      </w:r>
      <w:r>
        <w:rPr>
          <w:rFonts w:hint="eastAsia" w:ascii="宋体" w:hAnsi="宋体" w:cs="宋体"/>
          <w:bCs/>
          <w:color w:val="auto"/>
          <w:spacing w:val="-6"/>
          <w:sz w:val="24"/>
          <w:highlight w:val="none"/>
          <w:lang w:val="en-US" w:eastAsia="zh-CN"/>
        </w:rPr>
        <w:t>采购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pacing w:val="-6"/>
          <w:sz w:val="24"/>
          <w:highlight w:val="none"/>
          <w:lang w:eastAsia="zh-CN"/>
        </w:rPr>
      </w:pPr>
      <w:r>
        <w:rPr>
          <w:rFonts w:hint="eastAsia" w:ascii="宋体" w:hAnsi="宋体" w:eastAsia="宋体" w:cs="宋体"/>
          <w:bCs/>
          <w:color w:val="auto"/>
          <w:spacing w:val="-6"/>
          <w:sz w:val="24"/>
          <w:highlight w:val="none"/>
          <w:lang w:eastAsia="zh-CN"/>
        </w:rPr>
        <w:t>项目编号：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pacing w:val="-6"/>
          <w:sz w:val="24"/>
          <w:highlight w:val="none"/>
        </w:rPr>
      </w:pPr>
      <w:r>
        <w:rPr>
          <w:rFonts w:hint="eastAsia" w:ascii="宋体" w:hAnsi="宋体" w:eastAsia="宋体" w:cs="宋体"/>
          <w:bCs/>
          <w:color w:val="auto"/>
          <w:spacing w:val="-6"/>
          <w:sz w:val="24"/>
          <w:highlight w:val="none"/>
        </w:rPr>
        <w:t>投标人名称（盖章）：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pacing w:val="-6"/>
          <w:sz w:val="24"/>
          <w:highlight w:val="none"/>
        </w:rPr>
      </w:pPr>
      <w:r>
        <w:rPr>
          <w:rFonts w:hint="eastAsia" w:ascii="宋体" w:hAnsi="宋体" w:eastAsia="宋体" w:cs="宋体"/>
          <w:bCs/>
          <w:color w:val="auto"/>
          <w:spacing w:val="-6"/>
          <w:sz w:val="24"/>
          <w:highlight w:val="none"/>
        </w:rPr>
        <w:t>投标人地址：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pacing w:val="-6"/>
          <w:sz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pacing w:val="-6"/>
          <w:sz w:val="24"/>
          <w:highlight w:val="none"/>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bCs/>
          <w:color w:val="auto"/>
          <w:spacing w:val="-6"/>
          <w:sz w:val="24"/>
          <w:highlight w:val="none"/>
        </w:rPr>
        <w:t>日期：     年   月   日</w:t>
      </w:r>
    </w:p>
    <w:p>
      <w:pPr>
        <w:pageBreakBefore w:val="0"/>
        <w:kinsoku/>
        <w:overflowPunct/>
        <w:topLinePunct w:val="0"/>
        <w:bidi w:val="0"/>
        <w:spacing w:line="360" w:lineRule="auto"/>
        <w:jc w:val="center"/>
        <w:outlineLvl w:val="1"/>
        <w:rPr>
          <w:rFonts w:hint="eastAsia" w:ascii="宋体" w:hAnsi="宋体" w:eastAsia="宋体" w:cs="宋体"/>
          <w:b/>
          <w:color w:val="auto"/>
          <w:spacing w:val="-6"/>
          <w:sz w:val="52"/>
          <w:szCs w:val="52"/>
          <w:highlight w:val="none"/>
        </w:rPr>
      </w:pPr>
      <w:r>
        <w:rPr>
          <w:rFonts w:hint="eastAsia" w:ascii="宋体" w:hAnsi="宋体" w:eastAsia="宋体" w:cs="宋体"/>
          <w:b/>
          <w:color w:val="auto"/>
          <w:spacing w:val="-6"/>
          <w:sz w:val="52"/>
          <w:szCs w:val="52"/>
          <w:highlight w:val="none"/>
        </w:rPr>
        <w:t>报价文件</w:t>
      </w:r>
    </w:p>
    <w:p>
      <w:pPr>
        <w:pageBreakBefore w:val="0"/>
        <w:kinsoku/>
        <w:overflowPunct/>
        <w:topLinePunct w:val="0"/>
        <w:bidi w:val="0"/>
        <w:spacing w:line="360" w:lineRule="auto"/>
        <w:jc w:val="center"/>
        <w:outlineLvl w:val="2"/>
        <w:rPr>
          <w:rFonts w:hint="eastAsia" w:ascii="宋体" w:hAnsi="宋体" w:eastAsia="宋体" w:cs="宋体"/>
          <w:b/>
          <w:color w:val="auto"/>
          <w:spacing w:val="-6"/>
          <w:szCs w:val="28"/>
          <w:highlight w:val="none"/>
        </w:rPr>
      </w:pPr>
      <w:r>
        <w:rPr>
          <w:rFonts w:hint="eastAsia" w:ascii="宋体" w:hAnsi="宋体" w:eastAsia="宋体" w:cs="宋体"/>
          <w:b/>
          <w:color w:val="auto"/>
          <w:spacing w:val="-6"/>
          <w:szCs w:val="28"/>
          <w:highlight w:val="none"/>
        </w:rPr>
        <w:t>开标一览表</w:t>
      </w:r>
    </w:p>
    <w:p>
      <w:pPr>
        <w:pageBreakBefore w:val="0"/>
        <w:kinsoku/>
        <w:overflowPunct/>
        <w:topLinePunct w:val="0"/>
        <w:bidi w:val="0"/>
        <w:spacing w:line="360" w:lineRule="auto"/>
        <w:rPr>
          <w:rFonts w:hint="eastAsia" w:ascii="宋体" w:hAnsi="宋体" w:eastAsia="宋体" w:cs="宋体"/>
          <w:bCs/>
          <w:color w:val="auto"/>
          <w:spacing w:val="-6"/>
          <w:sz w:val="21"/>
          <w:szCs w:val="21"/>
          <w:highlight w:val="none"/>
          <w:lang w:eastAsia="zh-CN"/>
        </w:rPr>
      </w:pPr>
      <w:r>
        <w:rPr>
          <w:rFonts w:hint="eastAsia" w:ascii="宋体" w:hAnsi="宋体" w:eastAsia="宋体" w:cs="宋体"/>
          <w:bCs/>
          <w:color w:val="auto"/>
          <w:spacing w:val="-6"/>
          <w:sz w:val="21"/>
          <w:szCs w:val="21"/>
          <w:highlight w:val="none"/>
        </w:rPr>
        <w:t>招 标 人：</w:t>
      </w:r>
      <w:r>
        <w:rPr>
          <w:rFonts w:hint="eastAsia" w:ascii="宋体" w:hAnsi="宋体" w:eastAsia="宋体" w:cs="宋体"/>
          <w:bCs/>
          <w:color w:val="auto"/>
          <w:spacing w:val="-6"/>
          <w:sz w:val="21"/>
          <w:szCs w:val="21"/>
          <w:highlight w:val="none"/>
          <w:lang w:eastAsia="zh-CN"/>
        </w:rPr>
        <w:t>浙商银行股份有限公司</w:t>
      </w:r>
      <w:r>
        <w:rPr>
          <w:rFonts w:hint="eastAsia" w:ascii="宋体" w:hAnsi="宋体" w:eastAsia="宋体" w:cs="宋体"/>
          <w:bCs/>
          <w:color w:val="auto"/>
          <w:spacing w:val="-6"/>
          <w:sz w:val="21"/>
          <w:szCs w:val="21"/>
          <w:highlight w:val="none"/>
          <w:lang w:val="en-US" w:eastAsia="zh-CN"/>
        </w:rPr>
        <w:t>台州</w:t>
      </w:r>
      <w:r>
        <w:rPr>
          <w:rFonts w:hint="eastAsia" w:ascii="宋体" w:hAnsi="宋体" w:eastAsia="宋体" w:cs="宋体"/>
          <w:bCs/>
          <w:color w:val="auto"/>
          <w:spacing w:val="-6"/>
          <w:sz w:val="21"/>
          <w:szCs w:val="21"/>
          <w:highlight w:val="none"/>
          <w:lang w:eastAsia="zh-CN"/>
        </w:rPr>
        <w:t>分行</w:t>
      </w:r>
    </w:p>
    <w:p>
      <w:pPr>
        <w:pageBreakBefore w:val="0"/>
        <w:kinsoku/>
        <w:overflowPunct/>
        <w:topLinePunct w:val="0"/>
        <w:bidi w:val="0"/>
        <w:spacing w:line="360" w:lineRule="auto"/>
        <w:rPr>
          <w:rFonts w:hint="default" w:ascii="宋体" w:hAnsi="宋体" w:eastAsia="宋体" w:cs="宋体"/>
          <w:bCs/>
          <w:color w:val="auto"/>
          <w:spacing w:val="-6"/>
          <w:sz w:val="21"/>
          <w:szCs w:val="21"/>
          <w:highlight w:val="none"/>
          <w:lang w:val="en-US" w:eastAsia="zh-CN"/>
        </w:rPr>
      </w:pPr>
      <w:r>
        <w:rPr>
          <w:rFonts w:hint="eastAsia" w:ascii="宋体" w:hAnsi="宋体" w:eastAsia="宋体" w:cs="宋体"/>
          <w:bCs/>
          <w:color w:val="auto"/>
          <w:spacing w:val="-6"/>
          <w:sz w:val="21"/>
          <w:szCs w:val="21"/>
          <w:highlight w:val="none"/>
        </w:rPr>
        <w:t>项目名称：</w:t>
      </w:r>
      <w:r>
        <w:rPr>
          <w:rFonts w:hint="eastAsia" w:ascii="宋体" w:hAnsi="宋体" w:eastAsia="宋体" w:cs="宋体"/>
          <w:bCs/>
          <w:color w:val="auto"/>
          <w:spacing w:val="-6"/>
          <w:sz w:val="21"/>
          <w:szCs w:val="21"/>
          <w:highlight w:val="none"/>
          <w:lang w:eastAsia="zh-CN"/>
        </w:rPr>
        <w:t>浙商银行台州分行公司客户贷款抵押物（房屋建筑物）财产保险服务项目</w:t>
      </w:r>
      <w:r>
        <w:rPr>
          <w:rFonts w:hint="eastAsia" w:ascii="宋体" w:hAnsi="宋体" w:cs="宋体"/>
          <w:bCs/>
          <w:color w:val="auto"/>
          <w:spacing w:val="-6"/>
          <w:sz w:val="21"/>
          <w:szCs w:val="21"/>
          <w:highlight w:val="none"/>
          <w:lang w:val="en-US" w:eastAsia="zh-CN"/>
        </w:rPr>
        <w:t>采购</w:t>
      </w:r>
    </w:p>
    <w:p>
      <w:pPr>
        <w:pageBreakBefore w:val="0"/>
        <w:kinsoku/>
        <w:overflowPunct/>
        <w:topLinePunct w:val="0"/>
        <w:bidi w:val="0"/>
        <w:spacing w:line="360" w:lineRule="auto"/>
        <w:rPr>
          <w:rFonts w:hint="eastAsia" w:ascii="宋体" w:hAnsi="宋体" w:cs="宋体"/>
          <w:bCs/>
          <w:color w:val="auto"/>
          <w:spacing w:val="-6"/>
          <w:sz w:val="21"/>
          <w:szCs w:val="21"/>
          <w:highlight w:val="none"/>
          <w:lang w:eastAsia="zh-CN"/>
        </w:rPr>
      </w:pPr>
      <w:r>
        <w:rPr>
          <w:rFonts w:hint="eastAsia" w:ascii="宋体" w:hAnsi="宋体" w:eastAsia="宋体" w:cs="宋体"/>
          <w:bCs/>
          <w:color w:val="auto"/>
          <w:spacing w:val="-6"/>
          <w:sz w:val="21"/>
          <w:szCs w:val="21"/>
          <w:highlight w:val="none"/>
          <w:lang w:eastAsia="zh-CN"/>
        </w:rPr>
        <w:t>项目编号：TZJC2025FXGKb006</w:t>
      </w:r>
    </w:p>
    <w:p>
      <w:pPr>
        <w:pStyle w:val="9"/>
        <w:spacing w:line="360" w:lineRule="auto"/>
        <w:rPr>
          <w:rFonts w:hint="eastAsia"/>
          <w:sz w:val="21"/>
          <w:szCs w:val="21"/>
          <w:lang w:eastAsia="zh-CN"/>
        </w:rPr>
      </w:pPr>
    </w:p>
    <w:tbl>
      <w:tblPr>
        <w:tblStyle w:val="21"/>
        <w:tblW w:w="462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5"/>
        <w:gridCol w:w="2506"/>
        <w:gridCol w:w="2508"/>
        <w:gridCol w:w="2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37" w:type="pct"/>
            <w:noWrap w:val="0"/>
            <w:vAlign w:val="center"/>
          </w:tcPr>
          <w:p>
            <w:pPr>
              <w:bidi w:val="0"/>
              <w:spacing w:line="360" w:lineRule="auto"/>
              <w:jc w:val="center"/>
              <w:rPr>
                <w:rFonts w:hint="eastAsia" w:ascii="宋体" w:hAnsi="宋体" w:eastAsia="宋体" w:cs="宋体"/>
                <w:b w:val="0"/>
                <w:bCs w:val="0"/>
                <w:color w:val="auto"/>
                <w:sz w:val="21"/>
                <w:szCs w:val="21"/>
                <w:highlight w:val="none"/>
              </w:rPr>
            </w:pPr>
            <w:bookmarkStart w:id="0" w:name="_Toc175"/>
            <w:bookmarkStart w:id="1" w:name="_Toc18588"/>
            <w:bookmarkStart w:id="2" w:name="_Toc2756"/>
            <w:bookmarkStart w:id="3" w:name="_Toc23620"/>
            <w:bookmarkStart w:id="4" w:name="_Toc7724"/>
            <w:bookmarkStart w:id="5" w:name="_Toc8524"/>
            <w:r>
              <w:rPr>
                <w:rFonts w:hint="eastAsia" w:ascii="宋体" w:hAnsi="宋体" w:eastAsia="宋体" w:cs="宋体"/>
                <w:b w:val="0"/>
                <w:bCs w:val="0"/>
                <w:color w:val="auto"/>
                <w:sz w:val="21"/>
                <w:szCs w:val="21"/>
                <w:highlight w:val="none"/>
              </w:rPr>
              <w:t>序号</w:t>
            </w:r>
            <w:bookmarkEnd w:id="0"/>
            <w:bookmarkEnd w:id="1"/>
            <w:bookmarkEnd w:id="2"/>
            <w:bookmarkEnd w:id="3"/>
            <w:bookmarkEnd w:id="4"/>
            <w:bookmarkEnd w:id="5"/>
          </w:p>
        </w:tc>
        <w:tc>
          <w:tcPr>
            <w:tcW w:w="1405" w:type="pct"/>
            <w:noWrap w:val="0"/>
            <w:vAlign w:val="center"/>
          </w:tcPr>
          <w:p>
            <w:pPr>
              <w:bidi w:val="0"/>
              <w:spacing w:line="360" w:lineRule="auto"/>
              <w:jc w:val="center"/>
              <w:rPr>
                <w:rFonts w:hint="eastAsia" w:ascii="宋体" w:hAnsi="宋体" w:eastAsia="宋体" w:cs="宋体"/>
                <w:b w:val="0"/>
                <w:bCs w:val="0"/>
                <w:color w:val="auto"/>
                <w:sz w:val="21"/>
                <w:szCs w:val="21"/>
                <w:highlight w:val="none"/>
              </w:rPr>
            </w:pPr>
            <w:bookmarkStart w:id="6" w:name="_Toc17235"/>
            <w:bookmarkStart w:id="7" w:name="_Toc25905"/>
            <w:bookmarkStart w:id="8" w:name="_Toc17109"/>
            <w:bookmarkStart w:id="9" w:name="_Toc7528"/>
            <w:bookmarkStart w:id="10" w:name="_Toc8366"/>
            <w:bookmarkStart w:id="11" w:name="_Toc2911"/>
            <w:r>
              <w:rPr>
                <w:rFonts w:hint="eastAsia" w:ascii="宋体" w:hAnsi="宋体" w:eastAsia="宋体" w:cs="宋体"/>
                <w:b w:val="0"/>
                <w:bCs w:val="0"/>
                <w:color w:val="auto"/>
                <w:sz w:val="21"/>
                <w:szCs w:val="21"/>
                <w:highlight w:val="none"/>
              </w:rPr>
              <w:t>项目</w:t>
            </w:r>
            <w:r>
              <w:rPr>
                <w:rFonts w:hint="eastAsia" w:ascii="宋体" w:hAnsi="宋体" w:eastAsia="宋体" w:cs="宋体"/>
                <w:b w:val="0"/>
                <w:bCs w:val="0"/>
                <w:color w:val="auto"/>
                <w:sz w:val="21"/>
                <w:szCs w:val="21"/>
                <w:highlight w:val="none"/>
                <w:lang w:val="en-US" w:eastAsia="zh-CN"/>
              </w:rPr>
              <w:t>名称</w:t>
            </w:r>
            <w:bookmarkEnd w:id="6"/>
            <w:bookmarkEnd w:id="7"/>
            <w:bookmarkEnd w:id="8"/>
            <w:bookmarkEnd w:id="9"/>
            <w:bookmarkEnd w:id="10"/>
            <w:bookmarkEnd w:id="11"/>
          </w:p>
        </w:tc>
        <w:tc>
          <w:tcPr>
            <w:tcW w:w="1406" w:type="pct"/>
            <w:noWrap w:val="0"/>
            <w:vAlign w:val="center"/>
          </w:tcPr>
          <w:p>
            <w:pPr>
              <w:bidi w:val="0"/>
              <w:spacing w:line="360" w:lineRule="auto"/>
              <w:jc w:val="center"/>
              <w:rPr>
                <w:rFonts w:hint="eastAsia" w:ascii="宋体" w:hAnsi="宋体" w:eastAsia="宋体" w:cs="宋体"/>
                <w:b w:val="0"/>
                <w:bCs w:val="0"/>
                <w:color w:val="auto"/>
                <w:sz w:val="21"/>
                <w:szCs w:val="21"/>
                <w:highlight w:val="none"/>
              </w:rPr>
            </w:pPr>
            <w:bookmarkStart w:id="12" w:name="_Toc10781"/>
            <w:bookmarkStart w:id="13" w:name="_Toc3261"/>
            <w:bookmarkStart w:id="14" w:name="_Toc23320"/>
            <w:bookmarkStart w:id="15" w:name="_Toc15622"/>
            <w:bookmarkStart w:id="16" w:name="_Toc4284"/>
            <w:bookmarkStart w:id="17" w:name="_Toc11189"/>
            <w:r>
              <w:rPr>
                <w:rFonts w:hint="eastAsia" w:ascii="宋体" w:hAnsi="宋体" w:eastAsia="宋体" w:cs="宋体"/>
                <w:b w:val="0"/>
                <w:bCs w:val="0"/>
                <w:color w:val="auto"/>
                <w:sz w:val="21"/>
                <w:szCs w:val="21"/>
                <w:highlight w:val="none"/>
                <w:lang w:val="en-US" w:eastAsia="zh-CN"/>
              </w:rPr>
              <w:t>保险标的物</w:t>
            </w:r>
          </w:p>
        </w:tc>
        <w:tc>
          <w:tcPr>
            <w:tcW w:w="1550" w:type="pct"/>
            <w:noWrap w:val="0"/>
            <w:vAlign w:val="center"/>
          </w:tcPr>
          <w:p>
            <w:pPr>
              <w:bidi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保险费率（%）</w:t>
            </w:r>
            <w:bookmarkEnd w:id="12"/>
            <w:bookmarkEnd w:id="13"/>
            <w:bookmarkEnd w:id="14"/>
            <w:bookmarkEnd w:id="15"/>
            <w:bookmarkEnd w:id="16"/>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37" w:type="pct"/>
            <w:noWrap w:val="0"/>
            <w:vAlign w:val="center"/>
          </w:tcPr>
          <w:p>
            <w:pPr>
              <w:bidi w:val="0"/>
              <w:spacing w:line="360" w:lineRule="auto"/>
              <w:jc w:val="center"/>
              <w:rPr>
                <w:rFonts w:hint="eastAsia" w:ascii="宋体" w:hAnsi="宋体" w:eastAsia="宋体" w:cs="宋体"/>
                <w:b w:val="0"/>
                <w:bCs w:val="0"/>
                <w:color w:val="auto"/>
                <w:sz w:val="21"/>
                <w:szCs w:val="21"/>
                <w:highlight w:val="none"/>
              </w:rPr>
            </w:pPr>
            <w:bookmarkStart w:id="18" w:name="_Toc24723"/>
            <w:bookmarkStart w:id="19" w:name="_Toc319"/>
            <w:bookmarkStart w:id="20" w:name="_Toc25885"/>
            <w:bookmarkStart w:id="21" w:name="_Toc10603"/>
            <w:bookmarkStart w:id="22" w:name="_Toc12266"/>
            <w:bookmarkStart w:id="23" w:name="_Toc17558"/>
            <w:r>
              <w:rPr>
                <w:rFonts w:hint="eastAsia" w:ascii="宋体" w:hAnsi="宋体" w:eastAsia="宋体" w:cs="宋体"/>
                <w:b w:val="0"/>
                <w:bCs w:val="0"/>
                <w:color w:val="auto"/>
                <w:sz w:val="21"/>
                <w:szCs w:val="21"/>
                <w:highlight w:val="none"/>
              </w:rPr>
              <w:t>1</w:t>
            </w:r>
            <w:bookmarkEnd w:id="18"/>
            <w:bookmarkEnd w:id="19"/>
            <w:bookmarkEnd w:id="20"/>
            <w:bookmarkEnd w:id="21"/>
            <w:bookmarkEnd w:id="22"/>
            <w:bookmarkEnd w:id="23"/>
          </w:p>
        </w:tc>
        <w:tc>
          <w:tcPr>
            <w:tcW w:w="1405" w:type="pct"/>
            <w:vMerge w:val="restart"/>
            <w:noWrap w:val="0"/>
            <w:vAlign w:val="center"/>
          </w:tcPr>
          <w:p>
            <w:pPr>
              <w:pageBreakBefore w:val="0"/>
              <w:kinsoku/>
              <w:overflowPunct/>
              <w:topLinePunct w:val="0"/>
              <w:bidi w:val="0"/>
              <w:spacing w:line="360" w:lineRule="auto"/>
              <w:jc w:val="center"/>
              <w:rPr>
                <w:rFonts w:hint="default" w:ascii="宋体" w:hAnsi="宋体" w:eastAsia="宋体" w:cs="宋体"/>
                <w:bCs/>
                <w:color w:val="auto"/>
                <w:spacing w:val="-6"/>
                <w:sz w:val="21"/>
                <w:szCs w:val="21"/>
                <w:highlight w:val="none"/>
                <w:lang w:val="en-US" w:eastAsia="zh-CN"/>
              </w:rPr>
            </w:pPr>
            <w:r>
              <w:rPr>
                <w:rFonts w:hint="eastAsia" w:ascii="宋体" w:hAnsi="宋体" w:eastAsia="宋体" w:cs="宋体"/>
                <w:bCs/>
                <w:color w:val="auto"/>
                <w:spacing w:val="-6"/>
                <w:sz w:val="21"/>
                <w:szCs w:val="21"/>
                <w:highlight w:val="none"/>
                <w:lang w:eastAsia="zh-CN"/>
              </w:rPr>
              <w:t>浙商银行台州分行公司客户贷款抵押物（房屋建筑物）财产保险服务项目</w:t>
            </w:r>
            <w:r>
              <w:rPr>
                <w:rFonts w:hint="eastAsia" w:ascii="宋体" w:hAnsi="宋体" w:cs="宋体"/>
                <w:bCs/>
                <w:color w:val="auto"/>
                <w:spacing w:val="-6"/>
                <w:sz w:val="21"/>
                <w:szCs w:val="21"/>
                <w:highlight w:val="none"/>
                <w:lang w:val="en-US" w:eastAsia="zh-CN"/>
              </w:rPr>
              <w:t>采购</w:t>
            </w:r>
          </w:p>
          <w:p>
            <w:pPr>
              <w:bidi w:val="0"/>
              <w:spacing w:line="360" w:lineRule="auto"/>
              <w:jc w:val="center"/>
              <w:rPr>
                <w:rFonts w:hint="eastAsia" w:ascii="宋体" w:hAnsi="宋体" w:eastAsia="宋体" w:cs="宋体"/>
                <w:b w:val="0"/>
                <w:bCs w:val="0"/>
                <w:color w:val="auto"/>
                <w:sz w:val="21"/>
                <w:szCs w:val="21"/>
                <w:highlight w:val="none"/>
              </w:rPr>
            </w:pPr>
          </w:p>
        </w:tc>
        <w:tc>
          <w:tcPr>
            <w:tcW w:w="1406" w:type="pct"/>
            <w:noWrap w:val="0"/>
            <w:vAlign w:val="top"/>
          </w:tcPr>
          <w:p>
            <w:pPr>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居住楼宇</w:t>
            </w:r>
          </w:p>
        </w:tc>
        <w:tc>
          <w:tcPr>
            <w:tcW w:w="1550" w:type="pct"/>
            <w:noWrap w:val="0"/>
            <w:vAlign w:val="center"/>
          </w:tcPr>
          <w:p>
            <w:pPr>
              <w:bidi w:val="0"/>
              <w:spacing w:line="360" w:lineRule="auto"/>
              <w:jc w:val="center"/>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37" w:type="pct"/>
            <w:noWrap w:val="0"/>
            <w:vAlign w:val="center"/>
          </w:tcPr>
          <w:p>
            <w:pPr>
              <w:bidi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p>
        </w:tc>
        <w:tc>
          <w:tcPr>
            <w:tcW w:w="1405" w:type="pct"/>
            <w:vMerge w:val="continue"/>
            <w:noWrap w:val="0"/>
            <w:vAlign w:val="center"/>
          </w:tcPr>
          <w:p>
            <w:pPr>
              <w:bidi w:val="0"/>
              <w:spacing w:line="360" w:lineRule="auto"/>
              <w:jc w:val="center"/>
              <w:rPr>
                <w:rFonts w:hint="eastAsia" w:ascii="宋体" w:hAnsi="宋体" w:eastAsia="宋体" w:cs="宋体"/>
                <w:b w:val="0"/>
                <w:bCs w:val="0"/>
                <w:color w:val="auto"/>
                <w:sz w:val="21"/>
                <w:szCs w:val="21"/>
                <w:highlight w:val="none"/>
              </w:rPr>
            </w:pPr>
          </w:p>
        </w:tc>
        <w:tc>
          <w:tcPr>
            <w:tcW w:w="1406" w:type="pct"/>
            <w:noWrap w:val="0"/>
            <w:vAlign w:val="top"/>
          </w:tcPr>
          <w:p>
            <w:pPr>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商业用房</w:t>
            </w:r>
          </w:p>
        </w:tc>
        <w:tc>
          <w:tcPr>
            <w:tcW w:w="1550" w:type="pct"/>
            <w:noWrap w:val="0"/>
            <w:vAlign w:val="center"/>
          </w:tcPr>
          <w:p>
            <w:pPr>
              <w:bidi w:val="0"/>
              <w:spacing w:line="360" w:lineRule="auto"/>
              <w:jc w:val="center"/>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37" w:type="pct"/>
            <w:noWrap w:val="0"/>
            <w:vAlign w:val="center"/>
          </w:tcPr>
          <w:p>
            <w:pPr>
              <w:bidi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w:t>
            </w:r>
          </w:p>
        </w:tc>
        <w:tc>
          <w:tcPr>
            <w:tcW w:w="1405" w:type="pct"/>
            <w:vMerge w:val="continue"/>
            <w:noWrap w:val="0"/>
            <w:vAlign w:val="center"/>
          </w:tcPr>
          <w:p>
            <w:pPr>
              <w:bidi w:val="0"/>
              <w:spacing w:line="360" w:lineRule="auto"/>
              <w:jc w:val="center"/>
              <w:rPr>
                <w:rFonts w:hint="eastAsia" w:ascii="宋体" w:hAnsi="宋体" w:eastAsia="宋体" w:cs="宋体"/>
                <w:b w:val="0"/>
                <w:bCs w:val="0"/>
                <w:color w:val="auto"/>
                <w:sz w:val="21"/>
                <w:szCs w:val="21"/>
                <w:highlight w:val="none"/>
              </w:rPr>
            </w:pPr>
          </w:p>
        </w:tc>
        <w:tc>
          <w:tcPr>
            <w:tcW w:w="1406" w:type="pct"/>
            <w:noWrap w:val="0"/>
            <w:vAlign w:val="top"/>
          </w:tcPr>
          <w:p>
            <w:pPr>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厂房类房产</w:t>
            </w:r>
          </w:p>
        </w:tc>
        <w:tc>
          <w:tcPr>
            <w:tcW w:w="1550" w:type="pct"/>
            <w:noWrap w:val="0"/>
            <w:vAlign w:val="center"/>
          </w:tcPr>
          <w:p>
            <w:pPr>
              <w:bidi w:val="0"/>
              <w:spacing w:line="360" w:lineRule="auto"/>
              <w:jc w:val="center"/>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37" w:type="pct"/>
            <w:noWrap w:val="0"/>
            <w:vAlign w:val="center"/>
          </w:tcPr>
          <w:p>
            <w:pPr>
              <w:bidi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w:t>
            </w:r>
          </w:p>
        </w:tc>
        <w:tc>
          <w:tcPr>
            <w:tcW w:w="1405" w:type="pct"/>
            <w:vMerge w:val="continue"/>
            <w:noWrap w:val="0"/>
            <w:vAlign w:val="center"/>
          </w:tcPr>
          <w:p>
            <w:pPr>
              <w:bidi w:val="0"/>
              <w:spacing w:line="360" w:lineRule="auto"/>
              <w:jc w:val="center"/>
              <w:rPr>
                <w:rFonts w:hint="eastAsia" w:ascii="宋体" w:hAnsi="宋体" w:eastAsia="宋体" w:cs="宋体"/>
                <w:b w:val="0"/>
                <w:bCs w:val="0"/>
                <w:color w:val="auto"/>
                <w:sz w:val="21"/>
                <w:szCs w:val="21"/>
                <w:highlight w:val="none"/>
              </w:rPr>
            </w:pPr>
          </w:p>
        </w:tc>
        <w:tc>
          <w:tcPr>
            <w:tcW w:w="1406" w:type="pct"/>
            <w:noWrap w:val="0"/>
            <w:vAlign w:val="top"/>
          </w:tcPr>
          <w:p>
            <w:pPr>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在建建筑工程</w:t>
            </w:r>
          </w:p>
        </w:tc>
        <w:tc>
          <w:tcPr>
            <w:tcW w:w="1550" w:type="pct"/>
            <w:noWrap w:val="0"/>
            <w:vAlign w:val="center"/>
          </w:tcPr>
          <w:p>
            <w:pPr>
              <w:bidi w:val="0"/>
              <w:spacing w:line="360" w:lineRule="auto"/>
              <w:jc w:val="center"/>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37" w:type="pct"/>
            <w:noWrap w:val="0"/>
            <w:vAlign w:val="center"/>
          </w:tcPr>
          <w:p>
            <w:pPr>
              <w:bidi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w:t>
            </w:r>
          </w:p>
        </w:tc>
        <w:tc>
          <w:tcPr>
            <w:tcW w:w="1405" w:type="pct"/>
            <w:vMerge w:val="continue"/>
            <w:noWrap w:val="0"/>
            <w:vAlign w:val="center"/>
          </w:tcPr>
          <w:p>
            <w:pPr>
              <w:bidi w:val="0"/>
              <w:spacing w:line="360" w:lineRule="auto"/>
              <w:jc w:val="center"/>
              <w:rPr>
                <w:rFonts w:hint="eastAsia" w:ascii="宋体" w:hAnsi="宋体" w:eastAsia="宋体" w:cs="宋体"/>
                <w:b w:val="0"/>
                <w:bCs w:val="0"/>
                <w:color w:val="auto"/>
                <w:sz w:val="21"/>
                <w:szCs w:val="21"/>
                <w:highlight w:val="none"/>
              </w:rPr>
            </w:pPr>
          </w:p>
        </w:tc>
        <w:tc>
          <w:tcPr>
            <w:tcW w:w="1406" w:type="pct"/>
            <w:noWrap w:val="0"/>
            <w:vAlign w:val="top"/>
          </w:tcPr>
          <w:p>
            <w:pPr>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特殊建筑构造物</w:t>
            </w:r>
          </w:p>
        </w:tc>
        <w:tc>
          <w:tcPr>
            <w:tcW w:w="1550" w:type="pct"/>
            <w:noWrap w:val="0"/>
            <w:vAlign w:val="center"/>
          </w:tcPr>
          <w:p>
            <w:pPr>
              <w:bidi w:val="0"/>
              <w:spacing w:line="360" w:lineRule="auto"/>
              <w:jc w:val="center"/>
              <w:rPr>
                <w:rFonts w:hint="eastAsia" w:ascii="宋体" w:hAnsi="宋体" w:eastAsia="宋体" w:cs="宋体"/>
                <w:b w:val="0"/>
                <w:bCs w:val="0"/>
                <w:color w:val="auto"/>
                <w:sz w:val="21"/>
                <w:szCs w:val="21"/>
                <w:highlight w:val="none"/>
              </w:rPr>
            </w:pPr>
          </w:p>
        </w:tc>
      </w:tr>
    </w:tbl>
    <w:p>
      <w:pPr>
        <w:spacing w:line="360" w:lineRule="auto"/>
        <w:rPr>
          <w:rFonts w:hint="eastAsia" w:ascii="宋体" w:hAnsi="宋体"/>
          <w:color w:val="auto"/>
          <w:spacing w:val="-6"/>
          <w:sz w:val="21"/>
          <w:szCs w:val="21"/>
          <w:highlight w:val="none"/>
        </w:rPr>
      </w:pPr>
    </w:p>
    <w:p>
      <w:pPr>
        <w:spacing w:line="360" w:lineRule="auto"/>
        <w:rPr>
          <w:rFonts w:hint="eastAsia" w:ascii="宋体" w:hAnsi="宋体"/>
          <w:bCs/>
          <w:color w:val="auto"/>
          <w:spacing w:val="-6"/>
          <w:sz w:val="21"/>
          <w:szCs w:val="21"/>
          <w:highlight w:val="none"/>
        </w:rPr>
      </w:pPr>
      <w:r>
        <w:rPr>
          <w:rFonts w:hint="eastAsia" w:ascii="宋体" w:hAnsi="宋体"/>
          <w:bCs/>
          <w:color w:val="auto"/>
          <w:spacing w:val="-6"/>
          <w:sz w:val="21"/>
          <w:szCs w:val="21"/>
          <w:highlight w:val="none"/>
        </w:rPr>
        <w:t>说明：</w:t>
      </w:r>
    </w:p>
    <w:p>
      <w:pPr>
        <w:spacing w:line="360" w:lineRule="auto"/>
        <w:rPr>
          <w:rFonts w:hint="eastAsia" w:ascii="宋体" w:hAnsi="宋体"/>
          <w:bCs/>
          <w:color w:val="auto"/>
          <w:spacing w:val="-6"/>
          <w:sz w:val="21"/>
          <w:szCs w:val="21"/>
          <w:highlight w:val="none"/>
        </w:rPr>
      </w:pPr>
      <w:r>
        <w:rPr>
          <w:rFonts w:hint="eastAsia" w:ascii="宋体" w:hAnsi="宋体"/>
          <w:bCs/>
          <w:color w:val="auto"/>
          <w:spacing w:val="-6"/>
          <w:sz w:val="21"/>
          <w:szCs w:val="21"/>
          <w:highlight w:val="none"/>
        </w:rPr>
        <w:t>1.报价应是招标文件所确定的招标范围内的全部工作内容的价格体现，开标一览表的报价中不得包含招标文件要求以外的内容，否则，在开标报价后不予核减。开标一览表的报价中也不得缺漏招标文件所要求的内容，否则，视为该漏报或不报部分的费用已包括在已报的分项报价中而不予支付；</w:t>
      </w:r>
    </w:p>
    <w:p>
      <w:pPr>
        <w:spacing w:line="360" w:lineRule="auto"/>
        <w:rPr>
          <w:rFonts w:hint="eastAsia" w:ascii="宋体" w:hAnsi="宋体"/>
          <w:bCs/>
          <w:color w:val="auto"/>
          <w:spacing w:val="-6"/>
          <w:sz w:val="21"/>
          <w:szCs w:val="21"/>
          <w:highlight w:val="none"/>
        </w:rPr>
      </w:pPr>
      <w:r>
        <w:rPr>
          <w:rFonts w:hint="eastAsia" w:ascii="宋体" w:hAnsi="宋体"/>
          <w:bCs/>
          <w:color w:val="auto"/>
          <w:spacing w:val="-6"/>
          <w:sz w:val="21"/>
          <w:szCs w:val="21"/>
          <w:highlight w:val="none"/>
        </w:rPr>
        <w:t>2.所有报价均应已包含国家规定的所有税费；</w:t>
      </w:r>
    </w:p>
    <w:p>
      <w:pPr>
        <w:spacing w:line="360" w:lineRule="auto"/>
        <w:rPr>
          <w:rFonts w:hint="eastAsia" w:ascii="宋体" w:hAnsi="宋体"/>
          <w:b/>
          <w:bCs w:val="0"/>
          <w:color w:val="auto"/>
          <w:spacing w:val="-6"/>
          <w:sz w:val="21"/>
          <w:szCs w:val="21"/>
          <w:highlight w:val="none"/>
        </w:rPr>
      </w:pPr>
      <w:r>
        <w:rPr>
          <w:rFonts w:hint="eastAsia" w:ascii="宋体" w:hAnsi="宋体"/>
          <w:b/>
          <w:bCs w:val="0"/>
          <w:color w:val="auto"/>
          <w:spacing w:val="-6"/>
          <w:sz w:val="21"/>
          <w:szCs w:val="21"/>
          <w:highlight w:val="none"/>
          <w:lang w:val="en-US" w:eastAsia="zh-CN"/>
        </w:rPr>
        <w:t>3</w:t>
      </w:r>
      <w:r>
        <w:rPr>
          <w:rFonts w:hint="eastAsia" w:ascii="宋体" w:hAnsi="宋体"/>
          <w:b/>
          <w:bCs w:val="0"/>
          <w:color w:val="auto"/>
          <w:spacing w:val="-6"/>
          <w:sz w:val="21"/>
          <w:szCs w:val="21"/>
          <w:highlight w:val="none"/>
        </w:rPr>
        <w:t>.报价栏只出现数字0，则视报价为零，即免费；如出现空白，视为未响应；</w:t>
      </w:r>
    </w:p>
    <w:p>
      <w:pPr>
        <w:spacing w:line="360" w:lineRule="auto"/>
        <w:rPr>
          <w:rFonts w:hint="eastAsia" w:ascii="宋体" w:hAnsi="宋体" w:eastAsia="宋体" w:cs="Times New Roman"/>
          <w:bCs/>
          <w:color w:val="auto"/>
          <w:spacing w:val="-6"/>
          <w:sz w:val="21"/>
          <w:szCs w:val="21"/>
          <w:highlight w:val="none"/>
        </w:rPr>
      </w:pPr>
      <w:r>
        <w:rPr>
          <w:rFonts w:hint="eastAsia" w:ascii="宋体" w:hAnsi="宋体" w:eastAsia="宋体" w:cs="Times New Roman"/>
          <w:bCs/>
          <w:color w:val="auto"/>
          <w:spacing w:val="-6"/>
          <w:sz w:val="21"/>
          <w:szCs w:val="21"/>
          <w:highlight w:val="none"/>
          <w:lang w:val="en-US" w:eastAsia="zh-CN"/>
        </w:rPr>
        <w:t>4</w:t>
      </w:r>
      <w:r>
        <w:rPr>
          <w:rFonts w:hint="eastAsia" w:ascii="宋体" w:hAnsi="宋体" w:eastAsia="宋体" w:cs="Times New Roman"/>
          <w:bCs/>
          <w:color w:val="auto"/>
          <w:spacing w:val="-6"/>
          <w:sz w:val="21"/>
          <w:szCs w:val="21"/>
          <w:highlight w:val="none"/>
        </w:rPr>
        <w:t>.投标人必须按招标文件指定格式正确填写开标一览表，不得随意更改或替换；</w:t>
      </w:r>
    </w:p>
    <w:p>
      <w:pPr>
        <w:adjustRightInd/>
        <w:snapToGrid/>
        <w:spacing w:line="360" w:lineRule="auto"/>
        <w:jc w:val="left"/>
        <w:rPr>
          <w:rFonts w:hint="eastAsia" w:ascii="宋体" w:hAnsi="宋体" w:eastAsia="宋体" w:cs="Times New Roman"/>
          <w:b/>
          <w:bCs w:val="0"/>
          <w:i/>
          <w:iCs/>
          <w:color w:val="auto"/>
          <w:spacing w:val="-6"/>
          <w:sz w:val="21"/>
          <w:szCs w:val="21"/>
          <w:highlight w:val="none"/>
          <w:u w:val="single"/>
          <w:lang w:val="en-US" w:eastAsia="zh-CN"/>
        </w:rPr>
      </w:pPr>
      <w:r>
        <w:rPr>
          <w:rFonts w:hint="eastAsia" w:ascii="宋体" w:hAnsi="宋体" w:eastAsia="宋体" w:cs="Times New Roman"/>
          <w:b/>
          <w:bCs w:val="0"/>
          <w:i/>
          <w:iCs/>
          <w:color w:val="auto"/>
          <w:spacing w:val="-6"/>
          <w:sz w:val="21"/>
          <w:szCs w:val="21"/>
          <w:highlight w:val="none"/>
          <w:u w:val="single"/>
          <w:lang w:val="en-US" w:eastAsia="zh-CN"/>
        </w:rPr>
        <w:t>5.保险费率保留到小数点后四位（例：0.0001%、0.0015%）；</w:t>
      </w:r>
    </w:p>
    <w:p>
      <w:pPr>
        <w:adjustRightInd/>
        <w:snapToGrid/>
        <w:spacing w:line="360" w:lineRule="auto"/>
        <w:jc w:val="left"/>
        <w:rPr>
          <w:rFonts w:hint="eastAsia" w:ascii="宋体" w:hAnsi="宋体" w:eastAsia="宋体" w:cs="Times New Roman"/>
          <w:b/>
          <w:bCs w:val="0"/>
          <w:color w:val="auto"/>
          <w:spacing w:val="-6"/>
          <w:sz w:val="21"/>
          <w:szCs w:val="21"/>
          <w:highlight w:val="none"/>
          <w:lang w:val="en-US" w:eastAsia="zh-CN"/>
        </w:rPr>
      </w:pPr>
      <w:r>
        <w:rPr>
          <w:rFonts w:hint="eastAsia" w:ascii="宋体" w:hAnsi="宋体" w:eastAsia="宋体" w:cs="Times New Roman"/>
          <w:b/>
          <w:bCs w:val="0"/>
          <w:color w:val="auto"/>
          <w:spacing w:val="-6"/>
          <w:sz w:val="21"/>
          <w:szCs w:val="21"/>
          <w:highlight w:val="none"/>
          <w:lang w:val="en-US" w:eastAsia="zh-CN"/>
        </w:rPr>
        <w:t>6.此报价为入围后的最高限价。</w:t>
      </w:r>
    </w:p>
    <w:p>
      <w:pPr>
        <w:pageBreakBefore w:val="0"/>
        <w:kinsoku/>
        <w:overflowPunct/>
        <w:topLinePunct w:val="0"/>
        <w:bidi w:val="0"/>
        <w:spacing w:line="360" w:lineRule="auto"/>
        <w:rPr>
          <w:rFonts w:hint="eastAsia" w:ascii="宋体" w:hAnsi="宋体" w:eastAsia="宋体" w:cs="宋体"/>
          <w:b/>
          <w:color w:val="auto"/>
          <w:spacing w:val="-6"/>
          <w:sz w:val="21"/>
          <w:szCs w:val="21"/>
          <w:highlight w:val="none"/>
        </w:rPr>
      </w:pPr>
    </w:p>
    <w:p>
      <w:pPr>
        <w:pageBreakBefore w:val="0"/>
        <w:kinsoku/>
        <w:overflowPunct/>
        <w:topLinePunct w:val="0"/>
        <w:bidi w:val="0"/>
        <w:spacing w:line="360" w:lineRule="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投标人名称（盖章）：</w:t>
      </w:r>
    </w:p>
    <w:p>
      <w:pPr>
        <w:pageBreakBefore w:val="0"/>
        <w:kinsoku/>
        <w:overflowPunct/>
        <w:topLinePunct w:val="0"/>
        <w:bidi w:val="0"/>
        <w:spacing w:line="360" w:lineRule="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授权代表签字</w:t>
      </w:r>
      <w:r>
        <w:rPr>
          <w:rFonts w:hint="eastAsia" w:ascii="宋体" w:hAnsi="宋体" w:eastAsia="宋体" w:cs="宋体"/>
          <w:bCs/>
          <w:color w:val="auto"/>
          <w:spacing w:val="-6"/>
          <w:sz w:val="21"/>
          <w:szCs w:val="21"/>
          <w:highlight w:val="none"/>
        </w:rPr>
        <w:t>：</w:t>
      </w:r>
    </w:p>
    <w:p>
      <w:pPr>
        <w:pageBreakBefore w:val="0"/>
        <w:kinsoku/>
        <w:overflowPunct/>
        <w:topLinePunct w:val="0"/>
        <w:bidi w:val="0"/>
        <w:spacing w:line="360" w:lineRule="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日期：     年   月   日</w:t>
      </w:r>
    </w:p>
    <w:p>
      <w:pPr>
        <w:spacing w:line="360" w:lineRule="auto"/>
        <w:rPr>
          <w:rFonts w:hint="eastAsia" w:ascii="宋体" w:hAnsi="宋体" w:eastAsia="宋体" w:cs="宋体"/>
          <w:b/>
          <w:color w:val="auto"/>
          <w:spacing w:val="-6"/>
          <w:sz w:val="21"/>
          <w:szCs w:val="21"/>
          <w:highlight w:val="none"/>
          <w:lang w:val="en-US" w:eastAsia="zh-CN"/>
        </w:rPr>
      </w:pPr>
      <w:r>
        <w:rPr>
          <w:rFonts w:hint="eastAsia" w:ascii="宋体" w:hAnsi="宋体" w:eastAsia="宋体" w:cs="宋体"/>
          <w:bCs/>
          <w:color w:val="auto"/>
          <w:spacing w:val="-6"/>
          <w:sz w:val="21"/>
          <w:szCs w:val="21"/>
          <w:highlight w:val="none"/>
        </w:rPr>
        <w:br w:type="page"/>
      </w:r>
    </w:p>
    <w:p>
      <w:pPr>
        <w:pageBreakBefore w:val="0"/>
        <w:kinsoku/>
        <w:overflowPunct/>
        <w:topLinePunct w:val="0"/>
        <w:bidi w:val="0"/>
        <w:spacing w:line="360" w:lineRule="auto"/>
        <w:jc w:val="center"/>
        <w:outlineLvl w:val="2"/>
        <w:rPr>
          <w:rFonts w:hint="eastAsia" w:ascii="宋体" w:hAnsi="宋体" w:eastAsia="宋体" w:cs="宋体"/>
          <w:b/>
          <w:color w:val="auto"/>
          <w:spacing w:val="-6"/>
          <w:sz w:val="21"/>
          <w:szCs w:val="21"/>
          <w:highlight w:val="none"/>
          <w:lang w:val="en-US" w:eastAsia="zh-CN"/>
        </w:rPr>
        <w:sectPr>
          <w:footerReference r:id="rId5" w:type="default"/>
          <w:pgSz w:w="11906" w:h="16838"/>
          <w:pgMar w:top="1440" w:right="1247" w:bottom="1440" w:left="1247" w:header="283" w:footer="850" w:gutter="0"/>
          <w:cols w:space="0" w:num="1"/>
          <w:rtlGutter w:val="0"/>
          <w:docGrid w:linePitch="381" w:charSpace="0"/>
        </w:sectPr>
      </w:pPr>
    </w:p>
    <w:p>
      <w:pPr>
        <w:pageBreakBefore w:val="0"/>
        <w:tabs>
          <w:tab w:val="center" w:pos="4706"/>
          <w:tab w:val="left" w:pos="6222"/>
        </w:tabs>
        <w:kinsoku/>
        <w:overflowPunct/>
        <w:topLinePunct w:val="0"/>
        <w:bidi w:val="0"/>
        <w:spacing w:line="360" w:lineRule="auto"/>
        <w:jc w:val="center"/>
        <w:outlineLvl w:val="1"/>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评分索引表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054"/>
        <w:gridCol w:w="663"/>
        <w:gridCol w:w="5087"/>
        <w:gridCol w:w="750"/>
        <w:gridCol w:w="771"/>
        <w:gridCol w:w="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2" w:type="dxa"/>
            <w:vAlign w:val="center"/>
          </w:tcPr>
          <w:p>
            <w:pPr>
              <w:pageBreakBefore w:val="0"/>
              <w:kinsoku/>
              <w:overflowPunct/>
              <w:topLinePunct w:val="0"/>
              <w:bidi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054" w:type="dxa"/>
            <w:vAlign w:val="center"/>
          </w:tcPr>
          <w:p>
            <w:pPr>
              <w:pageBreakBefore w:val="0"/>
              <w:kinsoku/>
              <w:overflowPunct/>
              <w:topLinePunct w:val="0"/>
              <w:bidi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评审因素</w:t>
            </w:r>
          </w:p>
        </w:tc>
        <w:tc>
          <w:tcPr>
            <w:tcW w:w="663" w:type="dxa"/>
            <w:vAlign w:val="center"/>
          </w:tcPr>
          <w:p>
            <w:pPr>
              <w:pageBreakBefore w:val="0"/>
              <w:kinsoku/>
              <w:overflowPunct/>
              <w:topLinePunct w:val="0"/>
              <w:bidi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5087" w:type="dxa"/>
            <w:vAlign w:val="center"/>
          </w:tcPr>
          <w:p>
            <w:pPr>
              <w:pageBreakBefore w:val="0"/>
              <w:kinsoku/>
              <w:overflowPunct/>
              <w:topLinePunct w:val="0"/>
              <w:bidi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评分细则</w:t>
            </w:r>
          </w:p>
        </w:tc>
        <w:tc>
          <w:tcPr>
            <w:tcW w:w="750" w:type="dxa"/>
            <w:vAlign w:val="center"/>
          </w:tcPr>
          <w:p>
            <w:pPr>
              <w:pageBreakBefore w:val="0"/>
              <w:kinsoku/>
              <w:overflowPunct/>
              <w:topLinePunct w:val="0"/>
              <w:bidi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自评分</w:t>
            </w:r>
          </w:p>
        </w:tc>
        <w:tc>
          <w:tcPr>
            <w:tcW w:w="771" w:type="dxa"/>
            <w:vAlign w:val="center"/>
          </w:tcPr>
          <w:p>
            <w:pPr>
              <w:pageBreakBefore w:val="0"/>
              <w:kinsoku/>
              <w:overflowPunct/>
              <w:topLinePunct w:val="0"/>
              <w:bidi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自评依据</w:t>
            </w:r>
          </w:p>
        </w:tc>
        <w:tc>
          <w:tcPr>
            <w:tcW w:w="661" w:type="dxa"/>
            <w:vAlign w:val="center"/>
          </w:tcPr>
          <w:p>
            <w:pPr>
              <w:pageBreakBefore w:val="0"/>
              <w:kinsoku/>
              <w:overflowPunct/>
              <w:topLinePunct w:val="0"/>
              <w:bidi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28" w:type="dxa"/>
            <w:gridSpan w:val="7"/>
            <w:vAlign w:val="center"/>
          </w:tcPr>
          <w:p>
            <w:pPr>
              <w:pageBreakBefore w:val="0"/>
              <w:kinsoku/>
              <w:overflowPunct/>
              <w:topLinePunct w:val="0"/>
              <w:bidi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资信技术分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2" w:type="dxa"/>
            <w:vAlign w:val="center"/>
          </w:tcPr>
          <w:p>
            <w:pPr>
              <w:pageBreakBefore w:val="0"/>
              <w:kinsoku/>
              <w:overflowPunct/>
              <w:topLinePunct w:val="0"/>
              <w:bidi w:val="0"/>
              <w:spacing w:line="360" w:lineRule="auto"/>
              <w:contextualSpacing w:val="0"/>
              <w:jc w:val="center"/>
              <w:rPr>
                <w:rFonts w:hint="eastAsia" w:ascii="宋体" w:hAnsi="宋体" w:eastAsia="宋体" w:cs="宋体"/>
                <w:b w:val="0"/>
                <w:bCs w:val="0"/>
                <w:color w:val="auto"/>
                <w:kern w:val="2"/>
                <w:sz w:val="21"/>
                <w:szCs w:val="21"/>
                <w:highlight w:val="none"/>
                <w:lang w:val="en-US" w:eastAsia="zh-CN" w:bidi="ar-SA"/>
              </w:rPr>
            </w:pPr>
          </w:p>
        </w:tc>
        <w:tc>
          <w:tcPr>
            <w:tcW w:w="1054" w:type="dxa"/>
            <w:vAlign w:val="center"/>
          </w:tcPr>
          <w:p>
            <w:pPr>
              <w:pageBreakBefore w:val="0"/>
              <w:widowControl/>
              <w:kinsoku/>
              <w:overflowPunct/>
              <w:topLinePunct w:val="0"/>
              <w:bidi w:val="0"/>
              <w:spacing w:line="360" w:lineRule="auto"/>
              <w:jc w:val="center"/>
              <w:rPr>
                <w:rFonts w:hint="eastAsia" w:ascii="宋体" w:hAnsi="宋体" w:eastAsia="宋体" w:cs="宋体"/>
                <w:b w:val="0"/>
                <w:bCs w:val="0"/>
                <w:color w:val="auto"/>
                <w:kern w:val="2"/>
                <w:sz w:val="21"/>
                <w:szCs w:val="21"/>
                <w:highlight w:val="none"/>
                <w:lang w:val="en-US" w:eastAsia="zh-CN" w:bidi="ar-SA"/>
              </w:rPr>
            </w:pPr>
          </w:p>
        </w:tc>
        <w:tc>
          <w:tcPr>
            <w:tcW w:w="663" w:type="dxa"/>
            <w:vAlign w:val="center"/>
          </w:tcPr>
          <w:p>
            <w:pPr>
              <w:pageBreakBefore w:val="0"/>
              <w:kinsoku/>
              <w:overflowPunct/>
              <w:topLinePunct w:val="0"/>
              <w:bidi w:val="0"/>
              <w:spacing w:line="360" w:lineRule="auto"/>
              <w:jc w:val="center"/>
              <w:rPr>
                <w:rFonts w:hint="eastAsia" w:ascii="宋体" w:hAnsi="宋体" w:eastAsia="宋体" w:cs="宋体"/>
                <w:b w:val="0"/>
                <w:bCs w:val="0"/>
                <w:color w:val="auto"/>
                <w:sz w:val="21"/>
                <w:szCs w:val="21"/>
                <w:highlight w:val="none"/>
                <w:lang w:val="en-US" w:eastAsia="zh-CN"/>
              </w:rPr>
            </w:pPr>
          </w:p>
        </w:tc>
        <w:tc>
          <w:tcPr>
            <w:tcW w:w="5087" w:type="dxa"/>
            <w:vAlign w:val="center"/>
          </w:tcPr>
          <w:p>
            <w:pPr>
              <w:pageBreakBefore w:val="0"/>
              <w:kinsoku/>
              <w:overflowPunct/>
              <w:topLinePunct w:val="0"/>
              <w:bidi w:val="0"/>
              <w:spacing w:line="360" w:lineRule="auto"/>
              <w:jc w:val="left"/>
              <w:rPr>
                <w:rFonts w:hint="eastAsia" w:ascii="宋体" w:hAnsi="宋体" w:eastAsia="宋体" w:cs="宋体"/>
                <w:b w:val="0"/>
                <w:bCs w:val="0"/>
                <w:color w:val="auto"/>
                <w:sz w:val="21"/>
                <w:szCs w:val="21"/>
                <w:highlight w:val="none"/>
              </w:rPr>
            </w:pPr>
          </w:p>
        </w:tc>
        <w:tc>
          <w:tcPr>
            <w:tcW w:w="750" w:type="dxa"/>
            <w:vAlign w:val="center"/>
          </w:tcPr>
          <w:p>
            <w:pPr>
              <w:pageBreakBefore w:val="0"/>
              <w:kinsoku/>
              <w:overflowPunct/>
              <w:topLinePunct w:val="0"/>
              <w:bidi w:val="0"/>
              <w:spacing w:line="360" w:lineRule="auto"/>
              <w:jc w:val="center"/>
              <w:rPr>
                <w:rFonts w:hint="eastAsia" w:ascii="宋体" w:hAnsi="宋体" w:eastAsia="宋体" w:cs="宋体"/>
                <w:b/>
                <w:bCs/>
                <w:color w:val="auto"/>
                <w:sz w:val="21"/>
                <w:szCs w:val="21"/>
                <w:highlight w:val="none"/>
              </w:rPr>
            </w:pPr>
          </w:p>
        </w:tc>
        <w:tc>
          <w:tcPr>
            <w:tcW w:w="771" w:type="dxa"/>
            <w:vAlign w:val="center"/>
          </w:tcPr>
          <w:p>
            <w:pPr>
              <w:pageBreakBefore w:val="0"/>
              <w:kinsoku/>
              <w:overflowPunct/>
              <w:topLinePunct w:val="0"/>
              <w:bidi w:val="0"/>
              <w:spacing w:line="360" w:lineRule="auto"/>
              <w:jc w:val="center"/>
              <w:rPr>
                <w:rFonts w:hint="eastAsia" w:ascii="宋体" w:hAnsi="宋体" w:eastAsia="宋体" w:cs="宋体"/>
                <w:b/>
                <w:bCs/>
                <w:color w:val="auto"/>
                <w:sz w:val="21"/>
                <w:szCs w:val="21"/>
                <w:highlight w:val="none"/>
              </w:rPr>
            </w:pPr>
          </w:p>
        </w:tc>
        <w:tc>
          <w:tcPr>
            <w:tcW w:w="661" w:type="dxa"/>
          </w:tcPr>
          <w:p>
            <w:pPr>
              <w:pageBreakBefore w:val="0"/>
              <w:kinsoku/>
              <w:overflowPunct/>
              <w:topLinePunct w:val="0"/>
              <w:bidi w:val="0"/>
              <w:spacing w:line="360" w:lineRule="auto"/>
              <w:jc w:val="center"/>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2" w:type="dxa"/>
            <w:vAlign w:val="center"/>
          </w:tcPr>
          <w:p>
            <w:pPr>
              <w:pageBreakBefore w:val="0"/>
              <w:kinsoku/>
              <w:overflowPunct/>
              <w:topLinePunct w:val="0"/>
              <w:bidi w:val="0"/>
              <w:spacing w:line="360" w:lineRule="auto"/>
              <w:contextualSpacing w:val="0"/>
              <w:jc w:val="center"/>
              <w:rPr>
                <w:rFonts w:hint="eastAsia" w:ascii="宋体" w:hAnsi="宋体" w:eastAsia="宋体" w:cs="宋体"/>
                <w:b w:val="0"/>
                <w:bCs w:val="0"/>
                <w:color w:val="auto"/>
                <w:kern w:val="2"/>
                <w:sz w:val="21"/>
                <w:szCs w:val="21"/>
                <w:highlight w:val="none"/>
                <w:lang w:val="en-US" w:eastAsia="zh-CN" w:bidi="ar-SA"/>
              </w:rPr>
            </w:pPr>
          </w:p>
        </w:tc>
        <w:tc>
          <w:tcPr>
            <w:tcW w:w="1054" w:type="dxa"/>
            <w:vAlign w:val="center"/>
          </w:tcPr>
          <w:p>
            <w:pPr>
              <w:pageBreakBefore w:val="0"/>
              <w:kinsoku/>
              <w:overflowPunct/>
              <w:topLinePunct w:val="0"/>
              <w:bidi w:val="0"/>
              <w:spacing w:line="360" w:lineRule="auto"/>
              <w:jc w:val="center"/>
              <w:rPr>
                <w:rFonts w:hint="eastAsia" w:ascii="宋体" w:hAnsi="宋体" w:eastAsia="宋体" w:cs="宋体"/>
                <w:b w:val="0"/>
                <w:bCs w:val="0"/>
                <w:color w:val="auto"/>
                <w:kern w:val="2"/>
                <w:sz w:val="21"/>
                <w:szCs w:val="21"/>
                <w:highlight w:val="none"/>
                <w:lang w:val="en-US" w:eastAsia="zh-CN" w:bidi="ar-SA"/>
              </w:rPr>
            </w:pPr>
          </w:p>
        </w:tc>
        <w:tc>
          <w:tcPr>
            <w:tcW w:w="663" w:type="dxa"/>
            <w:vAlign w:val="center"/>
          </w:tcPr>
          <w:p>
            <w:pPr>
              <w:pageBreakBefore w:val="0"/>
              <w:kinsoku/>
              <w:overflowPunct/>
              <w:topLinePunct w:val="0"/>
              <w:bidi w:val="0"/>
              <w:spacing w:line="360" w:lineRule="auto"/>
              <w:jc w:val="center"/>
              <w:rPr>
                <w:rFonts w:hint="eastAsia" w:ascii="宋体" w:hAnsi="宋体" w:eastAsia="宋体" w:cs="宋体"/>
                <w:b w:val="0"/>
                <w:bCs w:val="0"/>
                <w:color w:val="auto"/>
                <w:sz w:val="21"/>
                <w:szCs w:val="21"/>
                <w:highlight w:val="none"/>
                <w:lang w:val="en-US" w:eastAsia="zh-CN"/>
              </w:rPr>
            </w:pPr>
          </w:p>
        </w:tc>
        <w:tc>
          <w:tcPr>
            <w:tcW w:w="5087" w:type="dxa"/>
            <w:vAlign w:val="center"/>
          </w:tcPr>
          <w:p>
            <w:pPr>
              <w:pageBreakBefore w:val="0"/>
              <w:kinsoku/>
              <w:overflowPunct/>
              <w:topLinePunct w:val="0"/>
              <w:bidi w:val="0"/>
              <w:spacing w:line="360" w:lineRule="auto"/>
              <w:jc w:val="left"/>
              <w:rPr>
                <w:rFonts w:hint="eastAsia" w:ascii="宋体" w:hAnsi="宋体" w:eastAsia="宋体" w:cs="宋体"/>
                <w:b w:val="0"/>
                <w:bCs w:val="0"/>
                <w:color w:val="auto"/>
                <w:sz w:val="21"/>
                <w:szCs w:val="21"/>
                <w:highlight w:val="none"/>
              </w:rPr>
            </w:pPr>
          </w:p>
        </w:tc>
        <w:tc>
          <w:tcPr>
            <w:tcW w:w="750" w:type="dxa"/>
            <w:vAlign w:val="center"/>
          </w:tcPr>
          <w:p>
            <w:pPr>
              <w:pageBreakBefore w:val="0"/>
              <w:kinsoku/>
              <w:overflowPunct/>
              <w:topLinePunct w:val="0"/>
              <w:bidi w:val="0"/>
              <w:spacing w:line="360" w:lineRule="auto"/>
              <w:jc w:val="center"/>
              <w:rPr>
                <w:rFonts w:hint="eastAsia" w:ascii="宋体" w:hAnsi="宋体" w:eastAsia="宋体" w:cs="宋体"/>
                <w:b/>
                <w:bCs/>
                <w:color w:val="auto"/>
                <w:sz w:val="21"/>
                <w:szCs w:val="21"/>
                <w:highlight w:val="none"/>
              </w:rPr>
            </w:pPr>
          </w:p>
        </w:tc>
        <w:tc>
          <w:tcPr>
            <w:tcW w:w="771" w:type="dxa"/>
            <w:vAlign w:val="center"/>
          </w:tcPr>
          <w:p>
            <w:pPr>
              <w:pageBreakBefore w:val="0"/>
              <w:kinsoku/>
              <w:overflowPunct/>
              <w:topLinePunct w:val="0"/>
              <w:bidi w:val="0"/>
              <w:spacing w:line="360" w:lineRule="auto"/>
              <w:jc w:val="center"/>
              <w:rPr>
                <w:rFonts w:hint="eastAsia" w:ascii="宋体" w:hAnsi="宋体" w:eastAsia="宋体" w:cs="宋体"/>
                <w:b/>
                <w:bCs/>
                <w:color w:val="auto"/>
                <w:sz w:val="21"/>
                <w:szCs w:val="21"/>
                <w:highlight w:val="none"/>
              </w:rPr>
            </w:pPr>
          </w:p>
        </w:tc>
        <w:tc>
          <w:tcPr>
            <w:tcW w:w="661" w:type="dxa"/>
          </w:tcPr>
          <w:p>
            <w:pPr>
              <w:pageBreakBefore w:val="0"/>
              <w:kinsoku/>
              <w:overflowPunct/>
              <w:topLinePunct w:val="0"/>
              <w:bidi w:val="0"/>
              <w:spacing w:line="360" w:lineRule="auto"/>
              <w:jc w:val="center"/>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2" w:type="dxa"/>
            <w:vAlign w:val="center"/>
          </w:tcPr>
          <w:p>
            <w:pPr>
              <w:pageBreakBefore w:val="0"/>
              <w:kinsoku/>
              <w:overflowPunct/>
              <w:topLinePunct w:val="0"/>
              <w:bidi w:val="0"/>
              <w:spacing w:line="360" w:lineRule="auto"/>
              <w:contextualSpacing w:val="0"/>
              <w:jc w:val="center"/>
              <w:rPr>
                <w:rFonts w:hint="eastAsia" w:ascii="宋体" w:hAnsi="宋体" w:eastAsia="宋体" w:cs="宋体"/>
                <w:b w:val="0"/>
                <w:bCs w:val="0"/>
                <w:color w:val="auto"/>
                <w:kern w:val="2"/>
                <w:sz w:val="21"/>
                <w:szCs w:val="21"/>
                <w:highlight w:val="none"/>
                <w:lang w:val="en-US" w:eastAsia="zh-CN" w:bidi="ar-SA"/>
              </w:rPr>
            </w:pPr>
          </w:p>
        </w:tc>
        <w:tc>
          <w:tcPr>
            <w:tcW w:w="1054" w:type="dxa"/>
            <w:vAlign w:val="center"/>
          </w:tcPr>
          <w:p>
            <w:pPr>
              <w:pageBreakBefore w:val="0"/>
              <w:kinsoku/>
              <w:overflowPunct/>
              <w:topLinePunct w:val="0"/>
              <w:bidi w:val="0"/>
              <w:spacing w:line="360" w:lineRule="auto"/>
              <w:jc w:val="center"/>
              <w:rPr>
                <w:rFonts w:hint="eastAsia" w:ascii="宋体" w:hAnsi="宋体" w:eastAsia="宋体" w:cs="宋体"/>
                <w:b w:val="0"/>
                <w:bCs w:val="0"/>
                <w:color w:val="auto"/>
                <w:kern w:val="2"/>
                <w:sz w:val="21"/>
                <w:szCs w:val="21"/>
                <w:highlight w:val="none"/>
                <w:lang w:val="en-US" w:eastAsia="zh-CN" w:bidi="ar-SA"/>
              </w:rPr>
            </w:pPr>
          </w:p>
        </w:tc>
        <w:tc>
          <w:tcPr>
            <w:tcW w:w="663" w:type="dxa"/>
            <w:vAlign w:val="center"/>
          </w:tcPr>
          <w:p>
            <w:pPr>
              <w:pageBreakBefore w:val="0"/>
              <w:kinsoku/>
              <w:overflowPunct/>
              <w:topLinePunct w:val="0"/>
              <w:bidi w:val="0"/>
              <w:spacing w:line="360" w:lineRule="auto"/>
              <w:jc w:val="center"/>
              <w:rPr>
                <w:rFonts w:hint="eastAsia" w:ascii="宋体" w:hAnsi="宋体" w:eastAsia="宋体" w:cs="宋体"/>
                <w:b w:val="0"/>
                <w:bCs w:val="0"/>
                <w:color w:val="auto"/>
                <w:sz w:val="21"/>
                <w:szCs w:val="21"/>
                <w:highlight w:val="none"/>
                <w:lang w:val="en-US" w:eastAsia="zh-CN"/>
              </w:rPr>
            </w:pPr>
          </w:p>
        </w:tc>
        <w:tc>
          <w:tcPr>
            <w:tcW w:w="5087" w:type="dxa"/>
            <w:vAlign w:val="center"/>
          </w:tcPr>
          <w:p>
            <w:pPr>
              <w:pageBreakBefore w:val="0"/>
              <w:kinsoku/>
              <w:overflowPunct/>
              <w:topLinePunct w:val="0"/>
              <w:bidi w:val="0"/>
              <w:spacing w:line="360" w:lineRule="auto"/>
              <w:jc w:val="left"/>
              <w:rPr>
                <w:rFonts w:hint="eastAsia" w:ascii="宋体" w:hAnsi="宋体" w:eastAsia="宋体" w:cs="宋体"/>
                <w:b w:val="0"/>
                <w:bCs w:val="0"/>
                <w:color w:val="auto"/>
                <w:sz w:val="21"/>
                <w:szCs w:val="21"/>
                <w:highlight w:val="none"/>
              </w:rPr>
            </w:pPr>
          </w:p>
        </w:tc>
        <w:tc>
          <w:tcPr>
            <w:tcW w:w="750" w:type="dxa"/>
            <w:vAlign w:val="center"/>
          </w:tcPr>
          <w:p>
            <w:pPr>
              <w:pageBreakBefore w:val="0"/>
              <w:kinsoku/>
              <w:overflowPunct/>
              <w:topLinePunct w:val="0"/>
              <w:bidi w:val="0"/>
              <w:spacing w:line="360" w:lineRule="auto"/>
              <w:jc w:val="center"/>
              <w:rPr>
                <w:rFonts w:hint="eastAsia" w:ascii="宋体" w:hAnsi="宋体" w:eastAsia="宋体" w:cs="宋体"/>
                <w:b/>
                <w:bCs/>
                <w:color w:val="auto"/>
                <w:sz w:val="21"/>
                <w:szCs w:val="21"/>
                <w:highlight w:val="none"/>
              </w:rPr>
            </w:pPr>
          </w:p>
        </w:tc>
        <w:tc>
          <w:tcPr>
            <w:tcW w:w="771" w:type="dxa"/>
            <w:vAlign w:val="center"/>
          </w:tcPr>
          <w:p>
            <w:pPr>
              <w:pageBreakBefore w:val="0"/>
              <w:kinsoku/>
              <w:overflowPunct/>
              <w:topLinePunct w:val="0"/>
              <w:bidi w:val="0"/>
              <w:spacing w:line="360" w:lineRule="auto"/>
              <w:jc w:val="center"/>
              <w:rPr>
                <w:rFonts w:hint="eastAsia" w:ascii="宋体" w:hAnsi="宋体" w:eastAsia="宋体" w:cs="宋体"/>
                <w:b/>
                <w:bCs/>
                <w:color w:val="auto"/>
                <w:sz w:val="21"/>
                <w:szCs w:val="21"/>
                <w:highlight w:val="none"/>
              </w:rPr>
            </w:pPr>
          </w:p>
        </w:tc>
        <w:tc>
          <w:tcPr>
            <w:tcW w:w="661" w:type="dxa"/>
          </w:tcPr>
          <w:p>
            <w:pPr>
              <w:pageBreakBefore w:val="0"/>
              <w:kinsoku/>
              <w:overflowPunct/>
              <w:topLinePunct w:val="0"/>
              <w:bidi w:val="0"/>
              <w:spacing w:line="360" w:lineRule="auto"/>
              <w:jc w:val="center"/>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2" w:type="dxa"/>
            <w:vAlign w:val="center"/>
          </w:tcPr>
          <w:p>
            <w:pPr>
              <w:pageBreakBefore w:val="0"/>
              <w:kinsoku/>
              <w:overflowPunct/>
              <w:topLinePunct w:val="0"/>
              <w:bidi w:val="0"/>
              <w:spacing w:line="360" w:lineRule="auto"/>
              <w:contextualSpacing w:val="0"/>
              <w:jc w:val="center"/>
              <w:rPr>
                <w:rFonts w:hint="eastAsia" w:ascii="宋体" w:hAnsi="宋体" w:eastAsia="宋体" w:cs="宋体"/>
                <w:b w:val="0"/>
                <w:bCs w:val="0"/>
                <w:color w:val="auto"/>
                <w:kern w:val="2"/>
                <w:sz w:val="21"/>
                <w:szCs w:val="21"/>
                <w:highlight w:val="none"/>
                <w:lang w:val="en-US" w:eastAsia="zh-CN" w:bidi="ar-SA"/>
              </w:rPr>
            </w:pPr>
          </w:p>
        </w:tc>
        <w:tc>
          <w:tcPr>
            <w:tcW w:w="1054" w:type="dxa"/>
            <w:vAlign w:val="center"/>
          </w:tcPr>
          <w:p>
            <w:pPr>
              <w:pageBreakBefore w:val="0"/>
              <w:kinsoku/>
              <w:overflowPunct/>
              <w:topLinePunct w:val="0"/>
              <w:bidi w:val="0"/>
              <w:spacing w:line="360" w:lineRule="auto"/>
              <w:jc w:val="center"/>
              <w:rPr>
                <w:rFonts w:hint="eastAsia" w:ascii="宋体" w:hAnsi="宋体" w:eastAsia="宋体" w:cs="宋体"/>
                <w:b w:val="0"/>
                <w:bCs w:val="0"/>
                <w:color w:val="auto"/>
                <w:kern w:val="2"/>
                <w:sz w:val="21"/>
                <w:szCs w:val="21"/>
                <w:highlight w:val="none"/>
                <w:lang w:val="en-US" w:eastAsia="zh-CN" w:bidi="ar-SA"/>
              </w:rPr>
            </w:pPr>
          </w:p>
        </w:tc>
        <w:tc>
          <w:tcPr>
            <w:tcW w:w="663" w:type="dxa"/>
            <w:vAlign w:val="center"/>
          </w:tcPr>
          <w:p>
            <w:pPr>
              <w:pageBreakBefore w:val="0"/>
              <w:kinsoku/>
              <w:overflowPunct/>
              <w:topLinePunct w:val="0"/>
              <w:bidi w:val="0"/>
              <w:spacing w:line="360" w:lineRule="auto"/>
              <w:jc w:val="center"/>
              <w:rPr>
                <w:rFonts w:hint="eastAsia" w:ascii="宋体" w:hAnsi="宋体" w:eastAsia="宋体" w:cs="宋体"/>
                <w:b w:val="0"/>
                <w:bCs w:val="0"/>
                <w:color w:val="auto"/>
                <w:sz w:val="21"/>
                <w:szCs w:val="21"/>
                <w:highlight w:val="none"/>
                <w:lang w:val="en-US" w:eastAsia="zh-CN"/>
              </w:rPr>
            </w:pPr>
          </w:p>
        </w:tc>
        <w:tc>
          <w:tcPr>
            <w:tcW w:w="5087" w:type="dxa"/>
            <w:vAlign w:val="center"/>
          </w:tcPr>
          <w:p>
            <w:pPr>
              <w:pageBreakBefore w:val="0"/>
              <w:kinsoku/>
              <w:overflowPunct/>
              <w:topLinePunct w:val="0"/>
              <w:bidi w:val="0"/>
              <w:spacing w:line="360" w:lineRule="auto"/>
              <w:jc w:val="left"/>
              <w:rPr>
                <w:rFonts w:hint="eastAsia" w:ascii="宋体" w:hAnsi="宋体" w:eastAsia="宋体" w:cs="宋体"/>
                <w:b w:val="0"/>
                <w:bCs w:val="0"/>
                <w:color w:val="auto"/>
                <w:sz w:val="21"/>
                <w:szCs w:val="21"/>
                <w:highlight w:val="none"/>
              </w:rPr>
            </w:pPr>
          </w:p>
        </w:tc>
        <w:tc>
          <w:tcPr>
            <w:tcW w:w="750" w:type="dxa"/>
            <w:vAlign w:val="center"/>
          </w:tcPr>
          <w:p>
            <w:pPr>
              <w:pageBreakBefore w:val="0"/>
              <w:kinsoku/>
              <w:overflowPunct/>
              <w:topLinePunct w:val="0"/>
              <w:bidi w:val="0"/>
              <w:spacing w:line="360" w:lineRule="auto"/>
              <w:jc w:val="center"/>
              <w:rPr>
                <w:rFonts w:hint="eastAsia" w:ascii="宋体" w:hAnsi="宋体" w:eastAsia="宋体" w:cs="宋体"/>
                <w:b/>
                <w:bCs/>
                <w:color w:val="auto"/>
                <w:sz w:val="21"/>
                <w:szCs w:val="21"/>
                <w:highlight w:val="none"/>
              </w:rPr>
            </w:pPr>
          </w:p>
        </w:tc>
        <w:tc>
          <w:tcPr>
            <w:tcW w:w="771" w:type="dxa"/>
            <w:vAlign w:val="center"/>
          </w:tcPr>
          <w:p>
            <w:pPr>
              <w:pageBreakBefore w:val="0"/>
              <w:kinsoku/>
              <w:overflowPunct/>
              <w:topLinePunct w:val="0"/>
              <w:bidi w:val="0"/>
              <w:spacing w:line="360" w:lineRule="auto"/>
              <w:jc w:val="center"/>
              <w:rPr>
                <w:rFonts w:hint="eastAsia" w:ascii="宋体" w:hAnsi="宋体" w:eastAsia="宋体" w:cs="宋体"/>
                <w:b/>
                <w:bCs/>
                <w:color w:val="auto"/>
                <w:sz w:val="21"/>
                <w:szCs w:val="21"/>
                <w:highlight w:val="none"/>
              </w:rPr>
            </w:pPr>
          </w:p>
        </w:tc>
        <w:tc>
          <w:tcPr>
            <w:tcW w:w="661" w:type="dxa"/>
          </w:tcPr>
          <w:p>
            <w:pPr>
              <w:pageBreakBefore w:val="0"/>
              <w:kinsoku/>
              <w:overflowPunct/>
              <w:topLinePunct w:val="0"/>
              <w:bidi w:val="0"/>
              <w:spacing w:line="360" w:lineRule="auto"/>
              <w:jc w:val="center"/>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2" w:type="dxa"/>
            <w:vAlign w:val="center"/>
          </w:tcPr>
          <w:p>
            <w:pPr>
              <w:pageBreakBefore w:val="0"/>
              <w:kinsoku/>
              <w:overflowPunct/>
              <w:topLinePunct w:val="0"/>
              <w:bidi w:val="0"/>
              <w:spacing w:line="360" w:lineRule="auto"/>
              <w:contextualSpacing w:val="0"/>
              <w:jc w:val="center"/>
              <w:rPr>
                <w:rFonts w:hint="eastAsia" w:ascii="宋体" w:hAnsi="宋体" w:eastAsia="宋体" w:cs="宋体"/>
                <w:b w:val="0"/>
                <w:bCs w:val="0"/>
                <w:color w:val="auto"/>
                <w:kern w:val="2"/>
                <w:sz w:val="21"/>
                <w:szCs w:val="21"/>
                <w:highlight w:val="none"/>
                <w:lang w:val="en-US" w:eastAsia="zh-CN" w:bidi="ar-SA"/>
              </w:rPr>
            </w:pPr>
          </w:p>
        </w:tc>
        <w:tc>
          <w:tcPr>
            <w:tcW w:w="1054" w:type="dxa"/>
            <w:vAlign w:val="center"/>
          </w:tcPr>
          <w:p>
            <w:pPr>
              <w:pageBreakBefore w:val="0"/>
              <w:kinsoku/>
              <w:overflowPunct/>
              <w:topLinePunct w:val="0"/>
              <w:bidi w:val="0"/>
              <w:spacing w:line="360" w:lineRule="auto"/>
              <w:jc w:val="center"/>
              <w:rPr>
                <w:rFonts w:hint="eastAsia" w:ascii="宋体" w:hAnsi="宋体" w:eastAsia="宋体" w:cs="宋体"/>
                <w:b w:val="0"/>
                <w:bCs w:val="0"/>
                <w:color w:val="auto"/>
                <w:kern w:val="2"/>
                <w:sz w:val="21"/>
                <w:szCs w:val="21"/>
                <w:highlight w:val="none"/>
                <w:lang w:val="en-US" w:eastAsia="zh-CN" w:bidi="ar-SA"/>
              </w:rPr>
            </w:pPr>
          </w:p>
        </w:tc>
        <w:tc>
          <w:tcPr>
            <w:tcW w:w="663" w:type="dxa"/>
            <w:vAlign w:val="center"/>
          </w:tcPr>
          <w:p>
            <w:pPr>
              <w:pageBreakBefore w:val="0"/>
              <w:kinsoku/>
              <w:overflowPunct/>
              <w:topLinePunct w:val="0"/>
              <w:bidi w:val="0"/>
              <w:spacing w:line="360" w:lineRule="auto"/>
              <w:jc w:val="center"/>
              <w:rPr>
                <w:rFonts w:hint="eastAsia" w:ascii="宋体" w:hAnsi="宋体" w:eastAsia="宋体" w:cs="宋体"/>
                <w:b w:val="0"/>
                <w:bCs w:val="0"/>
                <w:color w:val="auto"/>
                <w:sz w:val="21"/>
                <w:szCs w:val="21"/>
                <w:highlight w:val="none"/>
                <w:lang w:val="en-US" w:eastAsia="zh-CN"/>
              </w:rPr>
            </w:pPr>
          </w:p>
        </w:tc>
        <w:tc>
          <w:tcPr>
            <w:tcW w:w="5087" w:type="dxa"/>
            <w:vAlign w:val="center"/>
          </w:tcPr>
          <w:p>
            <w:pPr>
              <w:pageBreakBefore w:val="0"/>
              <w:kinsoku/>
              <w:overflowPunct/>
              <w:topLinePunct w:val="0"/>
              <w:bidi w:val="0"/>
              <w:spacing w:line="360" w:lineRule="auto"/>
              <w:jc w:val="left"/>
              <w:rPr>
                <w:rFonts w:hint="eastAsia" w:ascii="宋体" w:hAnsi="宋体" w:eastAsia="宋体" w:cs="宋体"/>
                <w:b w:val="0"/>
                <w:bCs w:val="0"/>
                <w:color w:val="auto"/>
                <w:sz w:val="21"/>
                <w:szCs w:val="21"/>
                <w:highlight w:val="none"/>
              </w:rPr>
            </w:pPr>
          </w:p>
        </w:tc>
        <w:tc>
          <w:tcPr>
            <w:tcW w:w="750" w:type="dxa"/>
            <w:vAlign w:val="center"/>
          </w:tcPr>
          <w:p>
            <w:pPr>
              <w:pageBreakBefore w:val="0"/>
              <w:kinsoku/>
              <w:overflowPunct/>
              <w:topLinePunct w:val="0"/>
              <w:bidi w:val="0"/>
              <w:spacing w:line="360" w:lineRule="auto"/>
              <w:jc w:val="center"/>
              <w:rPr>
                <w:rFonts w:hint="eastAsia" w:ascii="宋体" w:hAnsi="宋体" w:eastAsia="宋体" w:cs="宋体"/>
                <w:b/>
                <w:bCs/>
                <w:color w:val="auto"/>
                <w:sz w:val="21"/>
                <w:szCs w:val="21"/>
                <w:highlight w:val="none"/>
              </w:rPr>
            </w:pPr>
          </w:p>
        </w:tc>
        <w:tc>
          <w:tcPr>
            <w:tcW w:w="771" w:type="dxa"/>
            <w:vAlign w:val="center"/>
          </w:tcPr>
          <w:p>
            <w:pPr>
              <w:pageBreakBefore w:val="0"/>
              <w:kinsoku/>
              <w:overflowPunct/>
              <w:topLinePunct w:val="0"/>
              <w:bidi w:val="0"/>
              <w:spacing w:line="360" w:lineRule="auto"/>
              <w:jc w:val="center"/>
              <w:rPr>
                <w:rFonts w:hint="eastAsia" w:ascii="宋体" w:hAnsi="宋体" w:eastAsia="宋体" w:cs="宋体"/>
                <w:b/>
                <w:bCs/>
                <w:color w:val="auto"/>
                <w:sz w:val="21"/>
                <w:szCs w:val="21"/>
                <w:highlight w:val="none"/>
              </w:rPr>
            </w:pPr>
          </w:p>
        </w:tc>
        <w:tc>
          <w:tcPr>
            <w:tcW w:w="661" w:type="dxa"/>
          </w:tcPr>
          <w:p>
            <w:pPr>
              <w:pageBreakBefore w:val="0"/>
              <w:kinsoku/>
              <w:overflowPunct/>
              <w:topLinePunct w:val="0"/>
              <w:bidi w:val="0"/>
              <w:spacing w:line="360" w:lineRule="auto"/>
              <w:jc w:val="center"/>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2" w:type="dxa"/>
            <w:vAlign w:val="center"/>
          </w:tcPr>
          <w:p>
            <w:pPr>
              <w:pageBreakBefore w:val="0"/>
              <w:kinsoku/>
              <w:overflowPunct/>
              <w:topLinePunct w:val="0"/>
              <w:bidi w:val="0"/>
              <w:spacing w:line="360" w:lineRule="auto"/>
              <w:contextualSpacing w:val="0"/>
              <w:jc w:val="center"/>
              <w:rPr>
                <w:rFonts w:hint="eastAsia" w:ascii="宋体" w:hAnsi="宋体" w:eastAsia="宋体" w:cs="宋体"/>
                <w:b w:val="0"/>
                <w:bCs w:val="0"/>
                <w:color w:val="auto"/>
                <w:kern w:val="2"/>
                <w:sz w:val="21"/>
                <w:szCs w:val="21"/>
                <w:highlight w:val="none"/>
                <w:lang w:val="en-US" w:eastAsia="zh-CN" w:bidi="ar-SA"/>
              </w:rPr>
            </w:pPr>
          </w:p>
        </w:tc>
        <w:tc>
          <w:tcPr>
            <w:tcW w:w="1054" w:type="dxa"/>
            <w:vAlign w:val="center"/>
          </w:tcPr>
          <w:p>
            <w:pPr>
              <w:pageBreakBefore w:val="0"/>
              <w:kinsoku/>
              <w:overflowPunct/>
              <w:topLinePunct w:val="0"/>
              <w:bidi w:val="0"/>
              <w:spacing w:line="360" w:lineRule="auto"/>
              <w:jc w:val="center"/>
              <w:rPr>
                <w:rFonts w:hint="eastAsia" w:ascii="宋体" w:hAnsi="宋体" w:eastAsia="宋体" w:cs="宋体"/>
                <w:b w:val="0"/>
                <w:bCs w:val="0"/>
                <w:color w:val="auto"/>
                <w:kern w:val="2"/>
                <w:sz w:val="21"/>
                <w:szCs w:val="21"/>
                <w:highlight w:val="none"/>
                <w:lang w:val="en-US" w:eastAsia="zh-CN" w:bidi="ar-SA"/>
              </w:rPr>
            </w:pPr>
          </w:p>
        </w:tc>
        <w:tc>
          <w:tcPr>
            <w:tcW w:w="663" w:type="dxa"/>
            <w:vAlign w:val="center"/>
          </w:tcPr>
          <w:p>
            <w:pPr>
              <w:pageBreakBefore w:val="0"/>
              <w:kinsoku/>
              <w:overflowPunct/>
              <w:topLinePunct w:val="0"/>
              <w:bidi w:val="0"/>
              <w:spacing w:line="360" w:lineRule="auto"/>
              <w:jc w:val="center"/>
              <w:rPr>
                <w:rFonts w:hint="eastAsia" w:ascii="宋体" w:hAnsi="宋体" w:eastAsia="宋体" w:cs="宋体"/>
                <w:b w:val="0"/>
                <w:bCs w:val="0"/>
                <w:color w:val="auto"/>
                <w:sz w:val="21"/>
                <w:szCs w:val="21"/>
                <w:highlight w:val="none"/>
                <w:lang w:val="en-US" w:eastAsia="zh-CN"/>
              </w:rPr>
            </w:pPr>
          </w:p>
        </w:tc>
        <w:tc>
          <w:tcPr>
            <w:tcW w:w="5087" w:type="dxa"/>
            <w:vAlign w:val="center"/>
          </w:tcPr>
          <w:p>
            <w:pPr>
              <w:pageBreakBefore w:val="0"/>
              <w:kinsoku/>
              <w:overflowPunct/>
              <w:topLinePunct w:val="0"/>
              <w:bidi w:val="0"/>
              <w:spacing w:line="360" w:lineRule="auto"/>
              <w:jc w:val="left"/>
              <w:rPr>
                <w:rFonts w:hint="eastAsia" w:ascii="宋体" w:hAnsi="宋体" w:eastAsia="宋体" w:cs="宋体"/>
                <w:b w:val="0"/>
                <w:bCs w:val="0"/>
                <w:color w:val="auto"/>
                <w:sz w:val="21"/>
                <w:szCs w:val="21"/>
                <w:highlight w:val="none"/>
              </w:rPr>
            </w:pPr>
          </w:p>
        </w:tc>
        <w:tc>
          <w:tcPr>
            <w:tcW w:w="750" w:type="dxa"/>
            <w:vAlign w:val="center"/>
          </w:tcPr>
          <w:p>
            <w:pPr>
              <w:pageBreakBefore w:val="0"/>
              <w:kinsoku/>
              <w:overflowPunct/>
              <w:topLinePunct w:val="0"/>
              <w:bidi w:val="0"/>
              <w:spacing w:line="360" w:lineRule="auto"/>
              <w:jc w:val="center"/>
              <w:rPr>
                <w:rFonts w:hint="eastAsia" w:ascii="宋体" w:hAnsi="宋体" w:eastAsia="宋体" w:cs="宋体"/>
                <w:b/>
                <w:bCs/>
                <w:color w:val="auto"/>
                <w:sz w:val="21"/>
                <w:szCs w:val="21"/>
                <w:highlight w:val="none"/>
              </w:rPr>
            </w:pPr>
          </w:p>
        </w:tc>
        <w:tc>
          <w:tcPr>
            <w:tcW w:w="771" w:type="dxa"/>
            <w:vAlign w:val="center"/>
          </w:tcPr>
          <w:p>
            <w:pPr>
              <w:pageBreakBefore w:val="0"/>
              <w:kinsoku/>
              <w:overflowPunct/>
              <w:topLinePunct w:val="0"/>
              <w:bidi w:val="0"/>
              <w:spacing w:line="360" w:lineRule="auto"/>
              <w:jc w:val="center"/>
              <w:rPr>
                <w:rFonts w:hint="eastAsia" w:ascii="宋体" w:hAnsi="宋体" w:eastAsia="宋体" w:cs="宋体"/>
                <w:b/>
                <w:bCs/>
                <w:color w:val="auto"/>
                <w:sz w:val="21"/>
                <w:szCs w:val="21"/>
                <w:highlight w:val="none"/>
              </w:rPr>
            </w:pPr>
          </w:p>
        </w:tc>
        <w:tc>
          <w:tcPr>
            <w:tcW w:w="661" w:type="dxa"/>
          </w:tcPr>
          <w:p>
            <w:pPr>
              <w:pageBreakBefore w:val="0"/>
              <w:kinsoku/>
              <w:overflowPunct/>
              <w:topLinePunct w:val="0"/>
              <w:bidi w:val="0"/>
              <w:spacing w:line="360" w:lineRule="auto"/>
              <w:jc w:val="center"/>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2" w:type="dxa"/>
            <w:vAlign w:val="center"/>
          </w:tcPr>
          <w:p>
            <w:pPr>
              <w:pageBreakBefore w:val="0"/>
              <w:kinsoku/>
              <w:overflowPunct/>
              <w:topLinePunct w:val="0"/>
              <w:bidi w:val="0"/>
              <w:spacing w:line="360" w:lineRule="auto"/>
              <w:contextualSpacing w:val="0"/>
              <w:jc w:val="center"/>
              <w:rPr>
                <w:rFonts w:hint="eastAsia" w:ascii="宋体" w:hAnsi="宋体" w:eastAsia="宋体" w:cs="宋体"/>
                <w:b w:val="0"/>
                <w:bCs w:val="0"/>
                <w:color w:val="auto"/>
                <w:kern w:val="2"/>
                <w:sz w:val="21"/>
                <w:szCs w:val="21"/>
                <w:highlight w:val="none"/>
                <w:lang w:val="en-US" w:eastAsia="zh-CN" w:bidi="ar-SA"/>
              </w:rPr>
            </w:pPr>
          </w:p>
        </w:tc>
        <w:tc>
          <w:tcPr>
            <w:tcW w:w="1054" w:type="dxa"/>
            <w:vAlign w:val="center"/>
          </w:tcPr>
          <w:p>
            <w:pPr>
              <w:pageBreakBefore w:val="0"/>
              <w:kinsoku/>
              <w:overflowPunct/>
              <w:topLinePunct w:val="0"/>
              <w:bidi w:val="0"/>
              <w:spacing w:line="360" w:lineRule="auto"/>
              <w:jc w:val="center"/>
              <w:rPr>
                <w:rFonts w:hint="eastAsia" w:ascii="宋体" w:hAnsi="宋体" w:eastAsia="宋体" w:cs="宋体"/>
                <w:b w:val="0"/>
                <w:bCs w:val="0"/>
                <w:color w:val="auto"/>
                <w:kern w:val="2"/>
                <w:sz w:val="21"/>
                <w:szCs w:val="21"/>
                <w:highlight w:val="none"/>
                <w:lang w:val="en-US" w:eastAsia="zh-CN" w:bidi="ar-SA"/>
              </w:rPr>
            </w:pPr>
          </w:p>
        </w:tc>
        <w:tc>
          <w:tcPr>
            <w:tcW w:w="663" w:type="dxa"/>
            <w:vAlign w:val="center"/>
          </w:tcPr>
          <w:p>
            <w:pPr>
              <w:pageBreakBefore w:val="0"/>
              <w:kinsoku/>
              <w:overflowPunct/>
              <w:topLinePunct w:val="0"/>
              <w:bidi w:val="0"/>
              <w:spacing w:line="360" w:lineRule="auto"/>
              <w:jc w:val="center"/>
              <w:rPr>
                <w:rFonts w:hint="eastAsia" w:ascii="宋体" w:hAnsi="宋体" w:eastAsia="宋体" w:cs="宋体"/>
                <w:b w:val="0"/>
                <w:bCs w:val="0"/>
                <w:color w:val="auto"/>
                <w:sz w:val="21"/>
                <w:szCs w:val="21"/>
                <w:highlight w:val="none"/>
                <w:lang w:val="en-US" w:eastAsia="zh-CN"/>
              </w:rPr>
            </w:pPr>
          </w:p>
        </w:tc>
        <w:tc>
          <w:tcPr>
            <w:tcW w:w="5087" w:type="dxa"/>
            <w:vAlign w:val="center"/>
          </w:tcPr>
          <w:p>
            <w:pPr>
              <w:pageBreakBefore w:val="0"/>
              <w:kinsoku/>
              <w:overflowPunct/>
              <w:topLinePunct w:val="0"/>
              <w:bidi w:val="0"/>
              <w:spacing w:line="360" w:lineRule="auto"/>
              <w:jc w:val="left"/>
              <w:rPr>
                <w:rFonts w:hint="eastAsia" w:ascii="宋体" w:hAnsi="宋体" w:eastAsia="宋体" w:cs="宋体"/>
                <w:b w:val="0"/>
                <w:bCs w:val="0"/>
                <w:color w:val="auto"/>
                <w:sz w:val="21"/>
                <w:szCs w:val="21"/>
                <w:highlight w:val="none"/>
              </w:rPr>
            </w:pPr>
          </w:p>
        </w:tc>
        <w:tc>
          <w:tcPr>
            <w:tcW w:w="750" w:type="dxa"/>
            <w:vAlign w:val="center"/>
          </w:tcPr>
          <w:p>
            <w:pPr>
              <w:pageBreakBefore w:val="0"/>
              <w:kinsoku/>
              <w:overflowPunct/>
              <w:topLinePunct w:val="0"/>
              <w:bidi w:val="0"/>
              <w:spacing w:line="360" w:lineRule="auto"/>
              <w:rPr>
                <w:rFonts w:hint="eastAsia" w:ascii="宋体" w:hAnsi="宋体" w:eastAsia="宋体" w:cs="宋体"/>
                <w:b/>
                <w:bCs/>
                <w:color w:val="auto"/>
                <w:sz w:val="21"/>
                <w:szCs w:val="21"/>
                <w:highlight w:val="none"/>
              </w:rPr>
            </w:pPr>
          </w:p>
        </w:tc>
        <w:tc>
          <w:tcPr>
            <w:tcW w:w="771" w:type="dxa"/>
            <w:vAlign w:val="center"/>
          </w:tcPr>
          <w:p>
            <w:pPr>
              <w:pageBreakBefore w:val="0"/>
              <w:kinsoku/>
              <w:overflowPunct/>
              <w:topLinePunct w:val="0"/>
              <w:bidi w:val="0"/>
              <w:spacing w:line="360" w:lineRule="auto"/>
              <w:rPr>
                <w:rFonts w:hint="eastAsia" w:ascii="宋体" w:hAnsi="宋体" w:eastAsia="宋体" w:cs="宋体"/>
                <w:b/>
                <w:bCs/>
                <w:color w:val="auto"/>
                <w:sz w:val="21"/>
                <w:szCs w:val="21"/>
                <w:highlight w:val="none"/>
              </w:rPr>
            </w:pPr>
          </w:p>
        </w:tc>
        <w:tc>
          <w:tcPr>
            <w:tcW w:w="661" w:type="dxa"/>
          </w:tcPr>
          <w:p>
            <w:pPr>
              <w:pageBreakBefore w:val="0"/>
              <w:kinsoku/>
              <w:overflowPunct/>
              <w:topLinePunct w:val="0"/>
              <w:bidi w:val="0"/>
              <w:spacing w:line="360" w:lineRule="auto"/>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2" w:type="dxa"/>
            <w:vAlign w:val="center"/>
          </w:tcPr>
          <w:p>
            <w:pPr>
              <w:pageBreakBefore w:val="0"/>
              <w:kinsoku/>
              <w:overflowPunct/>
              <w:topLinePunct w:val="0"/>
              <w:bidi w:val="0"/>
              <w:spacing w:line="360" w:lineRule="auto"/>
              <w:jc w:val="center"/>
              <w:rPr>
                <w:rFonts w:hint="eastAsia" w:ascii="宋体" w:hAnsi="宋体" w:eastAsia="宋体" w:cs="宋体"/>
                <w:b w:val="0"/>
                <w:bCs w:val="0"/>
                <w:color w:val="auto"/>
                <w:kern w:val="2"/>
                <w:sz w:val="21"/>
                <w:szCs w:val="21"/>
                <w:highlight w:val="none"/>
                <w:lang w:val="en-US" w:eastAsia="zh-CN" w:bidi="ar-SA"/>
              </w:rPr>
            </w:pPr>
          </w:p>
        </w:tc>
        <w:tc>
          <w:tcPr>
            <w:tcW w:w="1054" w:type="dxa"/>
            <w:vAlign w:val="center"/>
          </w:tcPr>
          <w:p>
            <w:pPr>
              <w:pageBreakBefore w:val="0"/>
              <w:kinsoku/>
              <w:overflowPunct/>
              <w:topLinePunct w:val="0"/>
              <w:bidi w:val="0"/>
              <w:spacing w:line="360" w:lineRule="auto"/>
              <w:jc w:val="center"/>
              <w:rPr>
                <w:rFonts w:hint="eastAsia" w:ascii="宋体" w:hAnsi="宋体" w:eastAsia="宋体" w:cs="宋体"/>
                <w:b w:val="0"/>
                <w:bCs w:val="0"/>
                <w:color w:val="auto"/>
                <w:kern w:val="2"/>
                <w:sz w:val="21"/>
                <w:szCs w:val="21"/>
                <w:highlight w:val="none"/>
                <w:lang w:val="en-US" w:eastAsia="zh-CN" w:bidi="ar-SA"/>
              </w:rPr>
            </w:pPr>
          </w:p>
        </w:tc>
        <w:tc>
          <w:tcPr>
            <w:tcW w:w="663" w:type="dxa"/>
            <w:vAlign w:val="center"/>
          </w:tcPr>
          <w:p>
            <w:pPr>
              <w:pageBreakBefore w:val="0"/>
              <w:kinsoku/>
              <w:overflowPunct/>
              <w:topLinePunct w:val="0"/>
              <w:bidi w:val="0"/>
              <w:spacing w:line="360" w:lineRule="auto"/>
              <w:jc w:val="center"/>
              <w:rPr>
                <w:rFonts w:hint="eastAsia" w:ascii="宋体" w:hAnsi="宋体" w:eastAsia="宋体" w:cs="宋体"/>
                <w:b w:val="0"/>
                <w:bCs w:val="0"/>
                <w:color w:val="auto"/>
                <w:sz w:val="21"/>
                <w:szCs w:val="21"/>
                <w:highlight w:val="none"/>
                <w:lang w:val="en-US" w:eastAsia="zh-CN"/>
              </w:rPr>
            </w:pPr>
          </w:p>
        </w:tc>
        <w:tc>
          <w:tcPr>
            <w:tcW w:w="5087" w:type="dxa"/>
            <w:vAlign w:val="center"/>
          </w:tcPr>
          <w:p>
            <w:pPr>
              <w:pageBreakBefore w:val="0"/>
              <w:kinsoku/>
              <w:overflowPunct/>
              <w:topLinePunct w:val="0"/>
              <w:bidi w:val="0"/>
              <w:spacing w:line="360" w:lineRule="auto"/>
              <w:jc w:val="left"/>
              <w:rPr>
                <w:rFonts w:hint="eastAsia" w:ascii="宋体" w:hAnsi="宋体" w:eastAsia="宋体" w:cs="宋体"/>
                <w:b w:val="0"/>
                <w:bCs w:val="0"/>
                <w:color w:val="auto"/>
                <w:sz w:val="21"/>
                <w:szCs w:val="21"/>
                <w:highlight w:val="none"/>
              </w:rPr>
            </w:pPr>
          </w:p>
        </w:tc>
        <w:tc>
          <w:tcPr>
            <w:tcW w:w="750" w:type="dxa"/>
            <w:vAlign w:val="center"/>
          </w:tcPr>
          <w:p>
            <w:pPr>
              <w:pageBreakBefore w:val="0"/>
              <w:kinsoku/>
              <w:overflowPunct/>
              <w:topLinePunct w:val="0"/>
              <w:bidi w:val="0"/>
              <w:spacing w:line="360" w:lineRule="auto"/>
              <w:rPr>
                <w:rFonts w:hint="eastAsia" w:ascii="宋体" w:hAnsi="宋体" w:eastAsia="宋体" w:cs="宋体"/>
                <w:b/>
                <w:bCs/>
                <w:color w:val="auto"/>
                <w:sz w:val="21"/>
                <w:szCs w:val="21"/>
                <w:highlight w:val="none"/>
              </w:rPr>
            </w:pPr>
          </w:p>
        </w:tc>
        <w:tc>
          <w:tcPr>
            <w:tcW w:w="771" w:type="dxa"/>
            <w:vAlign w:val="center"/>
          </w:tcPr>
          <w:p>
            <w:pPr>
              <w:pageBreakBefore w:val="0"/>
              <w:kinsoku/>
              <w:overflowPunct/>
              <w:topLinePunct w:val="0"/>
              <w:bidi w:val="0"/>
              <w:spacing w:line="360" w:lineRule="auto"/>
              <w:rPr>
                <w:rFonts w:hint="eastAsia" w:ascii="宋体" w:hAnsi="宋体" w:eastAsia="宋体" w:cs="宋体"/>
                <w:b/>
                <w:bCs/>
                <w:color w:val="auto"/>
                <w:sz w:val="21"/>
                <w:szCs w:val="21"/>
                <w:highlight w:val="none"/>
              </w:rPr>
            </w:pPr>
          </w:p>
        </w:tc>
        <w:tc>
          <w:tcPr>
            <w:tcW w:w="661" w:type="dxa"/>
          </w:tcPr>
          <w:p>
            <w:pPr>
              <w:pageBreakBefore w:val="0"/>
              <w:kinsoku/>
              <w:overflowPunct/>
              <w:topLinePunct w:val="0"/>
              <w:bidi w:val="0"/>
              <w:spacing w:line="360" w:lineRule="auto"/>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2" w:type="dxa"/>
            <w:vAlign w:val="center"/>
          </w:tcPr>
          <w:p>
            <w:pPr>
              <w:pageBreakBefore w:val="0"/>
              <w:kinsoku/>
              <w:overflowPunct/>
              <w:topLinePunct w:val="0"/>
              <w:bidi w:val="0"/>
              <w:spacing w:line="360" w:lineRule="auto"/>
              <w:rPr>
                <w:rFonts w:hint="eastAsia" w:ascii="宋体" w:hAnsi="宋体" w:eastAsia="宋体" w:cs="宋体"/>
                <w:b/>
                <w:bCs/>
                <w:color w:val="auto"/>
                <w:sz w:val="21"/>
                <w:szCs w:val="21"/>
                <w:highlight w:val="none"/>
              </w:rPr>
            </w:pPr>
          </w:p>
        </w:tc>
        <w:tc>
          <w:tcPr>
            <w:tcW w:w="1054" w:type="dxa"/>
            <w:vAlign w:val="center"/>
          </w:tcPr>
          <w:p>
            <w:pPr>
              <w:pageBreakBefore w:val="0"/>
              <w:kinsoku/>
              <w:overflowPunct/>
              <w:topLinePunct w:val="0"/>
              <w:bidi w:val="0"/>
              <w:spacing w:line="360" w:lineRule="auto"/>
              <w:rPr>
                <w:rFonts w:hint="eastAsia" w:ascii="宋体" w:hAnsi="宋体" w:eastAsia="宋体" w:cs="宋体"/>
                <w:b/>
                <w:bCs/>
                <w:color w:val="auto"/>
                <w:sz w:val="21"/>
                <w:szCs w:val="21"/>
                <w:highlight w:val="none"/>
              </w:rPr>
            </w:pPr>
          </w:p>
        </w:tc>
        <w:tc>
          <w:tcPr>
            <w:tcW w:w="663" w:type="dxa"/>
            <w:vAlign w:val="center"/>
          </w:tcPr>
          <w:p>
            <w:pPr>
              <w:pageBreakBefore w:val="0"/>
              <w:kinsoku/>
              <w:overflowPunct/>
              <w:topLinePunct w:val="0"/>
              <w:bidi w:val="0"/>
              <w:spacing w:line="360" w:lineRule="auto"/>
              <w:rPr>
                <w:rFonts w:hint="eastAsia" w:ascii="宋体" w:hAnsi="宋体" w:eastAsia="宋体" w:cs="宋体"/>
                <w:b/>
                <w:bCs/>
                <w:color w:val="auto"/>
                <w:sz w:val="21"/>
                <w:szCs w:val="21"/>
                <w:highlight w:val="none"/>
              </w:rPr>
            </w:pPr>
          </w:p>
        </w:tc>
        <w:tc>
          <w:tcPr>
            <w:tcW w:w="5087" w:type="dxa"/>
            <w:vAlign w:val="center"/>
          </w:tcPr>
          <w:p>
            <w:pPr>
              <w:pageBreakBefore w:val="0"/>
              <w:kinsoku/>
              <w:overflowPunct/>
              <w:topLinePunct w:val="0"/>
              <w:bidi w:val="0"/>
              <w:spacing w:line="360" w:lineRule="auto"/>
              <w:rPr>
                <w:rFonts w:hint="eastAsia" w:ascii="宋体" w:hAnsi="宋体" w:eastAsia="宋体" w:cs="宋体"/>
                <w:b/>
                <w:bCs/>
                <w:color w:val="auto"/>
                <w:sz w:val="21"/>
                <w:szCs w:val="21"/>
                <w:highlight w:val="none"/>
              </w:rPr>
            </w:pPr>
          </w:p>
        </w:tc>
        <w:tc>
          <w:tcPr>
            <w:tcW w:w="750" w:type="dxa"/>
            <w:vAlign w:val="center"/>
          </w:tcPr>
          <w:p>
            <w:pPr>
              <w:pageBreakBefore w:val="0"/>
              <w:kinsoku/>
              <w:overflowPunct/>
              <w:topLinePunct w:val="0"/>
              <w:bidi w:val="0"/>
              <w:spacing w:line="360" w:lineRule="auto"/>
              <w:rPr>
                <w:rFonts w:hint="eastAsia" w:ascii="宋体" w:hAnsi="宋体" w:eastAsia="宋体" w:cs="宋体"/>
                <w:b/>
                <w:bCs/>
                <w:color w:val="auto"/>
                <w:sz w:val="21"/>
                <w:szCs w:val="21"/>
                <w:highlight w:val="none"/>
              </w:rPr>
            </w:pPr>
          </w:p>
        </w:tc>
        <w:tc>
          <w:tcPr>
            <w:tcW w:w="771" w:type="dxa"/>
            <w:vAlign w:val="center"/>
          </w:tcPr>
          <w:p>
            <w:pPr>
              <w:pageBreakBefore w:val="0"/>
              <w:kinsoku/>
              <w:overflowPunct/>
              <w:topLinePunct w:val="0"/>
              <w:bidi w:val="0"/>
              <w:spacing w:line="360" w:lineRule="auto"/>
              <w:rPr>
                <w:rFonts w:hint="eastAsia" w:ascii="宋体" w:hAnsi="宋体" w:eastAsia="宋体" w:cs="宋体"/>
                <w:b/>
                <w:bCs/>
                <w:color w:val="auto"/>
                <w:sz w:val="21"/>
                <w:szCs w:val="21"/>
                <w:highlight w:val="none"/>
              </w:rPr>
            </w:pPr>
          </w:p>
        </w:tc>
        <w:tc>
          <w:tcPr>
            <w:tcW w:w="661" w:type="dxa"/>
          </w:tcPr>
          <w:p>
            <w:pPr>
              <w:pageBreakBefore w:val="0"/>
              <w:kinsoku/>
              <w:overflowPunct/>
              <w:topLinePunct w:val="0"/>
              <w:bidi w:val="0"/>
              <w:spacing w:line="360" w:lineRule="auto"/>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2" w:type="dxa"/>
            <w:vAlign w:val="center"/>
          </w:tcPr>
          <w:p>
            <w:pPr>
              <w:pageBreakBefore w:val="0"/>
              <w:kinsoku/>
              <w:overflowPunct/>
              <w:topLinePunct w:val="0"/>
              <w:bidi w:val="0"/>
              <w:spacing w:line="360" w:lineRule="auto"/>
              <w:rPr>
                <w:rFonts w:hint="eastAsia" w:ascii="宋体" w:hAnsi="宋体" w:eastAsia="宋体" w:cs="宋体"/>
                <w:b/>
                <w:bCs/>
                <w:color w:val="auto"/>
                <w:sz w:val="21"/>
                <w:szCs w:val="21"/>
                <w:highlight w:val="none"/>
              </w:rPr>
            </w:pPr>
          </w:p>
        </w:tc>
        <w:tc>
          <w:tcPr>
            <w:tcW w:w="1054" w:type="dxa"/>
            <w:vAlign w:val="center"/>
          </w:tcPr>
          <w:p>
            <w:pPr>
              <w:pageBreakBefore w:val="0"/>
              <w:kinsoku/>
              <w:overflowPunct/>
              <w:topLinePunct w:val="0"/>
              <w:bidi w:val="0"/>
              <w:spacing w:line="360" w:lineRule="auto"/>
              <w:rPr>
                <w:rFonts w:hint="eastAsia" w:ascii="宋体" w:hAnsi="宋体" w:eastAsia="宋体" w:cs="宋体"/>
                <w:b/>
                <w:bCs/>
                <w:color w:val="auto"/>
                <w:sz w:val="21"/>
                <w:szCs w:val="21"/>
                <w:highlight w:val="none"/>
              </w:rPr>
            </w:pPr>
          </w:p>
        </w:tc>
        <w:tc>
          <w:tcPr>
            <w:tcW w:w="663" w:type="dxa"/>
            <w:vAlign w:val="center"/>
          </w:tcPr>
          <w:p>
            <w:pPr>
              <w:pageBreakBefore w:val="0"/>
              <w:kinsoku/>
              <w:overflowPunct/>
              <w:topLinePunct w:val="0"/>
              <w:bidi w:val="0"/>
              <w:spacing w:line="360" w:lineRule="auto"/>
              <w:rPr>
                <w:rFonts w:hint="eastAsia" w:ascii="宋体" w:hAnsi="宋体" w:eastAsia="宋体" w:cs="宋体"/>
                <w:b/>
                <w:bCs/>
                <w:color w:val="auto"/>
                <w:sz w:val="21"/>
                <w:szCs w:val="21"/>
                <w:highlight w:val="none"/>
              </w:rPr>
            </w:pPr>
          </w:p>
        </w:tc>
        <w:tc>
          <w:tcPr>
            <w:tcW w:w="5087" w:type="dxa"/>
            <w:vAlign w:val="center"/>
          </w:tcPr>
          <w:p>
            <w:pPr>
              <w:pageBreakBefore w:val="0"/>
              <w:kinsoku/>
              <w:overflowPunct/>
              <w:topLinePunct w:val="0"/>
              <w:bidi w:val="0"/>
              <w:spacing w:line="360" w:lineRule="auto"/>
              <w:rPr>
                <w:rFonts w:hint="eastAsia" w:ascii="宋体" w:hAnsi="宋体" w:eastAsia="宋体" w:cs="宋体"/>
                <w:b/>
                <w:bCs/>
                <w:color w:val="auto"/>
                <w:sz w:val="21"/>
                <w:szCs w:val="21"/>
                <w:highlight w:val="none"/>
              </w:rPr>
            </w:pPr>
          </w:p>
        </w:tc>
        <w:tc>
          <w:tcPr>
            <w:tcW w:w="750" w:type="dxa"/>
            <w:vAlign w:val="center"/>
          </w:tcPr>
          <w:p>
            <w:pPr>
              <w:pageBreakBefore w:val="0"/>
              <w:kinsoku/>
              <w:overflowPunct/>
              <w:topLinePunct w:val="0"/>
              <w:bidi w:val="0"/>
              <w:spacing w:line="360" w:lineRule="auto"/>
              <w:rPr>
                <w:rFonts w:hint="eastAsia" w:ascii="宋体" w:hAnsi="宋体" w:eastAsia="宋体" w:cs="宋体"/>
                <w:b/>
                <w:bCs/>
                <w:color w:val="auto"/>
                <w:sz w:val="21"/>
                <w:szCs w:val="21"/>
                <w:highlight w:val="none"/>
              </w:rPr>
            </w:pPr>
          </w:p>
        </w:tc>
        <w:tc>
          <w:tcPr>
            <w:tcW w:w="771" w:type="dxa"/>
            <w:vAlign w:val="center"/>
          </w:tcPr>
          <w:p>
            <w:pPr>
              <w:pageBreakBefore w:val="0"/>
              <w:kinsoku/>
              <w:overflowPunct/>
              <w:topLinePunct w:val="0"/>
              <w:bidi w:val="0"/>
              <w:spacing w:line="360" w:lineRule="auto"/>
              <w:rPr>
                <w:rFonts w:hint="eastAsia" w:ascii="宋体" w:hAnsi="宋体" w:eastAsia="宋体" w:cs="宋体"/>
                <w:b/>
                <w:bCs/>
                <w:color w:val="auto"/>
                <w:sz w:val="21"/>
                <w:szCs w:val="21"/>
                <w:highlight w:val="none"/>
              </w:rPr>
            </w:pPr>
          </w:p>
        </w:tc>
        <w:tc>
          <w:tcPr>
            <w:tcW w:w="661" w:type="dxa"/>
          </w:tcPr>
          <w:p>
            <w:pPr>
              <w:pageBreakBefore w:val="0"/>
              <w:kinsoku/>
              <w:overflowPunct/>
              <w:topLinePunct w:val="0"/>
              <w:bidi w:val="0"/>
              <w:spacing w:line="360" w:lineRule="auto"/>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2" w:type="dxa"/>
            <w:vAlign w:val="center"/>
          </w:tcPr>
          <w:p>
            <w:pPr>
              <w:pageBreakBefore w:val="0"/>
              <w:kinsoku/>
              <w:overflowPunct/>
              <w:topLinePunct w:val="0"/>
              <w:bidi w:val="0"/>
              <w:spacing w:line="360" w:lineRule="auto"/>
              <w:rPr>
                <w:rFonts w:hint="eastAsia" w:ascii="宋体" w:hAnsi="宋体" w:eastAsia="宋体" w:cs="宋体"/>
                <w:b/>
                <w:bCs/>
                <w:color w:val="auto"/>
                <w:sz w:val="21"/>
                <w:szCs w:val="21"/>
                <w:highlight w:val="none"/>
              </w:rPr>
            </w:pPr>
          </w:p>
        </w:tc>
        <w:tc>
          <w:tcPr>
            <w:tcW w:w="1054" w:type="dxa"/>
            <w:vAlign w:val="center"/>
          </w:tcPr>
          <w:p>
            <w:pPr>
              <w:pageBreakBefore w:val="0"/>
              <w:kinsoku/>
              <w:overflowPunct/>
              <w:topLinePunct w:val="0"/>
              <w:bidi w:val="0"/>
              <w:spacing w:line="360" w:lineRule="auto"/>
              <w:rPr>
                <w:rFonts w:hint="eastAsia" w:ascii="宋体" w:hAnsi="宋体" w:eastAsia="宋体" w:cs="宋体"/>
                <w:b/>
                <w:bCs/>
                <w:color w:val="auto"/>
                <w:sz w:val="21"/>
                <w:szCs w:val="21"/>
                <w:highlight w:val="none"/>
              </w:rPr>
            </w:pPr>
          </w:p>
        </w:tc>
        <w:tc>
          <w:tcPr>
            <w:tcW w:w="663" w:type="dxa"/>
            <w:vAlign w:val="center"/>
          </w:tcPr>
          <w:p>
            <w:pPr>
              <w:pageBreakBefore w:val="0"/>
              <w:kinsoku/>
              <w:overflowPunct/>
              <w:topLinePunct w:val="0"/>
              <w:bidi w:val="0"/>
              <w:spacing w:line="360" w:lineRule="auto"/>
              <w:rPr>
                <w:rFonts w:hint="eastAsia" w:ascii="宋体" w:hAnsi="宋体" w:eastAsia="宋体" w:cs="宋体"/>
                <w:b/>
                <w:bCs/>
                <w:color w:val="auto"/>
                <w:sz w:val="21"/>
                <w:szCs w:val="21"/>
                <w:highlight w:val="none"/>
              </w:rPr>
            </w:pPr>
          </w:p>
        </w:tc>
        <w:tc>
          <w:tcPr>
            <w:tcW w:w="5087" w:type="dxa"/>
            <w:vAlign w:val="center"/>
          </w:tcPr>
          <w:p>
            <w:pPr>
              <w:pageBreakBefore w:val="0"/>
              <w:kinsoku/>
              <w:overflowPunct/>
              <w:topLinePunct w:val="0"/>
              <w:bidi w:val="0"/>
              <w:spacing w:line="360" w:lineRule="auto"/>
              <w:rPr>
                <w:rFonts w:hint="eastAsia" w:ascii="宋体" w:hAnsi="宋体" w:eastAsia="宋体" w:cs="宋体"/>
                <w:b/>
                <w:bCs/>
                <w:color w:val="auto"/>
                <w:sz w:val="21"/>
                <w:szCs w:val="21"/>
                <w:highlight w:val="none"/>
              </w:rPr>
            </w:pPr>
          </w:p>
        </w:tc>
        <w:tc>
          <w:tcPr>
            <w:tcW w:w="750" w:type="dxa"/>
            <w:vAlign w:val="center"/>
          </w:tcPr>
          <w:p>
            <w:pPr>
              <w:pageBreakBefore w:val="0"/>
              <w:kinsoku/>
              <w:overflowPunct/>
              <w:topLinePunct w:val="0"/>
              <w:bidi w:val="0"/>
              <w:spacing w:line="360" w:lineRule="auto"/>
              <w:rPr>
                <w:rFonts w:hint="eastAsia" w:ascii="宋体" w:hAnsi="宋体" w:eastAsia="宋体" w:cs="宋体"/>
                <w:b/>
                <w:bCs/>
                <w:color w:val="auto"/>
                <w:sz w:val="21"/>
                <w:szCs w:val="21"/>
                <w:highlight w:val="none"/>
              </w:rPr>
            </w:pPr>
          </w:p>
        </w:tc>
        <w:tc>
          <w:tcPr>
            <w:tcW w:w="771" w:type="dxa"/>
            <w:vAlign w:val="center"/>
          </w:tcPr>
          <w:p>
            <w:pPr>
              <w:pageBreakBefore w:val="0"/>
              <w:kinsoku/>
              <w:overflowPunct/>
              <w:topLinePunct w:val="0"/>
              <w:bidi w:val="0"/>
              <w:spacing w:line="360" w:lineRule="auto"/>
              <w:rPr>
                <w:rFonts w:hint="eastAsia" w:ascii="宋体" w:hAnsi="宋体" w:eastAsia="宋体" w:cs="宋体"/>
                <w:b/>
                <w:bCs/>
                <w:color w:val="auto"/>
                <w:sz w:val="21"/>
                <w:szCs w:val="21"/>
                <w:highlight w:val="none"/>
              </w:rPr>
            </w:pPr>
          </w:p>
        </w:tc>
        <w:tc>
          <w:tcPr>
            <w:tcW w:w="661" w:type="dxa"/>
          </w:tcPr>
          <w:p>
            <w:pPr>
              <w:pageBreakBefore w:val="0"/>
              <w:kinsoku/>
              <w:overflowPunct/>
              <w:topLinePunct w:val="0"/>
              <w:bidi w:val="0"/>
              <w:spacing w:line="360" w:lineRule="auto"/>
              <w:rPr>
                <w:rFonts w:hint="eastAsia" w:ascii="宋体" w:hAnsi="宋体" w:eastAsia="宋体" w:cs="宋体"/>
                <w:b/>
                <w:bCs/>
                <w:color w:val="auto"/>
                <w:sz w:val="21"/>
                <w:szCs w:val="21"/>
                <w:highlight w:val="none"/>
              </w:rPr>
            </w:pPr>
          </w:p>
        </w:tc>
      </w:tr>
    </w:tbl>
    <w:p>
      <w:pPr>
        <w:pageBreakBefore w:val="0"/>
        <w:kinsoku/>
        <w:overflowPunct/>
        <w:topLinePunct w:val="0"/>
        <w:bidi w:val="0"/>
        <w:spacing w:line="360" w:lineRule="auto"/>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备注：本表仅为方便评标委员会评审使用，不作为判别投标文件是否有效的依据。</w:t>
      </w:r>
    </w:p>
    <w:p>
      <w:pPr>
        <w:pStyle w:val="9"/>
        <w:rPr>
          <w:rFonts w:hint="eastAsia"/>
          <w:sz w:val="21"/>
          <w:szCs w:val="21"/>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color w:val="auto"/>
          <w:spacing w:val="-6"/>
          <w:sz w:val="24"/>
          <w:highlight w:val="none"/>
        </w:rPr>
      </w:pPr>
      <w:r>
        <w:rPr>
          <w:rFonts w:hint="eastAsia" w:ascii="宋体" w:hAnsi="宋体" w:cs="宋体"/>
          <w:bCs/>
          <w:color w:val="auto"/>
          <w:spacing w:val="-6"/>
          <w:sz w:val="24"/>
          <w:highlight w:val="none"/>
        </w:rPr>
        <w:t>资格文件</w:t>
      </w:r>
      <w:r>
        <w:rPr>
          <w:rFonts w:hint="eastAsia" w:ascii="宋体" w:hAnsi="宋体" w:eastAsia="宋体" w:cs="宋体"/>
          <w:color w:val="auto"/>
          <w:spacing w:val="-6"/>
          <w:sz w:val="24"/>
          <w:highlight w:val="none"/>
        </w:rPr>
        <w:t>封面</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pacing w:val="-6"/>
          <w:sz w:val="24"/>
          <w:highlight w:val="none"/>
        </w:rPr>
      </w:pPr>
      <w:r>
        <w:rPr>
          <w:rFonts w:hint="eastAsia" w:ascii="宋体" w:hAnsi="宋体" w:eastAsia="宋体" w:cs="宋体"/>
          <w:bCs/>
          <w:color w:val="auto"/>
          <w:spacing w:val="-6"/>
          <w:sz w:val="24"/>
          <w:highlight w:val="none"/>
        </w:rPr>
        <w:t>（投标人名称）</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pacing w:val="-6"/>
          <w:sz w:val="24"/>
          <w:highlight w:val="none"/>
        </w:rPr>
      </w:pPr>
      <w:r>
        <w:rPr>
          <w:rFonts w:hint="eastAsia" w:ascii="宋体" w:hAnsi="宋体" w:cs="宋体"/>
          <w:b/>
          <w:bCs/>
          <w:color w:val="auto"/>
          <w:spacing w:val="-6"/>
          <w:sz w:val="24"/>
          <w:highlight w:val="none"/>
          <w:lang w:val="en-US" w:eastAsia="zh-CN"/>
        </w:rPr>
        <w:t>资格</w:t>
      </w:r>
      <w:r>
        <w:rPr>
          <w:rFonts w:hint="eastAsia" w:ascii="宋体" w:hAnsi="宋体" w:eastAsia="宋体" w:cs="宋体"/>
          <w:b/>
          <w:bCs/>
          <w:color w:val="auto"/>
          <w:spacing w:val="-6"/>
          <w:sz w:val="24"/>
          <w:highlight w:val="none"/>
        </w:rPr>
        <w:t>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pacing w:val="-6"/>
          <w:sz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pacing w:val="-6"/>
          <w:sz w:val="24"/>
          <w:highlight w:val="none"/>
          <w:lang w:eastAsia="zh-CN"/>
        </w:rPr>
      </w:pPr>
      <w:r>
        <w:rPr>
          <w:rFonts w:hint="eastAsia" w:ascii="宋体" w:hAnsi="宋体" w:eastAsia="宋体" w:cs="宋体"/>
          <w:bCs/>
          <w:color w:val="auto"/>
          <w:spacing w:val="-6"/>
          <w:sz w:val="24"/>
          <w:highlight w:val="none"/>
        </w:rPr>
        <w:t>招 标 人：</w:t>
      </w:r>
      <w:r>
        <w:rPr>
          <w:rFonts w:hint="eastAsia" w:ascii="宋体" w:hAnsi="宋体" w:eastAsia="宋体" w:cs="宋体"/>
          <w:bCs/>
          <w:color w:val="auto"/>
          <w:spacing w:val="-6"/>
          <w:sz w:val="24"/>
          <w:highlight w:val="none"/>
          <w:lang w:eastAsia="zh-CN"/>
        </w:rPr>
        <w:t>浙商银行股份有限公司</w:t>
      </w:r>
      <w:r>
        <w:rPr>
          <w:rFonts w:hint="eastAsia" w:ascii="宋体" w:hAnsi="宋体" w:eastAsia="宋体" w:cs="宋体"/>
          <w:bCs/>
          <w:color w:val="auto"/>
          <w:spacing w:val="-6"/>
          <w:sz w:val="24"/>
          <w:highlight w:val="none"/>
          <w:lang w:val="en-US" w:eastAsia="zh-CN"/>
        </w:rPr>
        <w:t>台州</w:t>
      </w:r>
      <w:r>
        <w:rPr>
          <w:rFonts w:hint="eastAsia" w:ascii="宋体" w:hAnsi="宋体" w:eastAsia="宋体" w:cs="宋体"/>
          <w:bCs/>
          <w:color w:val="auto"/>
          <w:spacing w:val="-6"/>
          <w:sz w:val="24"/>
          <w:highlight w:val="none"/>
          <w:lang w:eastAsia="zh-CN"/>
        </w:rPr>
        <w:t>分行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Cs/>
          <w:color w:val="auto"/>
          <w:spacing w:val="-6"/>
          <w:sz w:val="24"/>
          <w:highlight w:val="none"/>
          <w:lang w:val="en-US" w:eastAsia="zh-CN"/>
        </w:rPr>
      </w:pPr>
      <w:r>
        <w:rPr>
          <w:rFonts w:hint="eastAsia" w:ascii="宋体" w:hAnsi="宋体" w:eastAsia="宋体" w:cs="宋体"/>
          <w:bCs/>
          <w:color w:val="auto"/>
          <w:spacing w:val="-6"/>
          <w:sz w:val="24"/>
          <w:highlight w:val="none"/>
        </w:rPr>
        <w:t>项目名称：</w:t>
      </w:r>
      <w:r>
        <w:rPr>
          <w:rFonts w:hint="eastAsia" w:ascii="宋体" w:hAnsi="宋体" w:eastAsia="宋体" w:cs="宋体"/>
          <w:bCs/>
          <w:color w:val="auto"/>
          <w:spacing w:val="-6"/>
          <w:sz w:val="24"/>
          <w:highlight w:val="none"/>
          <w:lang w:eastAsia="zh-CN"/>
        </w:rPr>
        <w:t>浙商银行台州分行公司客户贷款抵押物（房屋建筑物）财产保险服务项目</w:t>
      </w:r>
      <w:r>
        <w:rPr>
          <w:rFonts w:hint="eastAsia" w:ascii="宋体" w:hAnsi="宋体" w:cs="宋体"/>
          <w:bCs/>
          <w:color w:val="auto"/>
          <w:spacing w:val="-6"/>
          <w:sz w:val="24"/>
          <w:highlight w:val="none"/>
          <w:lang w:val="en-US" w:eastAsia="zh-CN"/>
        </w:rPr>
        <w:t>采购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pacing w:val="-6"/>
          <w:sz w:val="24"/>
          <w:highlight w:val="none"/>
          <w:lang w:eastAsia="zh-CN"/>
        </w:rPr>
      </w:pPr>
      <w:r>
        <w:rPr>
          <w:rFonts w:hint="eastAsia" w:ascii="宋体" w:hAnsi="宋体" w:eastAsia="宋体" w:cs="宋体"/>
          <w:bCs/>
          <w:color w:val="auto"/>
          <w:spacing w:val="-6"/>
          <w:sz w:val="24"/>
          <w:highlight w:val="none"/>
          <w:lang w:eastAsia="zh-CN"/>
        </w:rPr>
        <w:t>项目编号：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pacing w:val="-6"/>
          <w:sz w:val="24"/>
          <w:highlight w:val="none"/>
        </w:rPr>
      </w:pPr>
      <w:r>
        <w:rPr>
          <w:rFonts w:hint="eastAsia" w:ascii="宋体" w:hAnsi="宋体" w:eastAsia="宋体" w:cs="宋体"/>
          <w:bCs/>
          <w:color w:val="auto"/>
          <w:spacing w:val="-6"/>
          <w:sz w:val="24"/>
          <w:highlight w:val="none"/>
        </w:rPr>
        <w:t>投标人名称（盖章）：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pacing w:val="-6"/>
          <w:sz w:val="24"/>
          <w:highlight w:val="none"/>
        </w:rPr>
      </w:pPr>
      <w:r>
        <w:rPr>
          <w:rFonts w:hint="eastAsia" w:ascii="宋体" w:hAnsi="宋体" w:eastAsia="宋体" w:cs="宋体"/>
          <w:bCs/>
          <w:color w:val="auto"/>
          <w:spacing w:val="-6"/>
          <w:sz w:val="24"/>
          <w:highlight w:val="none"/>
        </w:rPr>
        <w:t>投标人地址：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pacing w:val="-6"/>
          <w:sz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pacing w:val="-6"/>
          <w:sz w:val="24"/>
          <w:highlight w:val="none"/>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bCs/>
          <w:color w:val="auto"/>
          <w:spacing w:val="-6"/>
          <w:sz w:val="24"/>
          <w:highlight w:val="none"/>
        </w:rPr>
        <w:t>日期：     年   月   日</w:t>
      </w:r>
    </w:p>
    <w:p>
      <w:pPr>
        <w:pageBreakBefore w:val="0"/>
        <w:kinsoku/>
        <w:overflowPunct/>
        <w:topLinePunct w:val="0"/>
        <w:bidi w:val="0"/>
        <w:spacing w:line="360" w:lineRule="auto"/>
        <w:jc w:val="center"/>
        <w:outlineLvl w:val="1"/>
        <w:rPr>
          <w:rFonts w:hint="eastAsia" w:ascii="宋体" w:hAnsi="宋体" w:eastAsia="宋体" w:cs="宋体"/>
          <w:b/>
          <w:bCs/>
          <w:color w:val="auto"/>
          <w:spacing w:val="-6"/>
          <w:sz w:val="21"/>
          <w:szCs w:val="21"/>
          <w:highlight w:val="none"/>
        </w:rPr>
      </w:pPr>
      <w:r>
        <w:rPr>
          <w:rFonts w:hint="eastAsia" w:ascii="宋体" w:hAnsi="宋体" w:eastAsia="宋体" w:cs="宋体"/>
          <w:b/>
          <w:color w:val="auto"/>
          <w:spacing w:val="-6"/>
          <w:sz w:val="21"/>
          <w:szCs w:val="21"/>
          <w:highlight w:val="none"/>
        </w:rPr>
        <w:t>资格文件</w:t>
      </w:r>
    </w:p>
    <w:tbl>
      <w:tblPr>
        <w:tblStyle w:val="21"/>
        <w:tblW w:w="9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649"/>
        <w:gridCol w:w="2163"/>
        <w:gridCol w:w="2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vAlign w:val="center"/>
          </w:tcPr>
          <w:p>
            <w:pPr>
              <w:pageBreakBefore w:val="0"/>
              <w:kinsoku/>
              <w:overflowPunct/>
              <w:topLinePunct w:val="0"/>
              <w:bidi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3649" w:type="dxa"/>
            <w:vAlign w:val="center"/>
          </w:tcPr>
          <w:p>
            <w:pPr>
              <w:pageBreakBefore w:val="0"/>
              <w:kinsoku/>
              <w:overflowPunct/>
              <w:topLinePunct w:val="0"/>
              <w:bidi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招标文件资格要求</w:t>
            </w:r>
          </w:p>
        </w:tc>
        <w:tc>
          <w:tcPr>
            <w:tcW w:w="2163" w:type="dxa"/>
            <w:vAlign w:val="center"/>
          </w:tcPr>
          <w:p>
            <w:pPr>
              <w:pageBreakBefore w:val="0"/>
              <w:kinsoku/>
              <w:overflowPunct/>
              <w:topLinePunct w:val="0"/>
              <w:bidi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投标人达到的程度</w:t>
            </w:r>
          </w:p>
          <w:p>
            <w:pPr>
              <w:pageBreakBefore w:val="0"/>
              <w:kinsoku/>
              <w:overflowPunct/>
              <w:topLinePunct w:val="0"/>
              <w:bidi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（投标人填写）</w:t>
            </w:r>
          </w:p>
        </w:tc>
        <w:tc>
          <w:tcPr>
            <w:tcW w:w="2996" w:type="dxa"/>
            <w:vAlign w:val="center"/>
          </w:tcPr>
          <w:p>
            <w:pPr>
              <w:pageBreakBefore w:val="0"/>
              <w:kinsoku/>
              <w:overflowPunct/>
              <w:topLinePunct w:val="0"/>
              <w:bidi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要求提供的证明文件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vAlign w:val="center"/>
          </w:tcPr>
          <w:p>
            <w:pPr>
              <w:pageBreakBefore w:val="0"/>
              <w:kinsoku/>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649" w:type="dxa"/>
            <w:vAlign w:val="center"/>
          </w:tcPr>
          <w:p>
            <w:pPr>
              <w:keepNext w:val="0"/>
              <w:keepLines w:val="0"/>
              <w:pageBreakBefore w:val="0"/>
              <w:widowControl w:val="0"/>
              <w:kinsoku/>
              <w:wordWrap w:val="0"/>
              <w:overflowPunct/>
              <w:topLinePunct/>
              <w:autoSpaceDE/>
              <w:autoSpaceDN/>
              <w:bidi w:val="0"/>
              <w:adjustRightInd/>
              <w:snapToGrid w:val="0"/>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在中华人民共和国境内登记（或注册），具有独立承担民事责任的能力。金融、保险、通讯等特定行业的全国性企业所设立的区域性分支机构，如果已经依法办理了工商、税务和社保登记手续，并且获得总公司（总机构）授权或能够提供房产权证或其他有效财产证明材料，证明其具备实际承担责任的能力和法定的缔结合同能力，允许其独立参加招投标活动。同一法人机构的法人机构与其任何分支机构（或同一法人机构的不同分支机构）不得同时对本项目进行投标，否则其投标均无效，分支机构需提供提供分支机构有效的法人或者其他组织的营业执照等证明文件复制件</w:t>
            </w:r>
            <w:r>
              <w:rPr>
                <w:rFonts w:hint="eastAsia" w:ascii="宋体" w:hAnsi="宋体" w:eastAsia="宋体" w:cs="宋体"/>
                <w:color w:val="auto"/>
                <w:sz w:val="21"/>
                <w:szCs w:val="21"/>
                <w:highlight w:val="none"/>
                <w:lang w:eastAsia="zh-CN"/>
              </w:rPr>
              <w:t>。</w:t>
            </w:r>
          </w:p>
        </w:tc>
        <w:tc>
          <w:tcPr>
            <w:tcW w:w="2163" w:type="dxa"/>
            <w:vAlign w:val="center"/>
          </w:tcPr>
          <w:p>
            <w:pPr>
              <w:keepNext w:val="0"/>
              <w:keepLines w:val="0"/>
              <w:pageBreakBefore w:val="0"/>
              <w:widowControl w:val="0"/>
              <w:kinsoku/>
              <w:wordWrap w:val="0"/>
              <w:overflowPunct/>
              <w:topLinePunct/>
              <w:autoSpaceDE/>
              <w:autoSpaceDN/>
              <w:bidi w:val="0"/>
              <w:adjustRightInd/>
              <w:snapToGrid w:val="0"/>
              <w:spacing w:line="360" w:lineRule="auto"/>
              <w:textAlignment w:val="auto"/>
              <w:rPr>
                <w:rFonts w:hint="eastAsia" w:ascii="宋体" w:hAnsi="宋体" w:eastAsia="宋体" w:cs="宋体"/>
                <w:color w:val="auto"/>
                <w:sz w:val="21"/>
                <w:szCs w:val="21"/>
                <w:highlight w:val="none"/>
              </w:rPr>
            </w:pPr>
          </w:p>
        </w:tc>
        <w:tc>
          <w:tcPr>
            <w:tcW w:w="2996" w:type="dxa"/>
            <w:vAlign w:val="center"/>
          </w:tcPr>
          <w:p>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附件1：</w:t>
            </w:r>
            <w:r>
              <w:rPr>
                <w:rFonts w:hint="eastAsia" w:ascii="宋体" w:hAnsi="宋体" w:cs="宋体"/>
                <w:i w:val="0"/>
                <w:iCs w:val="0"/>
                <w:caps w:val="0"/>
                <w:color w:val="auto"/>
                <w:spacing w:val="0"/>
                <w:sz w:val="21"/>
                <w:szCs w:val="21"/>
                <w:highlight w:val="none"/>
                <w:lang w:val="en-US" w:eastAsia="zh-CN"/>
              </w:rPr>
              <w:t>分支机构</w:t>
            </w:r>
            <w:r>
              <w:rPr>
                <w:rFonts w:hint="eastAsia" w:ascii="宋体" w:hAnsi="宋体" w:eastAsia="宋体" w:cs="宋体"/>
                <w:color w:val="auto"/>
                <w:sz w:val="21"/>
                <w:szCs w:val="21"/>
                <w:highlight w:val="none"/>
                <w:lang w:eastAsia="zh-CN"/>
              </w:rPr>
              <w:t>有效的法人或者其他组织的营业执照等证明文件</w:t>
            </w:r>
            <w:r>
              <w:rPr>
                <w:rFonts w:hint="eastAsia" w:ascii="宋体" w:hAnsi="宋体" w:cs="宋体"/>
                <w:color w:val="auto"/>
                <w:sz w:val="21"/>
                <w:szCs w:val="21"/>
                <w:highlight w:val="none"/>
                <w:lang w:eastAsia="zh-CN"/>
              </w:rPr>
              <w:t>复制件，</w:t>
            </w:r>
            <w:r>
              <w:rPr>
                <w:rFonts w:hint="eastAsia" w:ascii="宋体" w:hAnsi="宋体" w:cs="宋体"/>
                <w:color w:val="auto"/>
                <w:sz w:val="21"/>
                <w:szCs w:val="21"/>
                <w:highlight w:val="none"/>
                <w:lang w:val="en-US" w:eastAsia="zh-CN"/>
              </w:rPr>
              <w:t>2、</w:t>
            </w:r>
            <w:r>
              <w:rPr>
                <w:rFonts w:hint="eastAsia" w:ascii="宋体" w:hAnsi="宋体" w:eastAsia="宋体" w:cs="宋体"/>
                <w:i w:val="0"/>
                <w:iCs w:val="0"/>
                <w:caps w:val="0"/>
                <w:color w:val="auto"/>
                <w:spacing w:val="0"/>
                <w:sz w:val="21"/>
                <w:szCs w:val="21"/>
                <w:highlight w:val="none"/>
              </w:rPr>
              <w:t>总公司（总机构）授权</w:t>
            </w:r>
            <w:r>
              <w:rPr>
                <w:rFonts w:hint="eastAsia" w:ascii="宋体" w:hAnsi="宋体" w:cs="宋体"/>
                <w:i w:val="0"/>
                <w:iCs w:val="0"/>
                <w:caps w:val="0"/>
                <w:color w:val="auto"/>
                <w:spacing w:val="0"/>
                <w:sz w:val="21"/>
                <w:szCs w:val="21"/>
                <w:highlight w:val="none"/>
                <w:lang w:val="en-US" w:eastAsia="zh-CN"/>
              </w:rPr>
              <w:t>或</w:t>
            </w:r>
            <w:r>
              <w:rPr>
                <w:rFonts w:hint="eastAsia" w:ascii="宋体" w:hAnsi="宋体" w:eastAsia="宋体" w:cs="宋体"/>
                <w:i w:val="0"/>
                <w:iCs w:val="0"/>
                <w:caps w:val="0"/>
                <w:color w:val="auto"/>
                <w:spacing w:val="0"/>
                <w:sz w:val="21"/>
                <w:szCs w:val="21"/>
                <w:highlight w:val="none"/>
              </w:rPr>
              <w:t>房产权证</w:t>
            </w:r>
            <w:r>
              <w:rPr>
                <w:rFonts w:hint="eastAsia" w:ascii="宋体" w:hAnsi="宋体" w:cs="宋体"/>
                <w:i w:val="0"/>
                <w:iCs w:val="0"/>
                <w:caps w:val="0"/>
                <w:color w:val="auto"/>
                <w:spacing w:val="0"/>
                <w:sz w:val="21"/>
                <w:szCs w:val="21"/>
                <w:highlight w:val="none"/>
                <w:lang w:val="en-US" w:eastAsia="zh-CN"/>
              </w:rPr>
              <w:t>或</w:t>
            </w:r>
            <w:r>
              <w:rPr>
                <w:rFonts w:hint="eastAsia" w:ascii="宋体" w:hAnsi="宋体" w:eastAsia="宋体" w:cs="宋体"/>
                <w:i w:val="0"/>
                <w:iCs w:val="0"/>
                <w:caps w:val="0"/>
                <w:color w:val="auto"/>
                <w:spacing w:val="0"/>
                <w:sz w:val="21"/>
                <w:szCs w:val="21"/>
                <w:highlight w:val="none"/>
              </w:rPr>
              <w:t>其他有效财产证明材料</w:t>
            </w:r>
            <w:r>
              <w:rPr>
                <w:rFonts w:hint="eastAsia" w:ascii="宋体" w:hAnsi="宋体" w:cs="宋体"/>
                <w:color w:val="auto"/>
                <w:sz w:val="21"/>
                <w:szCs w:val="21"/>
                <w:highlight w:val="none"/>
                <w:lang w:eastAsia="zh-CN"/>
              </w:rPr>
              <w:t>复制件</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jc w:val="center"/>
        </w:trPr>
        <w:tc>
          <w:tcPr>
            <w:tcW w:w="648" w:type="dxa"/>
            <w:vAlign w:val="center"/>
          </w:tcPr>
          <w:p>
            <w:pPr>
              <w:pageBreakBefore w:val="0"/>
              <w:kinsoku/>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3649"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投标人未被“中国执行信息公开网”（</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zxgk.court.gov.cn/shixin/%EF%BC%89%E5%88%97%E5%85%A5%E5%A4%B1%E4%BF%A1%E8%A2%AB%E6%89%A7%E8%A1%8C%E4%BA%BA%E3%80%81%E6%9C%AA%E8%A2%AB%E2%80%9C%E4%BF%A1%E7%94%A8%E4%B8%AD%E5%9B%BD%E2%80%9D%EF%BC%88https://www.creditchina.gov.cn%EF%BC%89%E5%88%97%E5%85%A5%E9%87%8D%E5%A4%A7%E7%A8%8E%E6%94%B6%E8%BF%9D%E6%B3%95%E5%A4%B1%E4%BF%A1%E4%B8%BB%E4%BD%93%E3%80%81%E6%9C%AA%E8%A2%AB%E2%80%9C%E4%B8%AD%E5%9B%BD%E6%94%BF%E5%BA%9C%E9%87%87%E8%B4%AD%E7%BD%91%E2%80%9D%EF%BC%88https://www.ccgp.gov.cn%EF%BC%89%E5%88%97%E5%85%A5%E6%94%BF%E5%BA%9C%E9%87%87%E8%B4%AD%E4%B8%A5%E9%87%8D%E8%BF%9D%E6%B3%95%E5%A4%B1%E4%BF%A1%E8%A1%8C%E4%B8%BA%E8%AE%B0%E5%BD%95%E5%90%8D%E5%8D%95%E3%80%81%E6%9C%AA%E8%A2%AB%E2%80%9C%E5%9B%BD%E5%AE%B6%E4%BC%81%E4%B8%9A%E4%BF%A1%E7%94%A8%E4%BF%A1%E6%81%AF%E5%85%AC%E7%A4%BA%E7%B3%BB%E7%BB%9F%E2%80%9D%EF%BC%88https://www.gsxt.gov.cn/index.html%EF%BC%89%E5%88%97%E5%85%A5%E4%B8%A5%E9%87%8D%E8%BF%9D%E6%B3%95%E5%A4%B1%E4%BF%A1%E4%BC%81%E4%B8%9A%E5%90%8D%E5%8D%95%E3%80%82" \t "https://wx.mail.qq.com/home/index?sid=zaRUQ4ydTnYuADBTADloRQAA" \l "/list/_blank"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https://zxgk.court.gov.cn/shixin/）列入失信被执行人、未被“信用中国”（https://www.creditchina.gov.cn）列入重大税收违法失信主体、未被“中国政府采购网”（https://www.ccgp.gov.cn）列入政府采购严重违法失信行为记录名单、未被“国家企业信用信息公示系统”（https://www.gsxt.gov.cn/index.html）列入</w:t>
            </w:r>
            <w:r>
              <w:rPr>
                <w:rFonts w:hint="eastAsia" w:ascii="宋体" w:hAnsi="宋体" w:cs="宋体"/>
                <w:color w:val="auto"/>
                <w:sz w:val="21"/>
                <w:szCs w:val="21"/>
                <w:highlight w:val="none"/>
                <w:lang w:eastAsia="zh-CN"/>
              </w:rPr>
              <w:t>严重违法失信名单</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fldChar w:fldCharType="end"/>
            </w:r>
          </w:p>
        </w:tc>
        <w:tc>
          <w:tcPr>
            <w:tcW w:w="2163" w:type="dxa"/>
            <w:vAlign w:val="center"/>
          </w:tcPr>
          <w:p>
            <w:pPr>
              <w:keepNext w:val="0"/>
              <w:keepLines w:val="0"/>
              <w:pageBreakBefore w:val="0"/>
              <w:widowControl w:val="0"/>
              <w:kinsoku/>
              <w:wordWrap w:val="0"/>
              <w:overflowPunct/>
              <w:topLinePunct/>
              <w:autoSpaceDE/>
              <w:autoSpaceDN/>
              <w:bidi w:val="0"/>
              <w:adjustRightInd/>
              <w:snapToGrid w:val="0"/>
              <w:spacing w:line="360" w:lineRule="auto"/>
              <w:textAlignment w:val="auto"/>
              <w:rPr>
                <w:rFonts w:hint="eastAsia" w:ascii="宋体" w:hAnsi="宋体" w:eastAsia="宋体" w:cs="宋体"/>
                <w:color w:val="auto"/>
                <w:sz w:val="21"/>
                <w:szCs w:val="21"/>
                <w:highlight w:val="none"/>
              </w:rPr>
            </w:pPr>
          </w:p>
        </w:tc>
        <w:tc>
          <w:tcPr>
            <w:tcW w:w="2996" w:type="dxa"/>
            <w:shd w:val="clear" w:color="auto" w:fill="auto"/>
            <w:vAlign w:val="center"/>
          </w:tcPr>
          <w:p>
            <w:pPr>
              <w:keepNext w:val="0"/>
              <w:keepLines w:val="0"/>
              <w:pageBreakBefore w:val="0"/>
              <w:widowControl w:val="0"/>
              <w:kinsoku/>
              <w:wordWrap w:val="0"/>
              <w:overflowPunct/>
              <w:topLinePunct/>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提供相应网站查询截图</w:t>
            </w:r>
            <w:r>
              <w:rPr>
                <w:rFonts w:hint="eastAsia" w:ascii="宋体" w:hAnsi="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jc w:val="center"/>
        </w:trPr>
        <w:tc>
          <w:tcPr>
            <w:tcW w:w="648" w:type="dxa"/>
            <w:vAlign w:val="center"/>
          </w:tcPr>
          <w:p>
            <w:pPr>
              <w:pageBreakBefore w:val="0"/>
              <w:kinsoku/>
              <w:overflowPunct/>
              <w:topLinePunct w:val="0"/>
              <w:bidi w:val="0"/>
              <w:snapToGrid w:val="0"/>
              <w:spacing w:line="360" w:lineRule="auto"/>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3649"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单位负责人为同一人或者存在直接控股、管理关系的不同投标人，不得参加同一项目标段项下的投标活动。</w:t>
            </w:r>
          </w:p>
        </w:tc>
        <w:tc>
          <w:tcPr>
            <w:tcW w:w="2163" w:type="dxa"/>
            <w:vAlign w:val="center"/>
          </w:tcPr>
          <w:p>
            <w:pPr>
              <w:keepNext w:val="0"/>
              <w:keepLines w:val="0"/>
              <w:pageBreakBefore w:val="0"/>
              <w:widowControl w:val="0"/>
              <w:kinsoku/>
              <w:wordWrap w:val="0"/>
              <w:overflowPunct/>
              <w:topLinePunct/>
              <w:autoSpaceDE/>
              <w:autoSpaceDN/>
              <w:bidi w:val="0"/>
              <w:adjustRightInd/>
              <w:snapToGrid w:val="0"/>
              <w:spacing w:line="360" w:lineRule="auto"/>
              <w:textAlignment w:val="auto"/>
              <w:rPr>
                <w:rFonts w:hint="eastAsia" w:ascii="宋体" w:hAnsi="宋体" w:eastAsia="宋体" w:cs="宋体"/>
                <w:color w:val="auto"/>
                <w:sz w:val="21"/>
                <w:szCs w:val="21"/>
                <w:highlight w:val="none"/>
              </w:rPr>
            </w:pPr>
          </w:p>
        </w:tc>
        <w:tc>
          <w:tcPr>
            <w:tcW w:w="2996" w:type="dxa"/>
            <w:shd w:val="clear" w:color="auto" w:fill="auto"/>
            <w:vAlign w:val="center"/>
          </w:tcPr>
          <w:p>
            <w:pPr>
              <w:keepNext w:val="0"/>
              <w:keepLines w:val="0"/>
              <w:pageBreakBefore w:val="0"/>
              <w:widowControl w:val="0"/>
              <w:kinsoku/>
              <w:wordWrap w:val="0"/>
              <w:overflowPunct/>
              <w:topLinePunct/>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jc w:val="center"/>
        </w:trPr>
        <w:tc>
          <w:tcPr>
            <w:tcW w:w="648" w:type="dxa"/>
            <w:vAlign w:val="center"/>
          </w:tcPr>
          <w:p>
            <w:pPr>
              <w:pageBreakBefore w:val="0"/>
              <w:kinsoku/>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3649"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单位负责人为同一人或者存在直接控股、管理关系的不同投标人，不得参加同一项目标段项下的投标活动。【提供承诺函】</w:t>
            </w:r>
          </w:p>
        </w:tc>
        <w:tc>
          <w:tcPr>
            <w:tcW w:w="2163" w:type="dxa"/>
            <w:vAlign w:val="center"/>
          </w:tcPr>
          <w:p>
            <w:pPr>
              <w:keepNext w:val="0"/>
              <w:keepLines w:val="0"/>
              <w:pageBreakBefore w:val="0"/>
              <w:widowControl w:val="0"/>
              <w:kinsoku/>
              <w:wordWrap w:val="0"/>
              <w:overflowPunct/>
              <w:topLinePunct/>
              <w:autoSpaceDE/>
              <w:autoSpaceDN/>
              <w:bidi w:val="0"/>
              <w:adjustRightInd/>
              <w:snapToGrid w:val="0"/>
              <w:spacing w:line="360" w:lineRule="auto"/>
              <w:textAlignment w:val="auto"/>
              <w:rPr>
                <w:rFonts w:hint="eastAsia" w:ascii="宋体" w:hAnsi="宋体" w:eastAsia="宋体" w:cs="宋体"/>
                <w:color w:val="auto"/>
                <w:sz w:val="21"/>
                <w:szCs w:val="21"/>
                <w:highlight w:val="none"/>
              </w:rPr>
            </w:pPr>
          </w:p>
        </w:tc>
        <w:tc>
          <w:tcPr>
            <w:tcW w:w="2996" w:type="dxa"/>
            <w:shd w:val="clear" w:color="auto" w:fill="auto"/>
            <w:vAlign w:val="center"/>
          </w:tcPr>
          <w:p>
            <w:pPr>
              <w:keepNext w:val="0"/>
              <w:keepLines w:val="0"/>
              <w:pageBreakBefore w:val="0"/>
              <w:widowControl w:val="0"/>
              <w:kinsoku/>
              <w:wordWrap w:val="0"/>
              <w:overflowPunct/>
              <w:topLinePunct/>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jc w:val="center"/>
        </w:trPr>
        <w:tc>
          <w:tcPr>
            <w:tcW w:w="648" w:type="dxa"/>
            <w:vAlign w:val="center"/>
          </w:tcPr>
          <w:p>
            <w:pPr>
              <w:pageBreakBefore w:val="0"/>
              <w:kinsoku/>
              <w:overflowPunct/>
              <w:topLinePunct w:val="0"/>
              <w:bidi w:val="0"/>
              <w:snapToGrid w:val="0"/>
              <w:spacing w:line="360" w:lineRule="auto"/>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3649"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投标人参加招标活动前三年内（新成立不满三年的公司自成立之日起算）在经营活动中没有重大违法记录。</w:t>
            </w:r>
          </w:p>
        </w:tc>
        <w:tc>
          <w:tcPr>
            <w:tcW w:w="2163" w:type="dxa"/>
            <w:vAlign w:val="center"/>
          </w:tcPr>
          <w:p>
            <w:pPr>
              <w:keepNext w:val="0"/>
              <w:keepLines w:val="0"/>
              <w:pageBreakBefore w:val="0"/>
              <w:widowControl w:val="0"/>
              <w:kinsoku/>
              <w:wordWrap w:val="0"/>
              <w:overflowPunct/>
              <w:topLinePunct/>
              <w:autoSpaceDE/>
              <w:autoSpaceDN/>
              <w:bidi w:val="0"/>
              <w:adjustRightInd/>
              <w:snapToGrid w:val="0"/>
              <w:spacing w:line="360" w:lineRule="auto"/>
              <w:textAlignment w:val="auto"/>
              <w:rPr>
                <w:rFonts w:hint="eastAsia" w:ascii="宋体" w:hAnsi="宋体" w:eastAsia="宋体" w:cs="宋体"/>
                <w:color w:val="auto"/>
                <w:sz w:val="21"/>
                <w:szCs w:val="21"/>
                <w:highlight w:val="none"/>
              </w:rPr>
            </w:pPr>
          </w:p>
        </w:tc>
        <w:tc>
          <w:tcPr>
            <w:tcW w:w="2996" w:type="dxa"/>
            <w:shd w:val="clear" w:color="auto" w:fill="auto"/>
            <w:vAlign w:val="center"/>
          </w:tcPr>
          <w:p>
            <w:pPr>
              <w:keepNext w:val="0"/>
              <w:keepLines w:val="0"/>
              <w:pageBreakBefore w:val="0"/>
              <w:widowControl w:val="0"/>
              <w:kinsoku/>
              <w:wordWrap w:val="0"/>
              <w:overflowPunct/>
              <w:topLinePunct/>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：提供没有重大违法记录承诺函</w:t>
            </w:r>
            <w:r>
              <w:rPr>
                <w:rFonts w:hint="eastAsia" w:ascii="宋体" w:hAnsi="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648" w:type="dxa"/>
            <w:vAlign w:val="center"/>
          </w:tcPr>
          <w:p>
            <w:pPr>
              <w:pageBreakBefore w:val="0"/>
              <w:kinsoku/>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3649"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具备有效的《经营保险业务许可证》</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提供有效的</w:t>
            </w:r>
            <w:r>
              <w:rPr>
                <w:rFonts w:hint="eastAsia" w:ascii="宋体" w:hAnsi="宋体" w:eastAsia="宋体" w:cs="宋体"/>
                <w:color w:val="auto"/>
                <w:sz w:val="21"/>
                <w:szCs w:val="21"/>
                <w:highlight w:val="none"/>
              </w:rPr>
              <w:t>经营保险业务许可证</w:t>
            </w:r>
            <w:r>
              <w:rPr>
                <w:rFonts w:hint="eastAsia" w:ascii="宋体" w:hAnsi="宋体" w:cs="宋体"/>
                <w:color w:val="auto"/>
                <w:sz w:val="21"/>
                <w:szCs w:val="21"/>
                <w:highlight w:val="none"/>
                <w:lang w:val="en-US" w:eastAsia="zh-CN"/>
              </w:rPr>
              <w:t>复制件</w:t>
            </w:r>
            <w:r>
              <w:rPr>
                <w:rFonts w:hint="eastAsia" w:ascii="宋体" w:hAnsi="宋体" w:cs="宋体"/>
                <w:color w:val="auto"/>
                <w:sz w:val="21"/>
                <w:szCs w:val="21"/>
                <w:highlight w:val="none"/>
                <w:lang w:eastAsia="zh-CN"/>
              </w:rPr>
              <w:t>】</w:t>
            </w:r>
          </w:p>
        </w:tc>
        <w:tc>
          <w:tcPr>
            <w:tcW w:w="2163"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p>
        </w:tc>
        <w:tc>
          <w:tcPr>
            <w:tcW w:w="2996" w:type="dxa"/>
            <w:vAlign w:val="center"/>
          </w:tcPr>
          <w:p>
            <w:pPr>
              <w:keepNext w:val="0"/>
              <w:keepLines w:val="0"/>
              <w:pageBreakBefore w:val="0"/>
              <w:widowControl w:val="0"/>
              <w:kinsoku/>
              <w:wordWrap/>
              <w:overflowPunct/>
              <w:topLinePunct w:val="0"/>
              <w:autoSpaceDE/>
              <w:autoSpaceDN/>
              <w:bidi w:val="0"/>
              <w:snapToGrid w:val="0"/>
              <w:spacing w:line="360"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提供有效的</w:t>
            </w:r>
            <w:r>
              <w:rPr>
                <w:rFonts w:hint="eastAsia" w:ascii="宋体" w:hAnsi="宋体" w:eastAsia="宋体" w:cs="宋体"/>
                <w:color w:val="auto"/>
                <w:sz w:val="21"/>
                <w:szCs w:val="21"/>
                <w:highlight w:val="none"/>
              </w:rPr>
              <w:t>经营保险业务许可证</w:t>
            </w:r>
            <w:r>
              <w:rPr>
                <w:rFonts w:hint="eastAsia" w:ascii="宋体" w:hAnsi="宋体" w:cs="宋体"/>
                <w:color w:val="auto"/>
                <w:sz w:val="21"/>
                <w:szCs w:val="21"/>
                <w:highlight w:val="none"/>
                <w:lang w:val="en-US" w:eastAsia="zh-CN"/>
              </w:rPr>
              <w:t>复制件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48" w:type="dxa"/>
            <w:shd w:val="clear" w:color="auto" w:fill="auto"/>
            <w:vAlign w:val="center"/>
          </w:tcPr>
          <w:p>
            <w:pPr>
              <w:pageBreakBefore w:val="0"/>
              <w:kinsoku/>
              <w:overflowPunct/>
              <w:topLinePunct w:val="0"/>
              <w:bidi w:val="0"/>
              <w:snapToGrid w:val="0"/>
              <w:spacing w:line="360" w:lineRule="auto"/>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364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本项目不允许联合体投标</w:t>
            </w:r>
          </w:p>
        </w:tc>
        <w:tc>
          <w:tcPr>
            <w:tcW w:w="216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kern w:val="2"/>
                <w:sz w:val="21"/>
                <w:szCs w:val="21"/>
                <w:highlight w:val="none"/>
                <w:lang w:val="en-US" w:eastAsia="zh-CN" w:bidi="ar-SA"/>
              </w:rPr>
            </w:pPr>
          </w:p>
        </w:tc>
        <w:tc>
          <w:tcPr>
            <w:tcW w:w="2996" w:type="dxa"/>
            <w:shd w:val="clear" w:color="auto" w:fill="auto"/>
            <w:vAlign w:val="center"/>
          </w:tcPr>
          <w:p>
            <w:pPr>
              <w:keepNext w:val="0"/>
              <w:keepLines w:val="0"/>
              <w:pageBreakBefore w:val="0"/>
              <w:widowControl w:val="0"/>
              <w:kinsoku/>
              <w:wordWrap/>
              <w:overflowPunct/>
              <w:topLinePunct w:val="0"/>
              <w:autoSpaceDE/>
              <w:autoSpaceDN/>
              <w:bidi w:val="0"/>
              <w:snapToGrid w:val="0"/>
              <w:spacing w:line="360" w:lineRule="auto"/>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提供非联合体投标的承诺函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48" w:type="dxa"/>
            <w:shd w:val="clear" w:color="auto" w:fill="auto"/>
            <w:vAlign w:val="center"/>
          </w:tcPr>
          <w:p>
            <w:pPr>
              <w:pageBreakBefore w:val="0"/>
              <w:kinsoku/>
              <w:overflowPunct/>
              <w:topLinePunct w:val="0"/>
              <w:bidi w:val="0"/>
              <w:snapToGrid w:val="0"/>
              <w:spacing w:line="360" w:lineRule="auto"/>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3649" w:type="dxa"/>
            <w:shd w:val="clear" w:color="auto" w:fill="auto"/>
            <w:vAlign w:val="center"/>
          </w:tcPr>
          <w:p>
            <w:pPr>
              <w:pageBreakBefore w:val="0"/>
              <w:numPr>
                <w:ilvl w:val="-1"/>
                <w:numId w:val="0"/>
              </w:numPr>
              <w:kinsoku/>
              <w:overflowPunct/>
              <w:topLinePunct w:val="0"/>
              <w:bidi w:val="0"/>
              <w:adjustRightInd w:val="0"/>
              <w:snapToGrid w:val="0"/>
              <w:spacing w:line="360"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本项目不允许分包。</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p>
        </w:tc>
        <w:tc>
          <w:tcPr>
            <w:tcW w:w="216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kern w:val="2"/>
                <w:sz w:val="21"/>
                <w:szCs w:val="21"/>
                <w:highlight w:val="none"/>
                <w:lang w:val="en-US" w:eastAsia="zh-CN" w:bidi="ar-SA"/>
              </w:rPr>
            </w:pPr>
          </w:p>
        </w:tc>
        <w:tc>
          <w:tcPr>
            <w:tcW w:w="29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提供不分包的承诺函</w:t>
            </w:r>
          </w:p>
        </w:tc>
      </w:tr>
    </w:tbl>
    <w:p>
      <w:pPr>
        <w:pageBreakBefore w:val="0"/>
        <w:kinsoku/>
        <w:overflowPunct/>
        <w:topLinePunct w:val="0"/>
        <w:bidi w:val="0"/>
        <w:spacing w:line="360" w:lineRule="auto"/>
        <w:ind w:left="735" w:hanging="735" w:hangingChars="3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pPr>
        <w:pageBreakBefore w:val="0"/>
        <w:kinsoku/>
        <w:overflowPunct/>
        <w:topLinePunct w:val="0"/>
        <w:bidi w:val="0"/>
        <w:spacing w:line="360" w:lineRule="auto"/>
        <w:ind w:right="-294" w:rightChars="-105"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1.相应证明资料均需提供</w:t>
      </w:r>
      <w:r>
        <w:rPr>
          <w:rFonts w:hint="eastAsia" w:ascii="宋体" w:hAnsi="宋体" w:eastAsia="宋体" w:cs="宋体"/>
          <w:color w:val="auto"/>
          <w:sz w:val="21"/>
          <w:szCs w:val="21"/>
          <w:highlight w:val="none"/>
          <w:lang w:eastAsia="zh-CN"/>
        </w:rPr>
        <w:t>复制件</w:t>
      </w:r>
      <w:r>
        <w:rPr>
          <w:rFonts w:hint="eastAsia" w:ascii="宋体" w:hAnsi="宋体" w:eastAsia="宋体" w:cs="宋体"/>
          <w:color w:val="auto"/>
          <w:sz w:val="21"/>
          <w:szCs w:val="21"/>
          <w:highlight w:val="none"/>
        </w:rPr>
        <w:t>并加盖公章附后（</w:t>
      </w:r>
      <w:r>
        <w:rPr>
          <w:rFonts w:hint="eastAsia" w:ascii="宋体" w:hAnsi="宋体" w:eastAsia="宋体" w:cs="宋体"/>
          <w:color w:val="auto"/>
          <w:sz w:val="21"/>
          <w:szCs w:val="21"/>
          <w:highlight w:val="none"/>
          <w:lang w:eastAsia="zh-CN"/>
        </w:rPr>
        <w:t>复制件</w:t>
      </w:r>
      <w:r>
        <w:rPr>
          <w:rFonts w:hint="eastAsia" w:ascii="宋体" w:hAnsi="宋体" w:eastAsia="宋体" w:cs="宋体"/>
          <w:color w:val="auto"/>
          <w:sz w:val="21"/>
          <w:szCs w:val="21"/>
          <w:highlight w:val="none"/>
        </w:rPr>
        <w:t>齐全，不得缺页，原件备查）；</w:t>
      </w:r>
    </w:p>
    <w:p>
      <w:pPr>
        <w:pageBreakBefore w:val="0"/>
        <w:kinsoku/>
        <w:overflowPunct/>
        <w:topLinePunct w:val="0"/>
        <w:bidi w:val="0"/>
        <w:spacing w:line="360" w:lineRule="auto"/>
        <w:ind w:right="-294" w:rightChars="-105"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2.证书延期的，须提供主管部门出具的延续证明；</w:t>
      </w:r>
    </w:p>
    <w:p>
      <w:pPr>
        <w:pageBreakBefore w:val="0"/>
        <w:kinsoku/>
        <w:overflowPunct/>
        <w:topLinePunct w:val="0"/>
        <w:bidi w:val="0"/>
        <w:spacing w:line="360" w:lineRule="auto"/>
        <w:ind w:right="-294" w:rightChars="-105"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3.若投标人提供虚假资料，一经查实，如若</w:t>
      </w:r>
      <w:r>
        <w:rPr>
          <w:rFonts w:hint="eastAsia" w:ascii="宋体" w:hAnsi="宋体" w:eastAsia="宋体" w:cs="宋体"/>
          <w:color w:val="auto"/>
          <w:sz w:val="21"/>
          <w:szCs w:val="21"/>
          <w:highlight w:val="none"/>
          <w:lang w:val="en-US" w:eastAsia="zh-CN"/>
        </w:rPr>
        <w:t>入围</w:t>
      </w:r>
      <w:r>
        <w:rPr>
          <w:rFonts w:hint="eastAsia" w:ascii="宋体" w:hAnsi="宋体" w:eastAsia="宋体" w:cs="宋体"/>
          <w:color w:val="auto"/>
          <w:sz w:val="21"/>
          <w:szCs w:val="21"/>
          <w:highlight w:val="none"/>
        </w:rPr>
        <w:t>，取消其</w:t>
      </w:r>
      <w:r>
        <w:rPr>
          <w:rFonts w:hint="eastAsia" w:ascii="宋体" w:hAnsi="宋体" w:eastAsia="宋体" w:cs="宋体"/>
          <w:color w:val="auto"/>
          <w:sz w:val="21"/>
          <w:szCs w:val="21"/>
          <w:highlight w:val="none"/>
          <w:lang w:val="en-US" w:eastAsia="zh-CN"/>
        </w:rPr>
        <w:t>入围</w:t>
      </w:r>
      <w:r>
        <w:rPr>
          <w:rFonts w:hint="eastAsia" w:ascii="宋体" w:hAnsi="宋体" w:eastAsia="宋体" w:cs="宋体"/>
          <w:color w:val="auto"/>
          <w:sz w:val="21"/>
          <w:szCs w:val="21"/>
          <w:highlight w:val="none"/>
        </w:rPr>
        <w:t xml:space="preserve">资格，并报主管部门予以通报。 </w:t>
      </w:r>
    </w:p>
    <w:p>
      <w:pPr>
        <w:pageBreakBefore w:val="0"/>
        <w:kinsoku/>
        <w:overflowPunct/>
        <w:topLinePunct w:val="0"/>
        <w:bidi w:val="0"/>
        <w:adjustRightInd/>
        <w:snapToGrid/>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spacing w:val="-6"/>
          <w:sz w:val="21"/>
          <w:szCs w:val="21"/>
          <w:highlight w:val="none"/>
        </w:rPr>
        <w:t>投标人名称（盖章）：</w:t>
      </w:r>
    </w:p>
    <w:p>
      <w:pPr>
        <w:pageBreakBefore w:val="0"/>
        <w:widowControl/>
        <w:kinsoku/>
        <w:overflowPunct/>
        <w:topLinePunct w:val="0"/>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                                  日    期：    年   月   日</w:t>
      </w:r>
    </w:p>
    <w:p>
      <w:pPr>
        <w:rPr>
          <w:rFonts w:hint="eastAsia"/>
          <w:sz w:val="21"/>
          <w:szCs w:val="21"/>
        </w:rPr>
        <w:sectPr>
          <w:pgSz w:w="11906" w:h="16838"/>
          <w:pgMar w:top="1440" w:right="1800" w:bottom="1440" w:left="1800" w:header="851" w:footer="992" w:gutter="0"/>
          <w:cols w:space="425" w:num="1"/>
          <w:docGrid w:type="lines" w:linePitch="312" w:charSpace="0"/>
        </w:sectPr>
      </w:pPr>
    </w:p>
    <w:p>
      <w:pPr>
        <w:pageBreakBefore w:val="0"/>
        <w:kinsoku/>
        <w:overflowPunct/>
        <w:topLinePunct w:val="0"/>
        <w:bidi w:val="0"/>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附件1：</w:t>
      </w:r>
    </w:p>
    <w:p>
      <w:pPr>
        <w:pageBreakBefore w:val="0"/>
        <w:kinsoku/>
        <w:overflowPunct/>
        <w:topLinePunct w:val="0"/>
        <w:bidi w:val="0"/>
        <w:snapToGrid w:val="0"/>
        <w:spacing w:line="360" w:lineRule="auto"/>
        <w:jc w:val="center"/>
        <w:rPr>
          <w:rFonts w:hint="eastAsia" w:ascii="宋体" w:hAnsi="宋体" w:eastAsia="宋体" w:cs="宋体"/>
          <w:b/>
          <w:bCs/>
          <w:color w:val="auto"/>
          <w:kern w:val="0"/>
          <w:sz w:val="21"/>
          <w:szCs w:val="21"/>
          <w:highlight w:val="none"/>
          <w:lang w:val="zh-CN"/>
        </w:rPr>
      </w:pPr>
    </w:p>
    <w:p>
      <w:pPr>
        <w:pageBreakBefore w:val="0"/>
        <w:kinsoku/>
        <w:overflowPunct/>
        <w:topLinePunct w:val="0"/>
        <w:bidi w:val="0"/>
        <w:snapToGrid w:val="0"/>
        <w:spacing w:line="360" w:lineRule="auto"/>
        <w:jc w:val="center"/>
        <w:rPr>
          <w:rFonts w:hint="eastAsia" w:ascii="宋体" w:hAnsi="宋体" w:eastAsia="宋体" w:cs="宋体"/>
          <w:b/>
          <w:bCs/>
          <w:color w:val="auto"/>
          <w:kern w:val="0"/>
          <w:sz w:val="21"/>
          <w:szCs w:val="21"/>
          <w:highlight w:val="none"/>
          <w:lang w:val="zh-CN"/>
        </w:rPr>
      </w:pPr>
      <w:r>
        <w:rPr>
          <w:rFonts w:hint="eastAsia" w:ascii="宋体" w:hAnsi="宋体" w:eastAsia="宋体" w:cs="宋体"/>
          <w:color w:val="auto"/>
          <w:sz w:val="21"/>
          <w:szCs w:val="21"/>
          <w:highlight w:val="none"/>
        </w:rPr>
        <w:t>在中华人民共和国境内登记（或注册），具有独立承担民事责任的能力。金融、保险、通讯等特定行业的全国性企业所设立的区域性分支机构，如果已经依法办理了工商、税务和社保登记手续，并且获得总公司（总机构）授权或能够提供房产权证或其他有效财产证明材料，证明其具备实际承担责任的能力和法定的缔结合同能力，允许其独立参加招投标活动。同一法人机构的法人机构与其任何分支机构（或同一法人机构的不同分支机构）不得同时对本项目进行投标，否则其投标均无效，分支机构需提供提供分支机构有效的法人或者其他组织的营业执照等证明文件复制件</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分支机构同时提供1、</w:t>
      </w:r>
      <w:r>
        <w:rPr>
          <w:rFonts w:hint="eastAsia" w:ascii="宋体" w:hAnsi="宋体" w:cs="宋体"/>
          <w:i w:val="0"/>
          <w:iCs w:val="0"/>
          <w:caps w:val="0"/>
          <w:color w:val="auto"/>
          <w:spacing w:val="0"/>
          <w:sz w:val="21"/>
          <w:szCs w:val="21"/>
          <w:highlight w:val="none"/>
          <w:lang w:val="en-US" w:eastAsia="zh-CN"/>
        </w:rPr>
        <w:t>分支机构</w:t>
      </w:r>
      <w:r>
        <w:rPr>
          <w:rFonts w:hint="eastAsia" w:ascii="宋体" w:hAnsi="宋体" w:eastAsia="宋体" w:cs="宋体"/>
          <w:color w:val="auto"/>
          <w:sz w:val="21"/>
          <w:szCs w:val="21"/>
          <w:highlight w:val="none"/>
          <w:lang w:eastAsia="zh-CN"/>
        </w:rPr>
        <w:t>有效的法人或者其他组织的营业执照等证明文件</w:t>
      </w:r>
      <w:r>
        <w:rPr>
          <w:rFonts w:hint="eastAsia" w:ascii="宋体" w:hAnsi="宋体" w:cs="宋体"/>
          <w:color w:val="auto"/>
          <w:sz w:val="21"/>
          <w:szCs w:val="21"/>
          <w:highlight w:val="none"/>
          <w:lang w:eastAsia="zh-CN"/>
        </w:rPr>
        <w:t>复制件，</w:t>
      </w:r>
      <w:r>
        <w:rPr>
          <w:rFonts w:hint="eastAsia" w:ascii="宋体" w:hAnsi="宋体" w:cs="宋体"/>
          <w:color w:val="auto"/>
          <w:sz w:val="21"/>
          <w:szCs w:val="21"/>
          <w:highlight w:val="none"/>
          <w:lang w:val="en-US" w:eastAsia="zh-CN"/>
        </w:rPr>
        <w:t>2、</w:t>
      </w:r>
      <w:r>
        <w:rPr>
          <w:rFonts w:hint="eastAsia" w:ascii="宋体" w:hAnsi="宋体" w:eastAsia="宋体" w:cs="宋体"/>
          <w:i w:val="0"/>
          <w:iCs w:val="0"/>
          <w:caps w:val="0"/>
          <w:color w:val="auto"/>
          <w:spacing w:val="0"/>
          <w:sz w:val="21"/>
          <w:szCs w:val="21"/>
          <w:highlight w:val="none"/>
        </w:rPr>
        <w:t>总公司（总机构）授权</w:t>
      </w:r>
      <w:r>
        <w:rPr>
          <w:rFonts w:hint="eastAsia" w:ascii="宋体" w:hAnsi="宋体" w:cs="宋体"/>
          <w:i w:val="0"/>
          <w:iCs w:val="0"/>
          <w:caps w:val="0"/>
          <w:color w:val="auto"/>
          <w:spacing w:val="0"/>
          <w:sz w:val="21"/>
          <w:szCs w:val="21"/>
          <w:highlight w:val="none"/>
          <w:lang w:val="en-US" w:eastAsia="zh-CN"/>
        </w:rPr>
        <w:t>或</w:t>
      </w:r>
      <w:r>
        <w:rPr>
          <w:rFonts w:hint="eastAsia" w:ascii="宋体" w:hAnsi="宋体" w:eastAsia="宋体" w:cs="宋体"/>
          <w:i w:val="0"/>
          <w:iCs w:val="0"/>
          <w:caps w:val="0"/>
          <w:color w:val="auto"/>
          <w:spacing w:val="0"/>
          <w:sz w:val="21"/>
          <w:szCs w:val="21"/>
          <w:highlight w:val="none"/>
        </w:rPr>
        <w:t>房产权证</w:t>
      </w:r>
      <w:r>
        <w:rPr>
          <w:rFonts w:hint="eastAsia" w:ascii="宋体" w:hAnsi="宋体" w:cs="宋体"/>
          <w:i w:val="0"/>
          <w:iCs w:val="0"/>
          <w:caps w:val="0"/>
          <w:color w:val="auto"/>
          <w:spacing w:val="0"/>
          <w:sz w:val="21"/>
          <w:szCs w:val="21"/>
          <w:highlight w:val="none"/>
          <w:lang w:val="en-US" w:eastAsia="zh-CN"/>
        </w:rPr>
        <w:t>或</w:t>
      </w:r>
      <w:r>
        <w:rPr>
          <w:rFonts w:hint="eastAsia" w:ascii="宋体" w:hAnsi="宋体" w:eastAsia="宋体" w:cs="宋体"/>
          <w:i w:val="0"/>
          <w:iCs w:val="0"/>
          <w:caps w:val="0"/>
          <w:color w:val="auto"/>
          <w:spacing w:val="0"/>
          <w:sz w:val="21"/>
          <w:szCs w:val="21"/>
          <w:highlight w:val="none"/>
        </w:rPr>
        <w:t>其他有效财产证明材料</w:t>
      </w:r>
      <w:r>
        <w:rPr>
          <w:rFonts w:hint="eastAsia" w:ascii="宋体" w:hAnsi="宋体" w:cs="宋体"/>
          <w:color w:val="auto"/>
          <w:sz w:val="21"/>
          <w:szCs w:val="21"/>
          <w:highlight w:val="none"/>
          <w:lang w:eastAsia="zh-CN"/>
        </w:rPr>
        <w:t>复制件</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p>
    <w:p>
      <w:pPr>
        <w:pageBreakBefore w:val="0"/>
        <w:kinsoku/>
        <w:overflowPunct/>
        <w:topLinePunct w:val="0"/>
        <w:bidi w:val="0"/>
        <w:adjustRightInd w:val="0"/>
        <w:snapToGrid w:val="0"/>
        <w:spacing w:line="360" w:lineRule="auto"/>
        <w:jc w:val="left"/>
        <w:rPr>
          <w:rFonts w:hint="eastAsia" w:ascii="宋体" w:hAnsi="宋体" w:eastAsia="宋体" w:cs="宋体"/>
          <w:color w:val="auto"/>
          <w:sz w:val="21"/>
          <w:szCs w:val="21"/>
          <w:highlight w:val="none"/>
        </w:rPr>
      </w:pPr>
    </w:p>
    <w:p>
      <w:pPr>
        <w:pageBreakBefore w:val="0"/>
        <w:kinsoku/>
        <w:overflowPunct/>
        <w:topLinePunct w:val="0"/>
        <w:bidi w:val="0"/>
        <w:adjustRightInd w:val="0"/>
        <w:snapToGrid w:val="0"/>
        <w:spacing w:line="360" w:lineRule="auto"/>
        <w:jc w:val="left"/>
        <w:rPr>
          <w:rFonts w:hint="eastAsia" w:ascii="宋体" w:hAnsi="宋体" w:eastAsia="宋体" w:cs="宋体"/>
          <w:color w:val="auto"/>
          <w:sz w:val="21"/>
          <w:szCs w:val="21"/>
          <w:highlight w:val="none"/>
        </w:rPr>
      </w:pPr>
    </w:p>
    <w:p>
      <w:pPr>
        <w:pStyle w:val="18"/>
        <w:pageBreakBefore w:val="0"/>
        <w:kinsoku/>
        <w:overflowPunct/>
        <w:topLinePunct w:val="0"/>
        <w:bidi w:val="0"/>
        <w:spacing w:line="360" w:lineRule="auto"/>
        <w:rPr>
          <w:rFonts w:hint="eastAsia" w:ascii="宋体" w:hAnsi="宋体" w:eastAsia="宋体" w:cs="宋体"/>
          <w:color w:val="auto"/>
          <w:sz w:val="21"/>
          <w:szCs w:val="21"/>
          <w:highlight w:val="none"/>
        </w:rPr>
      </w:pPr>
    </w:p>
    <w:p>
      <w:pPr>
        <w:pageBreakBefore w:val="0"/>
        <w:kinsoku/>
        <w:overflowPunct/>
        <w:topLinePunct w:val="0"/>
        <w:bidi w:val="0"/>
        <w:adjustRightInd w:val="0"/>
        <w:snapToGrid w:val="0"/>
        <w:spacing w:line="360" w:lineRule="auto"/>
        <w:jc w:val="left"/>
        <w:rPr>
          <w:rFonts w:hint="eastAsia" w:ascii="宋体" w:hAnsi="宋体" w:eastAsia="宋体" w:cs="宋体"/>
          <w:color w:val="auto"/>
          <w:sz w:val="21"/>
          <w:szCs w:val="21"/>
          <w:highlight w:val="none"/>
        </w:rPr>
      </w:pPr>
    </w:p>
    <w:p>
      <w:pPr>
        <w:pageBreakBefore w:val="0"/>
        <w:kinsoku/>
        <w:overflowPunct/>
        <w:topLinePunct w:val="0"/>
        <w:bidi w:val="0"/>
        <w:adjustRightInd w:val="0"/>
        <w:snapToGrid w:val="0"/>
        <w:spacing w:line="360" w:lineRule="auto"/>
        <w:jc w:val="left"/>
        <w:rPr>
          <w:rFonts w:hint="eastAsia" w:ascii="宋体" w:hAnsi="宋体" w:eastAsia="宋体" w:cs="宋体"/>
          <w:color w:val="auto"/>
          <w:sz w:val="21"/>
          <w:szCs w:val="21"/>
          <w:highlight w:val="none"/>
        </w:rPr>
      </w:pPr>
    </w:p>
    <w:p>
      <w:pPr>
        <w:pageBreakBefore w:val="0"/>
        <w:kinsoku/>
        <w:overflowPunct/>
        <w:topLinePunct w:val="0"/>
        <w:bidi w:val="0"/>
        <w:adjustRightInd w:val="0"/>
        <w:snapToGrid w:val="0"/>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说明：</w:t>
      </w:r>
    </w:p>
    <w:p>
      <w:pPr>
        <w:pageBreakBefore w:val="0"/>
        <w:kinsoku/>
        <w:overflowPunct/>
        <w:topLinePunct w:val="0"/>
        <w:bidi w:val="0"/>
        <w:adjustRightInd w:val="0"/>
        <w:snapToGrid w:val="0"/>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1.如投标人是企业（包括合伙企业），提供在工商部门注册的有效“企业法人营业执照”或“营业执照”；</w:t>
      </w:r>
    </w:p>
    <w:p>
      <w:pPr>
        <w:pageBreakBefore w:val="0"/>
        <w:kinsoku/>
        <w:overflowPunct/>
        <w:topLinePunct w:val="0"/>
        <w:bidi w:val="0"/>
        <w:adjustRightInd w:val="0"/>
        <w:snapToGrid w:val="0"/>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2.如投标人是事业单位，提供有效的“事业单位法人证书”；</w:t>
      </w:r>
    </w:p>
    <w:p>
      <w:pPr>
        <w:pageBreakBefore w:val="0"/>
        <w:kinsoku/>
        <w:overflowPunct/>
        <w:topLinePunct w:val="0"/>
        <w:bidi w:val="0"/>
        <w:adjustRightInd w:val="0"/>
        <w:snapToGrid w:val="0"/>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3.如投标人是非企业专业服务机构的，提供执业许可证等证明文件。</w:t>
      </w:r>
    </w:p>
    <w:p>
      <w:pPr>
        <w:pStyle w:val="9"/>
        <w:rPr>
          <w:rFonts w:hint="eastAsia"/>
          <w:sz w:val="21"/>
          <w:szCs w:val="21"/>
        </w:rPr>
        <w:sectPr>
          <w:pgSz w:w="11906" w:h="16838"/>
          <w:pgMar w:top="1440" w:right="1800" w:bottom="1440" w:left="1800" w:header="851" w:footer="992" w:gutter="0"/>
          <w:cols w:space="425" w:num="1"/>
          <w:docGrid w:type="lines" w:linePitch="312" w:charSpace="0"/>
        </w:sectPr>
      </w:pPr>
    </w:p>
    <w:p>
      <w:pPr>
        <w:pageBreakBefore w:val="0"/>
        <w:kinsoku/>
        <w:overflowPunct/>
        <w:topLinePunct w:val="0"/>
        <w:bidi w:val="0"/>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p>
    <w:p>
      <w:pPr>
        <w:pageBreakBefore w:val="0"/>
        <w:kinsoku/>
        <w:overflowPunct/>
        <w:topLinePunct w:val="0"/>
        <w:bidi w:val="0"/>
        <w:adjustRightInd w:val="0"/>
        <w:snapToGrid w:val="0"/>
        <w:spacing w:line="360" w:lineRule="auto"/>
        <w:jc w:val="center"/>
        <w:rPr>
          <w:rFonts w:hint="eastAsia" w:ascii="宋体" w:hAnsi="宋体" w:eastAsia="宋体" w:cs="宋体"/>
          <w:b/>
          <w:bCs/>
          <w:color w:val="auto"/>
          <w:sz w:val="21"/>
          <w:szCs w:val="21"/>
          <w:highlight w:val="none"/>
          <w:lang w:val="en-US" w:eastAsia="zh-CN"/>
        </w:rPr>
      </w:pPr>
    </w:p>
    <w:p>
      <w:pPr>
        <w:pageBreakBefore w:val="0"/>
        <w:kinsoku/>
        <w:overflowPunct/>
        <w:topLinePunct w:val="0"/>
        <w:bidi w:val="0"/>
        <w:adjustRightInd w:val="0"/>
        <w:snapToGrid w:val="0"/>
        <w:spacing w:line="360" w:lineRule="auto"/>
        <w:jc w:val="center"/>
        <w:rPr>
          <w:rFonts w:hint="eastAsia" w:ascii="宋体" w:hAnsi="宋体" w:eastAsia="宋体" w:cs="宋体"/>
          <w:b/>
          <w:bCs/>
          <w:color w:val="auto"/>
          <w:sz w:val="21"/>
          <w:szCs w:val="21"/>
          <w:highlight w:val="none"/>
          <w:lang w:val="en-US" w:eastAsia="zh-CN"/>
        </w:rPr>
      </w:pPr>
    </w:p>
    <w:p>
      <w:pPr>
        <w:pStyle w:val="17"/>
        <w:rPr>
          <w:rFonts w:hint="eastAsia" w:ascii="宋体" w:hAnsi="宋体" w:eastAsia="宋体" w:cs="宋体"/>
          <w:color w:val="auto"/>
          <w:sz w:val="21"/>
          <w:szCs w:val="21"/>
          <w:highlight w:val="none"/>
        </w:rPr>
      </w:pPr>
    </w:p>
    <w:p>
      <w:pPr>
        <w:pageBreakBefore w:val="0"/>
        <w:kinsoku/>
        <w:overflowPunct/>
        <w:topLinePunct w:val="0"/>
        <w:bidi w:val="0"/>
        <w:adjustRightInd w:val="0"/>
        <w:snapToGrid w:val="0"/>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未被“中国执行信息公开网”（https://zxgk.court.gov.cn/shixin/）列入失信被执行人网站查询截图</w:t>
      </w:r>
    </w:p>
    <w:p>
      <w:pPr>
        <w:pageBreakBefore w:val="0"/>
        <w:kinsoku/>
        <w:overflowPunct/>
        <w:topLinePunct w:val="0"/>
        <w:bidi w:val="0"/>
        <w:adjustRightInd w:val="0"/>
        <w:snapToGrid w:val="0"/>
        <w:spacing w:line="360" w:lineRule="auto"/>
        <w:jc w:val="center"/>
        <w:rPr>
          <w:rFonts w:hint="eastAsia" w:ascii="宋体" w:hAnsi="宋体" w:eastAsia="宋体" w:cs="宋体"/>
          <w:b/>
          <w:bCs/>
          <w:color w:val="auto"/>
          <w:sz w:val="21"/>
          <w:szCs w:val="21"/>
          <w:highlight w:val="none"/>
          <w:lang w:val="en-US" w:eastAsia="zh-CN"/>
        </w:rPr>
      </w:pPr>
    </w:p>
    <w:p>
      <w:pPr>
        <w:pageBreakBefore w:val="0"/>
        <w:kinsoku/>
        <w:overflowPunct/>
        <w:topLinePunct w:val="0"/>
        <w:bidi w:val="0"/>
        <w:adjustRightInd w:val="0"/>
        <w:snapToGrid w:val="0"/>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未被“信用中国”（https://www.creditchina.gov.cn）列入重大税收违法失信主体网站查询截图</w:t>
      </w:r>
    </w:p>
    <w:p>
      <w:pPr>
        <w:pageBreakBefore w:val="0"/>
        <w:kinsoku/>
        <w:overflowPunct/>
        <w:topLinePunct w:val="0"/>
        <w:bidi w:val="0"/>
        <w:adjustRightInd w:val="0"/>
        <w:snapToGrid w:val="0"/>
        <w:spacing w:line="360" w:lineRule="auto"/>
        <w:jc w:val="center"/>
        <w:rPr>
          <w:rFonts w:hint="eastAsia" w:ascii="宋体" w:hAnsi="宋体" w:eastAsia="宋体" w:cs="宋体"/>
          <w:b/>
          <w:bCs/>
          <w:color w:val="auto"/>
          <w:sz w:val="21"/>
          <w:szCs w:val="21"/>
          <w:highlight w:val="none"/>
          <w:lang w:val="en-US" w:eastAsia="zh-CN"/>
        </w:rPr>
      </w:pPr>
    </w:p>
    <w:p>
      <w:pPr>
        <w:pageBreakBefore w:val="0"/>
        <w:kinsoku/>
        <w:overflowPunct/>
        <w:topLinePunct w:val="0"/>
        <w:bidi w:val="0"/>
        <w:adjustRightInd w:val="0"/>
        <w:snapToGrid w:val="0"/>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未被“中国政府采购网”（https://www.ccgp.gov.cn）列入政府采购严重违法失信行为记录名单网站查询截图</w:t>
      </w:r>
    </w:p>
    <w:p>
      <w:pPr>
        <w:pStyle w:val="9"/>
        <w:rPr>
          <w:rFonts w:hint="eastAsia" w:ascii="宋体" w:hAnsi="宋体" w:eastAsia="宋体" w:cs="宋体"/>
          <w:color w:val="auto"/>
          <w:sz w:val="21"/>
          <w:szCs w:val="21"/>
          <w:highlight w:val="none"/>
          <w:lang w:val="en-US" w:eastAsia="zh-CN"/>
        </w:rPr>
      </w:pPr>
    </w:p>
    <w:p>
      <w:pPr>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未被“国家企业信用信息公示系统”（https://www.gsxt.gov.cn/index.html）列入</w:t>
      </w:r>
      <w:r>
        <w:rPr>
          <w:rFonts w:hint="eastAsia" w:ascii="宋体" w:hAnsi="宋体" w:cs="宋体"/>
          <w:b/>
          <w:bCs/>
          <w:color w:val="auto"/>
          <w:sz w:val="21"/>
          <w:szCs w:val="21"/>
          <w:highlight w:val="none"/>
          <w:lang w:eastAsia="zh-CN"/>
        </w:rPr>
        <w:t>严重违法失信名单</w:t>
      </w:r>
      <w:r>
        <w:rPr>
          <w:rFonts w:hint="eastAsia" w:ascii="宋体" w:hAnsi="宋体" w:eastAsia="宋体" w:cs="宋体"/>
          <w:b/>
          <w:bCs/>
          <w:color w:val="auto"/>
          <w:sz w:val="21"/>
          <w:szCs w:val="21"/>
          <w:highlight w:val="none"/>
        </w:rPr>
        <w:t>网站查询截图；</w:t>
      </w:r>
    </w:p>
    <w:p>
      <w:pPr>
        <w:rPr>
          <w:rFonts w:hint="eastAsia"/>
          <w:sz w:val="21"/>
          <w:szCs w:val="21"/>
        </w:rPr>
        <w:sectPr>
          <w:pgSz w:w="11906" w:h="16838"/>
          <w:pgMar w:top="1440" w:right="1800" w:bottom="1440" w:left="1800" w:header="851" w:footer="992" w:gutter="0"/>
          <w:cols w:space="425" w:num="1"/>
          <w:docGrid w:type="lines" w:linePitch="312" w:charSpace="0"/>
        </w:sectPr>
      </w:pPr>
    </w:p>
    <w:p>
      <w:pPr>
        <w:pageBreakBefore w:val="0"/>
        <w:kinsoku/>
        <w:overflowPunct/>
        <w:topLinePunct w:val="0"/>
        <w:bidi w:val="0"/>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w:t>
      </w:r>
    </w:p>
    <w:p>
      <w:pPr>
        <w:pageBreakBefore w:val="0"/>
        <w:kinsoku/>
        <w:overflowPunct/>
        <w:topLinePunct w:val="0"/>
        <w:bidi w:val="0"/>
        <w:spacing w:line="360" w:lineRule="auto"/>
        <w:jc w:val="center"/>
        <w:rPr>
          <w:rFonts w:hint="eastAsia" w:ascii="宋体" w:hAnsi="宋体" w:eastAsia="宋体" w:cs="宋体"/>
          <w:b/>
          <w:color w:val="auto"/>
          <w:sz w:val="21"/>
          <w:szCs w:val="21"/>
          <w:highlight w:val="none"/>
          <w:lang w:bidi="ar"/>
        </w:rPr>
      </w:pPr>
      <w:r>
        <w:rPr>
          <w:rFonts w:hint="eastAsia" w:ascii="宋体" w:hAnsi="宋体" w:eastAsia="宋体" w:cs="宋体"/>
          <w:b/>
          <w:color w:val="auto"/>
          <w:sz w:val="21"/>
          <w:szCs w:val="21"/>
          <w:highlight w:val="none"/>
          <w:lang w:bidi="ar"/>
        </w:rPr>
        <w:t>单位负责人为同一人或者存在直接控股、管理关系的不同投标人，不得参加同一项目标段项下的投标活动的承诺函</w:t>
      </w:r>
    </w:p>
    <w:p>
      <w:pPr>
        <w:spacing w:line="360" w:lineRule="auto"/>
        <w:rPr>
          <w:rFonts w:hint="eastAsia" w:ascii="宋体" w:hAnsi="宋体" w:eastAsia="宋体" w:cs="宋体"/>
          <w:color w:val="auto"/>
          <w:sz w:val="21"/>
          <w:szCs w:val="21"/>
          <w:highlight w:val="none"/>
          <w:u w:val="single"/>
        </w:rPr>
      </w:pPr>
    </w:p>
    <w:p>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（招标人）                  </w:t>
      </w:r>
      <w:r>
        <w:rPr>
          <w:rFonts w:hint="eastAsia" w:ascii="宋体" w:hAnsi="宋体" w:eastAsia="宋体" w:cs="宋体"/>
          <w:color w:val="auto"/>
          <w:sz w:val="21"/>
          <w:szCs w:val="21"/>
          <w:highlight w:val="none"/>
        </w:rPr>
        <w:t>：</w:t>
      </w:r>
    </w:p>
    <w:p>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u w:val="single"/>
        </w:rPr>
        <w:t xml:space="preserve">（申请人）            </w:t>
      </w:r>
      <w:r>
        <w:rPr>
          <w:rFonts w:hint="eastAsia" w:ascii="宋体" w:hAnsi="宋体" w:eastAsia="宋体" w:cs="宋体"/>
          <w:color w:val="auto"/>
          <w:kern w:val="0"/>
          <w:sz w:val="21"/>
          <w:szCs w:val="21"/>
          <w:highlight w:val="none"/>
        </w:rPr>
        <w:t>郑重承诺，我方此次参加</w:t>
      </w:r>
      <w:r>
        <w:rPr>
          <w:rFonts w:hint="eastAsia" w:ascii="宋体" w:hAnsi="宋体" w:eastAsia="宋体" w:cs="宋体"/>
          <w:color w:val="auto"/>
          <w:sz w:val="21"/>
          <w:szCs w:val="21"/>
          <w:highlight w:val="none"/>
          <w:u w:val="single"/>
        </w:rPr>
        <w:t>（招标人名称）      （项目名称）</w:t>
      </w:r>
      <w:r>
        <w:rPr>
          <w:rFonts w:hint="eastAsia" w:ascii="宋体" w:hAnsi="宋体" w:cs="宋体"/>
          <w:color w:val="auto"/>
          <w:sz w:val="21"/>
          <w:szCs w:val="21"/>
          <w:highlight w:val="none"/>
          <w:u w:val="single"/>
          <w:lang w:eastAsia="zh-CN"/>
        </w:rPr>
        <w:t>（</w:t>
      </w:r>
      <w:r>
        <w:rPr>
          <w:rFonts w:hint="eastAsia" w:ascii="宋体" w:hAnsi="宋体" w:eastAsia="宋体" w:cs="宋体"/>
          <w:bCs/>
          <w:color w:val="auto"/>
          <w:spacing w:val="-6"/>
          <w:sz w:val="21"/>
          <w:szCs w:val="21"/>
          <w:highlight w:val="none"/>
          <w:lang w:eastAsia="zh-CN"/>
        </w:rPr>
        <w:t>项目编号</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的投标，开标后如发现与参加本次项目同一项目标段项下招标活动的其他投标人存在单位负责人为同一人或者直接控股、管理关系。或为下列情形之一的，招标人可视我方投标无效。如有虚假或隐瞒，愿意承担一切后果。</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①投资或参股关系的关联企业；</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②具有直接管理和被管理关系的母子公司；</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③同一母公司的子公司；</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④法定代表人为同一人的两个及两个以上的公司。</w:t>
      </w:r>
    </w:p>
    <w:p>
      <w:pPr>
        <w:spacing w:line="360" w:lineRule="auto"/>
        <w:ind w:firstLine="420" w:firstLineChars="200"/>
        <w:rPr>
          <w:rFonts w:hint="eastAsia" w:ascii="宋体" w:hAnsi="宋体" w:eastAsia="宋体" w:cs="宋体"/>
          <w:color w:val="auto"/>
          <w:sz w:val="21"/>
          <w:szCs w:val="21"/>
          <w:highlight w:val="none"/>
        </w:rPr>
      </w:pP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特此承诺！ </w:t>
      </w:r>
    </w:p>
    <w:p>
      <w:pPr>
        <w:spacing w:line="360" w:lineRule="auto"/>
        <w:rPr>
          <w:rFonts w:hint="eastAsia" w:ascii="宋体" w:hAnsi="宋体" w:eastAsia="宋体" w:cs="宋体"/>
          <w:color w:val="auto"/>
          <w:sz w:val="21"/>
          <w:szCs w:val="21"/>
          <w:highlight w:val="none"/>
        </w:rPr>
      </w:pPr>
    </w:p>
    <w:p>
      <w:pPr>
        <w:pageBreakBefore w:val="0"/>
        <w:kinsoku/>
        <w:overflowPunct/>
        <w:topLinePunct w:val="0"/>
        <w:bidi w:val="0"/>
        <w:spacing w:line="360" w:lineRule="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投标人名称（盖章）：</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法定代表人或授权委托人（盖章或签字）：</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p>
      <w:pPr>
        <w:pageBreakBefore w:val="0"/>
        <w:kinsoku/>
        <w:overflowPunct/>
        <w:topLinePunct w:val="0"/>
        <w:bidi w:val="0"/>
        <w:adjustRightInd w:val="0"/>
        <w:snapToGrid w:val="0"/>
        <w:spacing w:line="360" w:lineRule="auto"/>
        <w:jc w:val="left"/>
        <w:rPr>
          <w:rFonts w:hint="eastAsia" w:ascii="宋体" w:hAnsi="宋体" w:eastAsia="宋体" w:cs="宋体"/>
          <w:color w:val="auto"/>
          <w:sz w:val="21"/>
          <w:szCs w:val="21"/>
          <w:highlight w:val="none"/>
        </w:rPr>
        <w:sectPr>
          <w:pgSz w:w="11906" w:h="16838"/>
          <w:pgMar w:top="1440" w:right="1800" w:bottom="1440" w:left="1800" w:header="851" w:footer="992" w:gutter="0"/>
          <w:cols w:space="425" w:num="1"/>
          <w:docGrid w:type="lines" w:linePitch="312" w:charSpace="0"/>
        </w:sectPr>
      </w:pPr>
    </w:p>
    <w:p>
      <w:pPr>
        <w:pageBreakBefore w:val="0"/>
        <w:kinsoku/>
        <w:overflowPunct/>
        <w:topLinePunct w:val="0"/>
        <w:bidi w:val="0"/>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w:t>
      </w:r>
    </w:p>
    <w:p>
      <w:pPr>
        <w:adjustRightInd w:val="0"/>
        <w:snapToGrid w:val="0"/>
        <w:spacing w:line="360" w:lineRule="auto"/>
        <w:jc w:val="center"/>
        <w:rPr>
          <w:rFonts w:hint="eastAsia" w:ascii="宋体" w:hAnsi="宋体" w:cs="宋体"/>
          <w:kern w:val="0"/>
          <w:sz w:val="21"/>
          <w:szCs w:val="21"/>
        </w:rPr>
      </w:pPr>
      <w:r>
        <w:rPr>
          <w:rFonts w:hint="eastAsia" w:ascii="宋体" w:hAnsi="宋体" w:cs="宋体"/>
          <w:b/>
          <w:bCs/>
          <w:kern w:val="0"/>
          <w:sz w:val="21"/>
          <w:szCs w:val="21"/>
        </w:rPr>
        <w:t>参加招标活动前3年内在经营活动中没有重大违法记录的书面声明</w:t>
      </w:r>
    </w:p>
    <w:p>
      <w:pPr>
        <w:pStyle w:val="7"/>
        <w:rPr>
          <w:rFonts w:hint="eastAsia" w:ascii="宋体" w:hAnsi="宋体" w:cs="宋体"/>
          <w:b w:val="0"/>
          <w:kern w:val="0"/>
          <w:sz w:val="21"/>
          <w:szCs w:val="21"/>
        </w:rPr>
      </w:pPr>
      <w:r>
        <w:rPr>
          <w:rFonts w:hint="eastAsia" w:ascii="宋体" w:hAnsi="宋体" w:cs="宋体"/>
          <w:b w:val="0"/>
          <w:kern w:val="0"/>
          <w:sz w:val="21"/>
          <w:szCs w:val="21"/>
        </w:rPr>
        <w:t>致：浙商银行股份有限公司</w:t>
      </w:r>
      <w:r>
        <w:rPr>
          <w:rFonts w:hint="eastAsia" w:ascii="宋体" w:hAnsi="宋体" w:cs="宋体"/>
          <w:b w:val="0"/>
          <w:kern w:val="0"/>
          <w:sz w:val="21"/>
          <w:szCs w:val="21"/>
          <w:lang w:eastAsia="zh-CN"/>
        </w:rPr>
        <w:t>台州</w:t>
      </w:r>
      <w:r>
        <w:rPr>
          <w:rFonts w:hint="eastAsia" w:ascii="宋体" w:hAnsi="宋体" w:cs="宋体"/>
          <w:b w:val="0"/>
          <w:kern w:val="0"/>
          <w:sz w:val="21"/>
          <w:szCs w:val="21"/>
        </w:rPr>
        <w:t>分行、</w:t>
      </w:r>
      <w:r>
        <w:rPr>
          <w:rFonts w:hint="eastAsia" w:ascii="宋体" w:hAnsi="宋体" w:cs="宋体"/>
          <w:b w:val="0"/>
          <w:kern w:val="0"/>
          <w:sz w:val="21"/>
          <w:szCs w:val="21"/>
          <w:lang w:val="en-US" w:eastAsia="zh-CN"/>
        </w:rPr>
        <w:t>浙江华夏工程管理有限公司</w:t>
      </w:r>
    </w:p>
    <w:p>
      <w:pPr>
        <w:pStyle w:val="7"/>
        <w:ind w:firstLine="630" w:firstLineChars="300"/>
        <w:rPr>
          <w:rFonts w:hint="eastAsia" w:ascii="宋体" w:hAnsi="宋体" w:cs="宋体"/>
          <w:b w:val="0"/>
          <w:kern w:val="0"/>
          <w:sz w:val="21"/>
          <w:szCs w:val="21"/>
        </w:rPr>
      </w:pPr>
      <w:r>
        <w:rPr>
          <w:rFonts w:hint="eastAsia" w:ascii="宋体" w:hAnsi="宋体" w:cs="宋体"/>
          <w:b w:val="0"/>
          <w:kern w:val="0"/>
          <w:sz w:val="21"/>
          <w:szCs w:val="21"/>
        </w:rPr>
        <w:t>我方 （投标人）具有良好的商业信誉，依法缴纳税收和社会保障资金，未被列入失信被执行人名单、税收违法黑名单、采购活动严重违法失信行为记录名单；参加本次招标活动前3年内（2</w:t>
      </w:r>
      <w:r>
        <w:rPr>
          <w:rFonts w:hint="eastAsia" w:ascii="宋体" w:hAnsi="宋体" w:cs="宋体"/>
          <w:b w:val="0"/>
          <w:kern w:val="0"/>
          <w:sz w:val="21"/>
          <w:szCs w:val="21"/>
          <w:lang w:val="en-US" w:eastAsia="zh-CN"/>
        </w:rPr>
        <w:t>022</w:t>
      </w:r>
      <w:r>
        <w:rPr>
          <w:rFonts w:hint="eastAsia" w:ascii="宋体" w:hAnsi="宋体" w:cs="宋体"/>
          <w:b w:val="0"/>
          <w:kern w:val="0"/>
          <w:sz w:val="21"/>
          <w:szCs w:val="21"/>
        </w:rPr>
        <w:t>年</w:t>
      </w:r>
      <w:r>
        <w:rPr>
          <w:rFonts w:hint="eastAsia" w:ascii="宋体" w:hAnsi="宋体" w:cs="宋体"/>
          <w:b w:val="0"/>
          <w:kern w:val="0"/>
          <w:sz w:val="21"/>
          <w:szCs w:val="21"/>
          <w:lang w:val="en-US" w:eastAsia="zh-CN"/>
        </w:rPr>
        <w:t>10</w:t>
      </w:r>
      <w:r>
        <w:rPr>
          <w:rFonts w:hint="eastAsia" w:ascii="宋体" w:hAnsi="宋体" w:cs="宋体"/>
          <w:b w:val="0"/>
          <w:kern w:val="0"/>
          <w:sz w:val="21"/>
          <w:szCs w:val="21"/>
        </w:rPr>
        <w:t>月至今）的经营活动没有重大违法记录，没有被招标人、相关行政主管、行业管理部门、其他同业纳入不良记录名单且未在禁止参加投标期间；没有因违法经营受到刑事处罚，没有被责令停产停业、被吊销许可证或者执照、被处以较大数额罚款等行政处罚，没有因违法经营被禁止参加采购活动的期限未满情形。如有虚假，招标人可取消我方任何资格（投标/中标/签订合同），我方对此无任何异议。</w:t>
      </w:r>
    </w:p>
    <w:p>
      <w:pPr>
        <w:pStyle w:val="7"/>
        <w:rPr>
          <w:rFonts w:hint="eastAsia" w:ascii="宋体" w:hAnsi="宋体" w:cs="宋体"/>
          <w:b w:val="0"/>
          <w:kern w:val="0"/>
          <w:sz w:val="21"/>
          <w:szCs w:val="21"/>
        </w:rPr>
      </w:pPr>
      <w:r>
        <w:rPr>
          <w:rFonts w:hint="eastAsia" w:ascii="宋体" w:hAnsi="宋体" w:cs="宋体"/>
          <w:b w:val="0"/>
          <w:kern w:val="0"/>
          <w:sz w:val="21"/>
          <w:szCs w:val="21"/>
        </w:rPr>
        <w:t>特此承诺！</w:t>
      </w:r>
    </w:p>
    <w:p>
      <w:pPr>
        <w:pStyle w:val="7"/>
        <w:rPr>
          <w:rFonts w:ascii="宋体" w:hAnsi="宋体" w:cs="宋体"/>
          <w:b w:val="0"/>
          <w:kern w:val="0"/>
          <w:sz w:val="21"/>
          <w:szCs w:val="21"/>
        </w:rPr>
      </w:pPr>
    </w:p>
    <w:p>
      <w:pPr>
        <w:pStyle w:val="7"/>
        <w:rPr>
          <w:rFonts w:ascii="宋体" w:hAnsi="宋体" w:cs="宋体"/>
          <w:b w:val="0"/>
          <w:kern w:val="0"/>
          <w:sz w:val="21"/>
          <w:szCs w:val="21"/>
        </w:rPr>
      </w:pPr>
    </w:p>
    <w:p>
      <w:pPr>
        <w:pStyle w:val="7"/>
        <w:rPr>
          <w:rFonts w:hint="eastAsia" w:ascii="宋体" w:hAnsi="宋体" w:cs="宋体"/>
          <w:b w:val="0"/>
          <w:kern w:val="0"/>
          <w:sz w:val="21"/>
          <w:szCs w:val="21"/>
        </w:rPr>
      </w:pPr>
      <w:r>
        <w:rPr>
          <w:rFonts w:hint="eastAsia" w:ascii="宋体" w:hAnsi="宋体" w:cs="宋体"/>
          <w:b w:val="0"/>
          <w:kern w:val="0"/>
          <w:sz w:val="21"/>
          <w:szCs w:val="21"/>
        </w:rPr>
        <w:t xml:space="preserve">                                              </w:t>
      </w:r>
      <w:r>
        <w:rPr>
          <w:rFonts w:hint="eastAsia" w:ascii="宋体" w:hAnsi="宋体" w:eastAsia="宋体" w:cs="宋体"/>
          <w:b w:val="0"/>
          <w:spacing w:val="0"/>
          <w:kern w:val="0"/>
          <w:sz w:val="21"/>
          <w:szCs w:val="21"/>
        </w:rPr>
        <w:t>投标人名称</w:t>
      </w:r>
      <w:r>
        <w:rPr>
          <w:rFonts w:hint="eastAsia" w:ascii="宋体" w:hAnsi="宋体" w:cs="宋体"/>
          <w:b w:val="0"/>
          <w:kern w:val="0"/>
          <w:sz w:val="21"/>
          <w:szCs w:val="21"/>
        </w:rPr>
        <w:t>（盖章）：</w:t>
      </w:r>
    </w:p>
    <w:p>
      <w:pPr>
        <w:pStyle w:val="7"/>
        <w:rPr>
          <w:rFonts w:ascii="宋体" w:hAnsi="宋体" w:cs="宋体"/>
          <w:b w:val="0"/>
          <w:kern w:val="0"/>
          <w:sz w:val="21"/>
          <w:szCs w:val="21"/>
        </w:rPr>
      </w:pPr>
      <w:r>
        <w:rPr>
          <w:rFonts w:ascii="宋体" w:hAnsi="宋体" w:cs="宋体"/>
          <w:b w:val="0"/>
          <w:kern w:val="0"/>
          <w:sz w:val="21"/>
          <w:szCs w:val="21"/>
        </w:rPr>
        <w:t xml:space="preserve">                                          </w:t>
      </w:r>
    </w:p>
    <w:p>
      <w:pPr>
        <w:pStyle w:val="7"/>
        <w:rPr>
          <w:rFonts w:hint="eastAsia" w:ascii="宋体" w:hAnsi="宋体" w:cs="宋体"/>
          <w:b w:val="0"/>
          <w:kern w:val="0"/>
          <w:sz w:val="21"/>
          <w:szCs w:val="21"/>
        </w:rPr>
      </w:pPr>
      <w:r>
        <w:rPr>
          <w:rFonts w:hint="eastAsia" w:ascii="宋体" w:hAnsi="宋体" w:cs="宋体"/>
          <w:b w:val="0"/>
          <w:kern w:val="0"/>
          <w:sz w:val="21"/>
          <w:szCs w:val="21"/>
        </w:rPr>
        <w:t xml:space="preserve">                                            日    期：    年   月   日</w:t>
      </w:r>
    </w:p>
    <w:p>
      <w:pPr>
        <w:pStyle w:val="3"/>
        <w:rPr>
          <w:rFonts w:hint="eastAsia" w:ascii="宋体" w:hAnsi="宋体" w:eastAsia="宋体" w:cs="宋体"/>
          <w:color w:val="auto"/>
          <w:sz w:val="21"/>
          <w:szCs w:val="21"/>
          <w:highlight w:val="none"/>
          <w:lang w:bidi="ar"/>
        </w:rPr>
      </w:pPr>
    </w:p>
    <w:p>
      <w:pPr>
        <w:pageBreakBefore w:val="0"/>
        <w:kinsoku/>
        <w:overflowPunct/>
        <w:topLinePunct w:val="0"/>
        <w:bidi w:val="0"/>
        <w:spacing w:line="360" w:lineRule="auto"/>
        <w:rPr>
          <w:rFonts w:hint="eastAsia" w:ascii="宋体" w:hAnsi="宋体" w:eastAsia="宋体" w:cs="宋体"/>
          <w:b/>
          <w:color w:val="auto"/>
          <w:sz w:val="21"/>
          <w:szCs w:val="21"/>
          <w:highlight w:val="none"/>
          <w:lang w:val="en-US" w:eastAsia="zh-CN" w:bidi="ar"/>
        </w:rPr>
      </w:pPr>
      <w:r>
        <w:rPr>
          <w:rFonts w:hint="eastAsia" w:ascii="宋体" w:hAnsi="宋体" w:eastAsia="宋体" w:cs="宋体"/>
          <w:b/>
          <w:color w:val="auto"/>
          <w:sz w:val="21"/>
          <w:szCs w:val="21"/>
          <w:highlight w:val="none"/>
          <w:lang w:val="en-US" w:eastAsia="zh-CN" w:bidi="ar"/>
        </w:rPr>
        <w:t>说明：本书面申明为投标文件的必备要件，如未提供而导致无效标风险由投标人自行承担。</w:t>
      </w:r>
    </w:p>
    <w:p>
      <w:pPr>
        <w:pStyle w:val="9"/>
        <w:rPr>
          <w:rFonts w:hint="eastAsia"/>
          <w:sz w:val="21"/>
          <w:szCs w:val="21"/>
        </w:rPr>
        <w:sectPr>
          <w:pgSz w:w="11906" w:h="16838"/>
          <w:pgMar w:top="1440" w:right="1800" w:bottom="1440" w:left="1800" w:header="851" w:footer="992" w:gutter="0"/>
          <w:cols w:space="425" w:num="1"/>
          <w:docGrid w:type="lines" w:linePitch="312" w:charSpace="0"/>
        </w:sectPr>
      </w:pPr>
    </w:p>
    <w:p>
      <w:pPr>
        <w:pageBreakBefore w:val="0"/>
        <w:kinsoku/>
        <w:overflowPunct/>
        <w:topLinePunct w:val="0"/>
        <w:bidi w:val="0"/>
        <w:adjustRightInd/>
        <w:snapToGrid/>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w:t>
      </w:r>
    </w:p>
    <w:p>
      <w:pPr>
        <w:pageBreakBefore w:val="0"/>
        <w:kinsoku/>
        <w:overflowPunct/>
        <w:topLinePunct w:val="0"/>
        <w:bidi w:val="0"/>
        <w:adjustRightInd/>
        <w:snapToGrid w:val="0"/>
        <w:spacing w:line="240" w:lineRule="auto"/>
        <w:jc w:val="center"/>
        <w:rPr>
          <w:rFonts w:hint="eastAsia" w:ascii="宋体" w:hAnsi="宋体" w:eastAsia="宋体" w:cs="宋体"/>
          <w:color w:val="auto"/>
          <w:sz w:val="21"/>
          <w:szCs w:val="21"/>
          <w:highlight w:val="none"/>
        </w:rPr>
      </w:pPr>
    </w:p>
    <w:p>
      <w:pPr>
        <w:pageBreakBefore w:val="0"/>
        <w:kinsoku/>
        <w:overflowPunct/>
        <w:topLinePunct w:val="0"/>
        <w:bidi w:val="0"/>
        <w:adjustRightInd/>
        <w:snapToGrid w:val="0"/>
        <w:spacing w:line="240" w:lineRule="auto"/>
        <w:jc w:val="center"/>
        <w:rPr>
          <w:rFonts w:hint="eastAsia" w:ascii="宋体" w:hAnsi="宋体" w:eastAsia="宋体" w:cs="宋体"/>
          <w:color w:val="auto"/>
          <w:sz w:val="21"/>
          <w:szCs w:val="21"/>
          <w:highlight w:val="none"/>
        </w:rPr>
      </w:pPr>
    </w:p>
    <w:p>
      <w:pPr>
        <w:widowControl w:val="0"/>
        <w:snapToGrid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投标人具备有效的《经营保险业务许可证》</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提供有效的</w:t>
      </w:r>
      <w:r>
        <w:rPr>
          <w:rFonts w:hint="eastAsia" w:ascii="宋体" w:hAnsi="宋体" w:eastAsia="宋体" w:cs="宋体"/>
          <w:b/>
          <w:bCs/>
          <w:color w:val="auto"/>
          <w:sz w:val="21"/>
          <w:szCs w:val="21"/>
          <w:highlight w:val="none"/>
        </w:rPr>
        <w:t>经营保险业务许可证</w:t>
      </w:r>
      <w:r>
        <w:rPr>
          <w:rFonts w:hint="eastAsia" w:ascii="宋体" w:hAnsi="宋体" w:eastAsia="宋体" w:cs="宋体"/>
          <w:b/>
          <w:bCs/>
          <w:color w:val="auto"/>
          <w:sz w:val="21"/>
          <w:szCs w:val="21"/>
          <w:highlight w:val="none"/>
          <w:lang w:val="en-US" w:eastAsia="zh-CN"/>
        </w:rPr>
        <w:t>复制件</w:t>
      </w:r>
      <w:r>
        <w:rPr>
          <w:rFonts w:hint="eastAsia" w:ascii="宋体" w:hAnsi="宋体" w:eastAsia="宋体" w:cs="宋体"/>
          <w:b/>
          <w:bCs/>
          <w:color w:val="auto"/>
          <w:sz w:val="21"/>
          <w:szCs w:val="21"/>
          <w:highlight w:val="none"/>
          <w:lang w:eastAsia="zh-CN"/>
        </w:rPr>
        <w:t>】</w:t>
      </w:r>
    </w:p>
    <w:p>
      <w:pPr>
        <w:pageBreakBefore w:val="0"/>
        <w:kinsoku/>
        <w:overflowPunct/>
        <w:topLinePunct w:val="0"/>
        <w:bidi w:val="0"/>
        <w:adjustRightInd w:val="0"/>
        <w:snapToGrid w:val="0"/>
        <w:spacing w:line="360" w:lineRule="auto"/>
        <w:jc w:val="both"/>
        <w:rPr>
          <w:rFonts w:hint="eastAsia" w:ascii="宋体" w:hAnsi="宋体" w:eastAsia="宋体" w:cs="宋体"/>
          <w:color w:val="auto"/>
          <w:sz w:val="21"/>
          <w:szCs w:val="21"/>
          <w:highlight w:val="none"/>
        </w:rPr>
      </w:pPr>
    </w:p>
    <w:p>
      <w:pPr>
        <w:pageBreakBefore w:val="0"/>
        <w:kinsoku/>
        <w:overflowPunct/>
        <w:topLinePunct w:val="0"/>
        <w:bidi w:val="0"/>
        <w:adjustRightInd w:val="0"/>
        <w:snapToGrid w:val="0"/>
        <w:spacing w:line="360" w:lineRule="auto"/>
        <w:jc w:val="both"/>
        <w:rPr>
          <w:rFonts w:hint="eastAsia" w:ascii="宋体" w:hAnsi="宋体" w:eastAsia="宋体" w:cs="宋体"/>
          <w:color w:val="auto"/>
          <w:sz w:val="21"/>
          <w:szCs w:val="21"/>
          <w:highlight w:val="none"/>
        </w:rPr>
      </w:pPr>
    </w:p>
    <w:p>
      <w:pPr>
        <w:rPr>
          <w:rFonts w:hint="eastAsia"/>
          <w:sz w:val="21"/>
          <w:szCs w:val="21"/>
        </w:rPr>
        <w:sectPr>
          <w:pgSz w:w="11906" w:h="16838"/>
          <w:pgMar w:top="1440" w:right="1800" w:bottom="1440" w:left="1800" w:header="851" w:footer="992" w:gutter="0"/>
          <w:cols w:space="425" w:num="1"/>
          <w:docGrid w:type="lines" w:linePitch="312" w:charSpace="0"/>
        </w:sectPr>
      </w:pPr>
    </w:p>
    <w:p>
      <w:pPr>
        <w:pageBreakBefore w:val="0"/>
        <w:kinsoku/>
        <w:overflowPunct/>
        <w:topLinePunct w:val="0"/>
        <w:bidi w:val="0"/>
        <w:adjustRightInd w:val="0"/>
        <w:snapToGrid w:val="0"/>
        <w:spacing w:line="360" w:lineRule="auto"/>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6：</w:t>
      </w:r>
    </w:p>
    <w:p>
      <w:pPr>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非联合体投标的承诺函</w:t>
      </w:r>
    </w:p>
    <w:p>
      <w:pPr>
        <w:spacing w:line="360" w:lineRule="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致：</w:t>
      </w:r>
      <w:r>
        <w:rPr>
          <w:rFonts w:hint="eastAsia" w:ascii="宋体" w:hAnsi="宋体" w:eastAsia="宋体" w:cs="宋体"/>
          <w:color w:val="auto"/>
          <w:spacing w:val="-6"/>
          <w:sz w:val="21"/>
          <w:szCs w:val="21"/>
          <w:highlight w:val="none"/>
          <w:lang w:eastAsia="zh-CN"/>
        </w:rPr>
        <w:t>浙商银行股份有限公司</w:t>
      </w:r>
      <w:r>
        <w:rPr>
          <w:rFonts w:hint="eastAsia" w:ascii="宋体" w:hAnsi="宋体" w:cs="宋体"/>
          <w:color w:val="auto"/>
          <w:spacing w:val="-6"/>
          <w:sz w:val="21"/>
          <w:szCs w:val="21"/>
          <w:highlight w:val="none"/>
          <w:lang w:eastAsia="zh-CN"/>
        </w:rPr>
        <w:t>台州</w:t>
      </w:r>
      <w:r>
        <w:rPr>
          <w:rFonts w:hint="eastAsia" w:ascii="宋体" w:hAnsi="宋体" w:eastAsia="宋体" w:cs="宋体"/>
          <w:color w:val="auto"/>
          <w:spacing w:val="-6"/>
          <w:sz w:val="21"/>
          <w:szCs w:val="21"/>
          <w:highlight w:val="none"/>
          <w:lang w:eastAsia="zh-CN"/>
        </w:rPr>
        <w:t>分行</w:t>
      </w:r>
      <w:r>
        <w:rPr>
          <w:rFonts w:hint="eastAsia" w:ascii="宋体" w:hAnsi="宋体" w:eastAsia="宋体" w:cs="宋体"/>
          <w:color w:val="auto"/>
          <w:spacing w:val="-6"/>
          <w:sz w:val="21"/>
          <w:szCs w:val="21"/>
          <w:highlight w:val="none"/>
        </w:rPr>
        <w:t>：</w:t>
      </w:r>
    </w:p>
    <w:p>
      <w:pPr>
        <w:spacing w:line="360" w:lineRule="auto"/>
        <w:ind w:firstLine="396"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我公司郑重承诺：</w:t>
      </w:r>
      <w:r>
        <w:rPr>
          <w:rFonts w:hint="eastAsia" w:ascii="宋体" w:hAnsi="宋体" w:eastAsia="宋体" w:cs="宋体"/>
          <w:color w:val="auto"/>
          <w:kern w:val="0"/>
          <w:sz w:val="21"/>
          <w:szCs w:val="21"/>
          <w:highlight w:val="none"/>
        </w:rPr>
        <w:t>我方此次参加</w:t>
      </w:r>
      <w:r>
        <w:rPr>
          <w:rFonts w:hint="eastAsia" w:ascii="宋体" w:hAnsi="宋体" w:eastAsia="宋体" w:cs="宋体"/>
          <w:color w:val="auto"/>
          <w:sz w:val="21"/>
          <w:szCs w:val="21"/>
          <w:highlight w:val="none"/>
          <w:u w:val="single"/>
        </w:rPr>
        <w:t>（招标人名称）      （项目名称）</w:t>
      </w:r>
      <w:r>
        <w:rPr>
          <w:rFonts w:hint="eastAsia" w:ascii="宋体" w:hAnsi="宋体" w:cs="宋体"/>
          <w:color w:val="auto"/>
          <w:sz w:val="21"/>
          <w:szCs w:val="21"/>
          <w:highlight w:val="none"/>
          <w:u w:val="single"/>
          <w:lang w:eastAsia="zh-CN"/>
        </w:rPr>
        <w:t>（</w:t>
      </w:r>
      <w:r>
        <w:rPr>
          <w:rFonts w:hint="eastAsia" w:ascii="宋体" w:hAnsi="宋体" w:eastAsia="宋体" w:cs="宋体"/>
          <w:bCs/>
          <w:color w:val="auto"/>
          <w:spacing w:val="-6"/>
          <w:sz w:val="21"/>
          <w:szCs w:val="21"/>
          <w:highlight w:val="none"/>
          <w:lang w:eastAsia="zh-CN"/>
        </w:rPr>
        <w:t>项目编号</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的投标</w:t>
      </w:r>
      <w:r>
        <w:rPr>
          <w:rFonts w:hint="eastAsia" w:ascii="宋体" w:hAnsi="宋体" w:cs="宋体"/>
          <w:color w:val="auto"/>
          <w:spacing w:val="-6"/>
          <w:sz w:val="21"/>
          <w:szCs w:val="21"/>
          <w:highlight w:val="none"/>
          <w:lang w:eastAsia="zh-CN"/>
        </w:rPr>
        <w:t>，</w:t>
      </w:r>
      <w:r>
        <w:rPr>
          <w:rFonts w:hint="eastAsia" w:ascii="宋体" w:hAnsi="宋体" w:cs="宋体"/>
          <w:color w:val="auto"/>
          <w:spacing w:val="-6"/>
          <w:sz w:val="21"/>
          <w:szCs w:val="21"/>
          <w:highlight w:val="none"/>
          <w:lang w:val="en-US" w:eastAsia="zh-CN"/>
        </w:rPr>
        <w:t>为</w:t>
      </w:r>
      <w:r>
        <w:rPr>
          <w:rFonts w:hint="eastAsia" w:ascii="宋体" w:hAnsi="宋体" w:eastAsia="宋体" w:cs="宋体"/>
          <w:color w:val="auto"/>
          <w:spacing w:val="-6"/>
          <w:sz w:val="21"/>
          <w:szCs w:val="21"/>
          <w:highlight w:val="none"/>
          <w:lang w:val="en-US" w:eastAsia="zh-CN"/>
        </w:rPr>
        <w:t>非联合体投标</w:t>
      </w:r>
      <w:r>
        <w:rPr>
          <w:rFonts w:hint="eastAsia" w:ascii="宋体" w:hAnsi="宋体" w:eastAsia="宋体" w:cs="宋体"/>
          <w:color w:val="auto"/>
          <w:spacing w:val="-6"/>
          <w:sz w:val="21"/>
          <w:szCs w:val="21"/>
          <w:highlight w:val="none"/>
        </w:rPr>
        <w:t>。如有隐瞒，愿承担一切责任。</w:t>
      </w:r>
    </w:p>
    <w:p>
      <w:pPr>
        <w:spacing w:line="360" w:lineRule="auto"/>
        <w:ind w:firstLine="396" w:firstLineChars="200"/>
        <w:rPr>
          <w:rFonts w:hint="eastAsia" w:ascii="宋体" w:hAnsi="宋体" w:eastAsia="宋体" w:cs="宋体"/>
          <w:color w:val="auto"/>
          <w:spacing w:val="-6"/>
          <w:sz w:val="21"/>
          <w:szCs w:val="21"/>
          <w:highlight w:val="none"/>
        </w:rPr>
      </w:pPr>
    </w:p>
    <w:p>
      <w:pPr>
        <w:spacing w:line="360" w:lineRule="auto"/>
        <w:ind w:firstLine="396"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特此承诺！</w:t>
      </w:r>
    </w:p>
    <w:p>
      <w:pPr>
        <w:widowControl/>
        <w:snapToGrid w:val="0"/>
        <w:spacing w:line="360" w:lineRule="auto"/>
        <w:ind w:firstLine="420" w:firstLineChars="200"/>
        <w:jc w:val="left"/>
        <w:rPr>
          <w:rFonts w:hint="eastAsia" w:ascii="宋体" w:hAnsi="宋体" w:eastAsia="宋体" w:cs="宋体"/>
          <w:color w:val="auto"/>
          <w:kern w:val="0"/>
          <w:sz w:val="21"/>
          <w:szCs w:val="21"/>
          <w:highlight w:val="none"/>
        </w:rPr>
      </w:pPr>
    </w:p>
    <w:p>
      <w:pPr>
        <w:spacing w:line="360" w:lineRule="auto"/>
        <w:ind w:firstLine="396"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投标人名称（盖章）：</w:t>
      </w:r>
    </w:p>
    <w:p>
      <w:pPr>
        <w:spacing w:line="360" w:lineRule="auto"/>
        <w:ind w:firstLine="396"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日期：     年   月   日</w:t>
      </w:r>
    </w:p>
    <w:p>
      <w:pPr>
        <w:rPr>
          <w:rFonts w:hint="eastAsia"/>
          <w:sz w:val="21"/>
          <w:szCs w:val="21"/>
        </w:rPr>
      </w:pPr>
      <w:r>
        <w:rPr>
          <w:rFonts w:hint="eastAsia"/>
          <w:sz w:val="21"/>
          <w:szCs w:val="21"/>
        </w:rPr>
        <w:br w:type="page"/>
      </w:r>
    </w:p>
    <w:p>
      <w:pPr>
        <w:rPr>
          <w:rFonts w:hint="eastAsia"/>
        </w:rPr>
        <w:sectPr>
          <w:pgSz w:w="11906" w:h="16838"/>
          <w:pgMar w:top="1440" w:right="1800" w:bottom="1440" w:left="1800" w:header="851" w:footer="992" w:gutter="0"/>
          <w:cols w:space="425" w:num="1"/>
          <w:docGrid w:type="lines" w:linePitch="312" w:charSpace="0"/>
        </w:sectPr>
      </w:pPr>
    </w:p>
    <w:p>
      <w:pPr>
        <w:pageBreakBefore w:val="0"/>
        <w:kinsoku/>
        <w:overflowPunct/>
        <w:topLinePunct w:val="0"/>
        <w:bidi w:val="0"/>
        <w:adjustRightInd w:val="0"/>
        <w:snapToGrid w:val="0"/>
        <w:spacing w:line="360" w:lineRule="auto"/>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7：</w:t>
      </w:r>
    </w:p>
    <w:p>
      <w:pPr>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不分包</w:t>
      </w:r>
      <w:r>
        <w:rPr>
          <w:rFonts w:hint="eastAsia" w:ascii="宋体" w:hAnsi="宋体" w:eastAsia="宋体" w:cs="宋体"/>
          <w:b/>
          <w:bCs/>
          <w:color w:val="auto"/>
          <w:sz w:val="21"/>
          <w:szCs w:val="21"/>
          <w:highlight w:val="none"/>
          <w:lang w:val="en-US" w:eastAsia="zh-CN"/>
        </w:rPr>
        <w:t>投标的承诺函</w:t>
      </w:r>
    </w:p>
    <w:p>
      <w:pPr>
        <w:spacing w:line="360" w:lineRule="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致：</w:t>
      </w:r>
      <w:r>
        <w:rPr>
          <w:rFonts w:hint="eastAsia" w:ascii="宋体" w:hAnsi="宋体" w:eastAsia="宋体" w:cs="宋体"/>
          <w:color w:val="auto"/>
          <w:spacing w:val="-6"/>
          <w:sz w:val="21"/>
          <w:szCs w:val="21"/>
          <w:highlight w:val="none"/>
          <w:lang w:eastAsia="zh-CN"/>
        </w:rPr>
        <w:t>浙商银行股份有限公司</w:t>
      </w:r>
      <w:r>
        <w:rPr>
          <w:rFonts w:hint="eastAsia" w:ascii="宋体" w:hAnsi="宋体" w:cs="宋体"/>
          <w:color w:val="auto"/>
          <w:spacing w:val="-6"/>
          <w:sz w:val="21"/>
          <w:szCs w:val="21"/>
          <w:highlight w:val="none"/>
          <w:lang w:eastAsia="zh-CN"/>
        </w:rPr>
        <w:t>台州</w:t>
      </w:r>
      <w:r>
        <w:rPr>
          <w:rFonts w:hint="eastAsia" w:ascii="宋体" w:hAnsi="宋体" w:eastAsia="宋体" w:cs="宋体"/>
          <w:color w:val="auto"/>
          <w:spacing w:val="-6"/>
          <w:sz w:val="21"/>
          <w:szCs w:val="21"/>
          <w:highlight w:val="none"/>
          <w:lang w:eastAsia="zh-CN"/>
        </w:rPr>
        <w:t>分行</w:t>
      </w:r>
      <w:r>
        <w:rPr>
          <w:rFonts w:hint="eastAsia" w:ascii="宋体" w:hAnsi="宋体" w:eastAsia="宋体" w:cs="宋体"/>
          <w:color w:val="auto"/>
          <w:spacing w:val="-6"/>
          <w:sz w:val="21"/>
          <w:szCs w:val="21"/>
          <w:highlight w:val="none"/>
        </w:rPr>
        <w:t>：</w:t>
      </w:r>
    </w:p>
    <w:p>
      <w:pPr>
        <w:spacing w:line="360" w:lineRule="auto"/>
        <w:ind w:firstLine="396"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我公司郑重承诺：</w:t>
      </w:r>
      <w:r>
        <w:rPr>
          <w:rFonts w:hint="eastAsia" w:ascii="宋体" w:hAnsi="宋体" w:eastAsia="宋体" w:cs="宋体"/>
          <w:color w:val="auto"/>
          <w:kern w:val="0"/>
          <w:sz w:val="21"/>
          <w:szCs w:val="21"/>
          <w:highlight w:val="none"/>
        </w:rPr>
        <w:t>我方此次参加</w:t>
      </w:r>
      <w:r>
        <w:rPr>
          <w:rFonts w:hint="eastAsia" w:ascii="宋体" w:hAnsi="宋体" w:eastAsia="宋体" w:cs="宋体"/>
          <w:color w:val="auto"/>
          <w:sz w:val="21"/>
          <w:szCs w:val="21"/>
          <w:highlight w:val="none"/>
          <w:u w:val="single"/>
        </w:rPr>
        <w:t>（招标人名称）      （项目名称）</w:t>
      </w:r>
      <w:r>
        <w:rPr>
          <w:rFonts w:hint="eastAsia" w:ascii="宋体" w:hAnsi="宋体" w:cs="宋体"/>
          <w:color w:val="auto"/>
          <w:sz w:val="21"/>
          <w:szCs w:val="21"/>
          <w:highlight w:val="none"/>
          <w:u w:val="single"/>
          <w:lang w:eastAsia="zh-CN"/>
        </w:rPr>
        <w:t>（</w:t>
      </w:r>
      <w:r>
        <w:rPr>
          <w:rFonts w:hint="eastAsia" w:ascii="宋体" w:hAnsi="宋体" w:eastAsia="宋体" w:cs="宋体"/>
          <w:bCs/>
          <w:color w:val="auto"/>
          <w:spacing w:val="-6"/>
          <w:sz w:val="21"/>
          <w:szCs w:val="21"/>
          <w:highlight w:val="none"/>
          <w:lang w:eastAsia="zh-CN"/>
        </w:rPr>
        <w:t>项目编号</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的投标</w:t>
      </w:r>
      <w:r>
        <w:rPr>
          <w:rFonts w:hint="eastAsia" w:ascii="宋体" w:hAnsi="宋体" w:cs="宋体"/>
          <w:color w:val="auto"/>
          <w:spacing w:val="-6"/>
          <w:sz w:val="21"/>
          <w:szCs w:val="21"/>
          <w:highlight w:val="none"/>
          <w:lang w:eastAsia="zh-CN"/>
        </w:rPr>
        <w:t>，</w:t>
      </w:r>
      <w:r>
        <w:rPr>
          <w:rFonts w:hint="eastAsia" w:ascii="宋体" w:hAnsi="宋体" w:cs="宋体"/>
          <w:color w:val="auto"/>
          <w:spacing w:val="-6"/>
          <w:sz w:val="21"/>
          <w:szCs w:val="21"/>
          <w:highlight w:val="none"/>
          <w:lang w:val="en-US" w:eastAsia="zh-CN"/>
        </w:rPr>
        <w:t>承诺不分包</w:t>
      </w:r>
      <w:r>
        <w:rPr>
          <w:rFonts w:hint="eastAsia" w:ascii="宋体" w:hAnsi="宋体" w:eastAsia="宋体" w:cs="宋体"/>
          <w:color w:val="auto"/>
          <w:spacing w:val="-6"/>
          <w:sz w:val="21"/>
          <w:szCs w:val="21"/>
          <w:highlight w:val="none"/>
        </w:rPr>
        <w:t>。如有隐瞒，愿承担一切责任。</w:t>
      </w:r>
    </w:p>
    <w:p>
      <w:pPr>
        <w:spacing w:line="360" w:lineRule="auto"/>
        <w:ind w:firstLine="396" w:firstLineChars="200"/>
        <w:rPr>
          <w:rFonts w:hint="eastAsia" w:ascii="宋体" w:hAnsi="宋体" w:eastAsia="宋体" w:cs="宋体"/>
          <w:color w:val="auto"/>
          <w:spacing w:val="-6"/>
          <w:sz w:val="21"/>
          <w:szCs w:val="21"/>
          <w:highlight w:val="none"/>
        </w:rPr>
      </w:pPr>
    </w:p>
    <w:p>
      <w:pPr>
        <w:spacing w:line="360" w:lineRule="auto"/>
        <w:ind w:firstLine="396"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特此承诺！</w:t>
      </w:r>
    </w:p>
    <w:p>
      <w:pPr>
        <w:widowControl/>
        <w:snapToGrid w:val="0"/>
        <w:spacing w:line="360" w:lineRule="auto"/>
        <w:ind w:firstLine="420" w:firstLineChars="200"/>
        <w:jc w:val="left"/>
        <w:rPr>
          <w:rFonts w:hint="eastAsia" w:ascii="宋体" w:hAnsi="宋体" w:eastAsia="宋体" w:cs="宋体"/>
          <w:color w:val="auto"/>
          <w:kern w:val="0"/>
          <w:sz w:val="21"/>
          <w:szCs w:val="21"/>
          <w:highlight w:val="none"/>
        </w:rPr>
      </w:pPr>
    </w:p>
    <w:p>
      <w:pPr>
        <w:spacing w:line="360" w:lineRule="auto"/>
        <w:ind w:firstLine="396"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投标人名称（盖章）：</w:t>
      </w:r>
    </w:p>
    <w:p>
      <w:pPr>
        <w:spacing w:line="360" w:lineRule="auto"/>
        <w:ind w:firstLine="396"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日期：     年   月   日</w:t>
      </w:r>
    </w:p>
    <w:p>
      <w:pPr>
        <w:pStyle w:val="9"/>
        <w:rPr>
          <w:rFonts w:hint="eastAsia"/>
          <w:sz w:val="21"/>
          <w:szCs w:val="21"/>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color w:val="auto"/>
          <w:spacing w:val="-6"/>
          <w:sz w:val="24"/>
          <w:highlight w:val="none"/>
        </w:rPr>
      </w:pPr>
      <w:r>
        <w:rPr>
          <w:rFonts w:hint="eastAsia" w:ascii="宋体" w:hAnsi="宋体" w:cs="宋体"/>
          <w:bCs/>
          <w:color w:val="auto"/>
          <w:spacing w:val="-6"/>
          <w:sz w:val="24"/>
          <w:highlight w:val="none"/>
          <w:lang w:val="en-US" w:eastAsia="zh-CN"/>
        </w:rPr>
        <w:t>商务技术</w:t>
      </w:r>
      <w:r>
        <w:rPr>
          <w:rFonts w:hint="eastAsia" w:ascii="宋体" w:hAnsi="宋体" w:cs="宋体"/>
          <w:bCs/>
          <w:color w:val="auto"/>
          <w:spacing w:val="-6"/>
          <w:sz w:val="24"/>
          <w:highlight w:val="none"/>
        </w:rPr>
        <w:t>文件</w:t>
      </w:r>
      <w:r>
        <w:rPr>
          <w:rFonts w:hint="eastAsia" w:ascii="宋体" w:hAnsi="宋体" w:eastAsia="宋体" w:cs="宋体"/>
          <w:color w:val="auto"/>
          <w:spacing w:val="-6"/>
          <w:sz w:val="24"/>
          <w:highlight w:val="none"/>
        </w:rPr>
        <w:t>封面</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pacing w:val="-6"/>
          <w:sz w:val="24"/>
          <w:highlight w:val="none"/>
        </w:rPr>
      </w:pPr>
      <w:r>
        <w:rPr>
          <w:rFonts w:hint="eastAsia" w:ascii="宋体" w:hAnsi="宋体" w:eastAsia="宋体" w:cs="宋体"/>
          <w:bCs/>
          <w:color w:val="auto"/>
          <w:spacing w:val="-6"/>
          <w:sz w:val="24"/>
          <w:highlight w:val="none"/>
        </w:rPr>
        <w:t>（投标人名称）</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pacing w:val="-6"/>
          <w:sz w:val="24"/>
          <w:highlight w:val="none"/>
        </w:rPr>
      </w:pPr>
      <w:r>
        <w:rPr>
          <w:rFonts w:hint="eastAsia" w:ascii="宋体" w:hAnsi="宋体" w:cs="宋体"/>
          <w:b/>
          <w:bCs/>
          <w:color w:val="auto"/>
          <w:spacing w:val="-6"/>
          <w:sz w:val="24"/>
          <w:highlight w:val="none"/>
          <w:lang w:val="en-US" w:eastAsia="zh-CN"/>
        </w:rPr>
        <w:t>商务技术</w:t>
      </w:r>
      <w:r>
        <w:rPr>
          <w:rFonts w:hint="eastAsia" w:ascii="宋体" w:hAnsi="宋体" w:eastAsia="宋体" w:cs="宋体"/>
          <w:b/>
          <w:bCs/>
          <w:color w:val="auto"/>
          <w:spacing w:val="-6"/>
          <w:sz w:val="24"/>
          <w:highlight w:val="none"/>
        </w:rPr>
        <w:t>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pacing w:val="-6"/>
          <w:sz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pacing w:val="-6"/>
          <w:sz w:val="24"/>
          <w:highlight w:val="none"/>
          <w:lang w:eastAsia="zh-CN"/>
        </w:rPr>
      </w:pPr>
      <w:r>
        <w:rPr>
          <w:rFonts w:hint="eastAsia" w:ascii="宋体" w:hAnsi="宋体" w:eastAsia="宋体" w:cs="宋体"/>
          <w:bCs/>
          <w:color w:val="auto"/>
          <w:spacing w:val="-6"/>
          <w:sz w:val="24"/>
          <w:highlight w:val="none"/>
        </w:rPr>
        <w:t>招 标 人：</w:t>
      </w:r>
      <w:r>
        <w:rPr>
          <w:rFonts w:hint="eastAsia" w:ascii="宋体" w:hAnsi="宋体" w:eastAsia="宋体" w:cs="宋体"/>
          <w:bCs/>
          <w:color w:val="auto"/>
          <w:spacing w:val="-6"/>
          <w:sz w:val="24"/>
          <w:highlight w:val="none"/>
          <w:lang w:eastAsia="zh-CN"/>
        </w:rPr>
        <w:t>浙商银行股份有限公司</w:t>
      </w:r>
      <w:r>
        <w:rPr>
          <w:rFonts w:hint="eastAsia" w:ascii="宋体" w:hAnsi="宋体" w:eastAsia="宋体" w:cs="宋体"/>
          <w:bCs/>
          <w:color w:val="auto"/>
          <w:spacing w:val="-6"/>
          <w:sz w:val="24"/>
          <w:highlight w:val="none"/>
          <w:lang w:val="en-US" w:eastAsia="zh-CN"/>
        </w:rPr>
        <w:t>台州</w:t>
      </w:r>
      <w:r>
        <w:rPr>
          <w:rFonts w:hint="eastAsia" w:ascii="宋体" w:hAnsi="宋体" w:eastAsia="宋体" w:cs="宋体"/>
          <w:bCs/>
          <w:color w:val="auto"/>
          <w:spacing w:val="-6"/>
          <w:sz w:val="24"/>
          <w:highlight w:val="none"/>
          <w:lang w:eastAsia="zh-CN"/>
        </w:rPr>
        <w:t>分行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Cs/>
          <w:color w:val="auto"/>
          <w:spacing w:val="-6"/>
          <w:sz w:val="24"/>
          <w:highlight w:val="none"/>
          <w:lang w:val="en-US" w:eastAsia="zh-CN"/>
        </w:rPr>
      </w:pPr>
      <w:r>
        <w:rPr>
          <w:rFonts w:hint="eastAsia" w:ascii="宋体" w:hAnsi="宋体" w:eastAsia="宋体" w:cs="宋体"/>
          <w:bCs/>
          <w:color w:val="auto"/>
          <w:spacing w:val="-6"/>
          <w:sz w:val="24"/>
          <w:highlight w:val="none"/>
        </w:rPr>
        <w:t>项目名称：</w:t>
      </w:r>
      <w:r>
        <w:rPr>
          <w:rFonts w:hint="eastAsia" w:ascii="宋体" w:hAnsi="宋体" w:eastAsia="宋体" w:cs="宋体"/>
          <w:bCs/>
          <w:color w:val="auto"/>
          <w:spacing w:val="-6"/>
          <w:sz w:val="24"/>
          <w:highlight w:val="none"/>
          <w:lang w:eastAsia="zh-CN"/>
        </w:rPr>
        <w:t>浙商银行台州分行公司客户贷款抵押物（房屋建筑物）财产保险服务项目</w:t>
      </w:r>
      <w:r>
        <w:rPr>
          <w:rFonts w:hint="eastAsia" w:ascii="宋体" w:hAnsi="宋体" w:cs="宋体"/>
          <w:bCs/>
          <w:color w:val="auto"/>
          <w:spacing w:val="-6"/>
          <w:sz w:val="24"/>
          <w:highlight w:val="none"/>
          <w:lang w:val="en-US" w:eastAsia="zh-CN"/>
        </w:rPr>
        <w:t>采购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pacing w:val="-6"/>
          <w:sz w:val="24"/>
          <w:highlight w:val="none"/>
          <w:lang w:eastAsia="zh-CN"/>
        </w:rPr>
      </w:pPr>
      <w:r>
        <w:rPr>
          <w:rFonts w:hint="eastAsia" w:ascii="宋体" w:hAnsi="宋体" w:eastAsia="宋体" w:cs="宋体"/>
          <w:bCs/>
          <w:color w:val="auto"/>
          <w:spacing w:val="-6"/>
          <w:sz w:val="24"/>
          <w:highlight w:val="none"/>
          <w:lang w:eastAsia="zh-CN"/>
        </w:rPr>
        <w:t>项目编号：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pacing w:val="-6"/>
          <w:sz w:val="24"/>
          <w:highlight w:val="none"/>
        </w:rPr>
      </w:pPr>
      <w:r>
        <w:rPr>
          <w:rFonts w:hint="eastAsia" w:ascii="宋体" w:hAnsi="宋体" w:eastAsia="宋体" w:cs="宋体"/>
          <w:bCs/>
          <w:color w:val="auto"/>
          <w:spacing w:val="-6"/>
          <w:sz w:val="24"/>
          <w:highlight w:val="none"/>
        </w:rPr>
        <w:t>投标人名称（盖章）：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pacing w:val="-6"/>
          <w:sz w:val="24"/>
          <w:highlight w:val="none"/>
        </w:rPr>
      </w:pPr>
      <w:r>
        <w:rPr>
          <w:rFonts w:hint="eastAsia" w:ascii="宋体" w:hAnsi="宋体" w:eastAsia="宋体" w:cs="宋体"/>
          <w:bCs/>
          <w:color w:val="auto"/>
          <w:spacing w:val="-6"/>
          <w:sz w:val="24"/>
          <w:highlight w:val="none"/>
        </w:rPr>
        <w:t>投标人地址：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pacing w:val="-6"/>
          <w:sz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pacing w:val="-6"/>
          <w:sz w:val="24"/>
          <w:highlight w:val="none"/>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bCs/>
          <w:color w:val="auto"/>
          <w:spacing w:val="-6"/>
          <w:sz w:val="24"/>
          <w:highlight w:val="none"/>
        </w:rPr>
        <w:t>日期：     年   月   日</w:t>
      </w:r>
    </w:p>
    <w:p>
      <w:pPr>
        <w:pageBreakBefore w:val="0"/>
        <w:kinsoku/>
        <w:overflowPunct/>
        <w:topLinePunct w:val="0"/>
        <w:bidi w:val="0"/>
        <w:spacing w:line="360" w:lineRule="auto"/>
        <w:jc w:val="center"/>
        <w:outlineLvl w:val="1"/>
        <w:rPr>
          <w:rFonts w:hint="eastAsia" w:ascii="宋体" w:hAnsi="宋体" w:eastAsia="宋体" w:cs="宋体"/>
          <w:b/>
          <w:color w:val="auto"/>
          <w:sz w:val="52"/>
          <w:szCs w:val="52"/>
          <w:highlight w:val="none"/>
        </w:rPr>
      </w:pPr>
      <w:r>
        <w:rPr>
          <w:rFonts w:hint="eastAsia" w:ascii="宋体" w:hAnsi="宋体" w:cs="宋体"/>
          <w:b/>
          <w:color w:val="auto"/>
          <w:sz w:val="52"/>
          <w:szCs w:val="52"/>
          <w:highlight w:val="none"/>
          <w:lang w:val="en-US" w:eastAsia="zh-CN"/>
        </w:rPr>
        <w:t>商务</w:t>
      </w:r>
      <w:r>
        <w:rPr>
          <w:rFonts w:hint="eastAsia" w:ascii="宋体" w:hAnsi="宋体" w:eastAsia="宋体" w:cs="宋体"/>
          <w:b/>
          <w:color w:val="auto"/>
          <w:sz w:val="52"/>
          <w:szCs w:val="52"/>
          <w:highlight w:val="none"/>
        </w:rPr>
        <w:t>文件</w:t>
      </w:r>
    </w:p>
    <w:p>
      <w:pPr>
        <w:pageBreakBefore w:val="0"/>
        <w:kinsoku/>
        <w:overflowPunct/>
        <w:topLinePunct w:val="0"/>
        <w:bidi w:val="0"/>
        <w:spacing w:line="360" w:lineRule="auto"/>
        <w:jc w:val="center"/>
        <w:outlineLvl w:val="2"/>
        <w:rPr>
          <w:rFonts w:hint="eastAsia" w:ascii="宋体" w:hAnsi="宋体" w:eastAsia="宋体" w:cs="宋体"/>
          <w:b/>
          <w:color w:val="auto"/>
          <w:spacing w:val="-6"/>
          <w:sz w:val="21"/>
          <w:szCs w:val="21"/>
          <w:highlight w:val="none"/>
        </w:rPr>
      </w:pPr>
      <w:r>
        <w:rPr>
          <w:rFonts w:hint="eastAsia" w:ascii="宋体" w:hAnsi="宋体" w:eastAsia="宋体" w:cs="宋体"/>
          <w:b/>
          <w:color w:val="auto"/>
          <w:spacing w:val="-6"/>
          <w:sz w:val="21"/>
          <w:szCs w:val="21"/>
          <w:highlight w:val="none"/>
        </w:rPr>
        <w:t>投标函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rPr>
        <w:t>致：</w:t>
      </w:r>
    </w:p>
    <w:p>
      <w:pPr>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根据贵方为</w:t>
      </w:r>
      <w:r>
        <w:rPr>
          <w:rFonts w:hint="eastAsia" w:ascii="宋体" w:hAnsi="宋体" w:eastAsia="宋体" w:cs="宋体"/>
          <w:bCs/>
          <w:color w:val="auto"/>
          <w:spacing w:val="-6"/>
          <w:sz w:val="21"/>
          <w:szCs w:val="21"/>
          <w:highlight w:val="none"/>
          <w:lang w:eastAsia="zh-CN"/>
        </w:rPr>
        <w:t>浙商银行股份有限公司</w:t>
      </w:r>
      <w:r>
        <w:rPr>
          <w:rFonts w:hint="eastAsia" w:ascii="宋体" w:hAnsi="宋体" w:cs="宋体"/>
          <w:bCs/>
          <w:color w:val="auto"/>
          <w:spacing w:val="-6"/>
          <w:sz w:val="21"/>
          <w:szCs w:val="21"/>
          <w:highlight w:val="none"/>
          <w:lang w:eastAsia="zh-CN"/>
        </w:rPr>
        <w:t>台州</w:t>
      </w:r>
      <w:r>
        <w:rPr>
          <w:rFonts w:hint="eastAsia" w:ascii="宋体" w:hAnsi="宋体" w:eastAsia="宋体" w:cs="宋体"/>
          <w:bCs/>
          <w:color w:val="auto"/>
          <w:spacing w:val="-6"/>
          <w:sz w:val="21"/>
          <w:szCs w:val="21"/>
          <w:highlight w:val="none"/>
          <w:lang w:eastAsia="zh-CN"/>
        </w:rPr>
        <w:t>分行</w:t>
      </w:r>
      <w:r>
        <w:rPr>
          <w:rFonts w:hint="eastAsia" w:ascii="宋体" w:hAnsi="宋体" w:eastAsia="宋体" w:cs="宋体"/>
          <w:bCs/>
          <w:color w:val="auto"/>
          <w:spacing w:val="-6"/>
          <w:sz w:val="21"/>
          <w:szCs w:val="21"/>
          <w:highlight w:val="none"/>
          <w:u w:val="single"/>
          <w:lang w:eastAsia="zh-CN"/>
        </w:rPr>
        <w:t>浙商银行台州分行公司客户贷款抵押物（房屋建筑物）财产保险服务项目采购</w:t>
      </w:r>
      <w:r>
        <w:rPr>
          <w:rFonts w:hint="eastAsia" w:ascii="宋体" w:hAnsi="宋体" w:eastAsia="宋体" w:cs="宋体"/>
          <w:color w:val="auto"/>
          <w:spacing w:val="-6"/>
          <w:sz w:val="21"/>
          <w:szCs w:val="21"/>
          <w:highlight w:val="none"/>
        </w:rPr>
        <w:t>的投标邀请【</w:t>
      </w:r>
      <w:r>
        <w:rPr>
          <w:rFonts w:hint="eastAsia" w:ascii="宋体" w:hAnsi="宋体" w:eastAsia="宋体" w:cs="宋体"/>
          <w:color w:val="auto"/>
          <w:spacing w:val="-6"/>
          <w:sz w:val="21"/>
          <w:szCs w:val="21"/>
          <w:highlight w:val="none"/>
          <w:lang w:eastAsia="zh-CN"/>
        </w:rPr>
        <w:t>项目编号：</w:t>
      </w:r>
      <w:r>
        <w:rPr>
          <w:rFonts w:hint="eastAsia" w:ascii="宋体" w:hAnsi="宋体" w:eastAsia="宋体" w:cs="宋体"/>
          <w:bCs/>
          <w:color w:val="auto"/>
          <w:spacing w:val="-6"/>
          <w:sz w:val="21"/>
          <w:szCs w:val="21"/>
          <w:highlight w:val="none"/>
        </w:rPr>
        <w:t>】</w:t>
      </w:r>
      <w:r>
        <w:rPr>
          <w:rFonts w:hint="eastAsia" w:ascii="宋体" w:hAnsi="宋体" w:eastAsia="宋体" w:cs="宋体"/>
          <w:color w:val="auto"/>
          <w:spacing w:val="-6"/>
          <w:sz w:val="21"/>
          <w:szCs w:val="21"/>
          <w:highlight w:val="none"/>
        </w:rPr>
        <w:t>，签字代表</w:t>
      </w:r>
      <w:r>
        <w:rPr>
          <w:rFonts w:hint="eastAsia" w:ascii="宋体" w:hAnsi="宋体" w:eastAsia="宋体" w:cs="宋体"/>
          <w:bCs/>
          <w:color w:val="auto"/>
          <w:spacing w:val="-6"/>
          <w:sz w:val="21"/>
          <w:szCs w:val="21"/>
          <w:highlight w:val="none"/>
        </w:rPr>
        <w:t>____________</w:t>
      </w:r>
      <w:r>
        <w:rPr>
          <w:rFonts w:hint="eastAsia" w:ascii="宋体" w:hAnsi="宋体" w:eastAsia="宋体" w:cs="宋体"/>
          <w:color w:val="auto"/>
          <w:spacing w:val="-6"/>
          <w:sz w:val="21"/>
          <w:szCs w:val="21"/>
          <w:highlight w:val="none"/>
        </w:rPr>
        <w:t>（全名）经正式授权并代表投标人</w:t>
      </w:r>
      <w:r>
        <w:rPr>
          <w:rFonts w:hint="eastAsia" w:ascii="宋体" w:hAnsi="宋体" w:eastAsia="宋体" w:cs="宋体"/>
          <w:bCs/>
          <w:color w:val="auto"/>
          <w:spacing w:val="-6"/>
          <w:sz w:val="21"/>
          <w:szCs w:val="21"/>
          <w:highlight w:val="none"/>
        </w:rPr>
        <w:t>____________________（</w:t>
      </w:r>
      <w:r>
        <w:rPr>
          <w:rFonts w:hint="eastAsia" w:ascii="宋体" w:hAnsi="宋体" w:eastAsia="宋体" w:cs="宋体"/>
          <w:color w:val="auto"/>
          <w:spacing w:val="-6"/>
          <w:sz w:val="21"/>
          <w:szCs w:val="21"/>
          <w:highlight w:val="none"/>
        </w:rPr>
        <w:t>投标人名称）提交投标文件。</w:t>
      </w:r>
    </w:p>
    <w:p>
      <w:pPr>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据此函，签字代表宣布同意如下：</w:t>
      </w:r>
    </w:p>
    <w:p>
      <w:pPr>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1.投标人已详细审查全部“招标文件”，包括修改文件（如有）以及全部参考资料和有关附件，已经了解我方对于招标文件、招标过程、中标结果有依法进行询问、异议的权利及相关渠道和要求。</w:t>
      </w:r>
    </w:p>
    <w:p>
      <w:pPr>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2.投标人在投标之前已经与贵方进行了充分的沟通，完全理解并接受招标文件的各项规定和要求，对招标文件的合理性、合法性不再有异议。</w:t>
      </w:r>
    </w:p>
    <w:p>
      <w:pPr>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3.投标有效期自提交投标文件的截止之日起</w:t>
      </w:r>
      <w:r>
        <w:rPr>
          <w:rFonts w:hint="eastAsia" w:ascii="宋体" w:hAnsi="宋体" w:eastAsia="宋体" w:cs="宋体"/>
          <w:bCs/>
          <w:color w:val="auto"/>
          <w:spacing w:val="-6"/>
          <w:sz w:val="21"/>
          <w:szCs w:val="21"/>
          <w:highlight w:val="none"/>
          <w:u w:val="single"/>
        </w:rPr>
        <w:t xml:space="preserve"> 90 </w:t>
      </w:r>
      <w:r>
        <w:rPr>
          <w:rFonts w:hint="eastAsia" w:ascii="宋体" w:hAnsi="宋体" w:eastAsia="宋体" w:cs="宋体"/>
          <w:color w:val="auto"/>
          <w:spacing w:val="-6"/>
          <w:sz w:val="21"/>
          <w:szCs w:val="21"/>
          <w:highlight w:val="none"/>
        </w:rPr>
        <w:t>天。</w:t>
      </w:r>
    </w:p>
    <w:p>
      <w:pPr>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4.如</w:t>
      </w:r>
      <w:r>
        <w:rPr>
          <w:rFonts w:hint="eastAsia" w:ascii="宋体" w:hAnsi="宋体" w:eastAsia="宋体" w:cs="宋体"/>
          <w:color w:val="auto"/>
          <w:spacing w:val="-6"/>
          <w:sz w:val="21"/>
          <w:szCs w:val="21"/>
          <w:highlight w:val="none"/>
          <w:lang w:val="en-US" w:eastAsia="zh-CN"/>
        </w:rPr>
        <w:t>入围</w:t>
      </w:r>
      <w:r>
        <w:rPr>
          <w:rFonts w:hint="eastAsia" w:ascii="宋体" w:hAnsi="宋体" w:eastAsia="宋体" w:cs="宋体"/>
          <w:color w:val="auto"/>
          <w:spacing w:val="-6"/>
          <w:sz w:val="21"/>
          <w:szCs w:val="21"/>
          <w:highlight w:val="none"/>
        </w:rPr>
        <w:t>本投标文件至本项目合同履行完毕止均保持有效，本投标人将按“招标文件”及相关法律、法规的规定履行合同责任和义务。</w:t>
      </w:r>
    </w:p>
    <w:p>
      <w:pPr>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5.投标人同意按照贵方要求提供与投标有关的一切数据或资料，绝无任何虚假、伪造和夸大的成份，并接受招标文件提出的核查要求，否则，愿承担相应的后果和法律责任。</w:t>
      </w:r>
    </w:p>
    <w:p>
      <w:pPr>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6.与本投标有关的一切正式往来信函请寄：</w:t>
      </w:r>
    </w:p>
    <w:p>
      <w:pPr>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地址：                              邮编：</w:t>
      </w:r>
    </w:p>
    <w:p>
      <w:pPr>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eastAsia" w:ascii="宋体" w:hAnsi="宋体" w:eastAsia="宋体" w:cs="宋体"/>
          <w:color w:val="auto"/>
          <w:spacing w:val="-6"/>
          <w:sz w:val="21"/>
          <w:szCs w:val="21"/>
          <w:highlight w:val="none"/>
          <w:u w:val="single"/>
        </w:rPr>
      </w:pPr>
      <w:r>
        <w:rPr>
          <w:rFonts w:hint="eastAsia" w:ascii="宋体" w:hAnsi="宋体" w:eastAsia="宋体" w:cs="宋体"/>
          <w:color w:val="auto"/>
          <w:spacing w:val="-6"/>
          <w:sz w:val="21"/>
          <w:szCs w:val="21"/>
          <w:highlight w:val="none"/>
        </w:rPr>
        <w:t xml:space="preserve">电话：                              传真：                         </w:t>
      </w:r>
    </w:p>
    <w:p>
      <w:pPr>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 xml:space="preserve">投标人代表姓名：                    职务：                        </w:t>
      </w:r>
    </w:p>
    <w:p>
      <w:pPr>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开户银行：</w:t>
      </w:r>
    </w:p>
    <w:p>
      <w:pPr>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银行账号：</w:t>
      </w:r>
    </w:p>
    <w:p>
      <w:pPr>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户名：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6"/>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投标人名称（盖章）：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日期：     年   月   日</w:t>
      </w:r>
    </w:p>
    <w:p>
      <w:pPr>
        <w:spacing w:line="360" w:lineRule="auto"/>
        <w:rPr>
          <w:rFonts w:hint="eastAsia" w:ascii="宋体" w:hAnsi="宋体" w:eastAsia="宋体" w:cs="宋体"/>
          <w:b/>
          <w:color w:val="auto"/>
          <w:spacing w:val="-6"/>
          <w:sz w:val="21"/>
          <w:szCs w:val="21"/>
          <w:highlight w:val="none"/>
        </w:rPr>
      </w:pPr>
      <w:r>
        <w:rPr>
          <w:rFonts w:hint="eastAsia" w:ascii="宋体" w:hAnsi="宋体" w:eastAsia="宋体" w:cs="宋体"/>
          <w:b/>
          <w:color w:val="auto"/>
          <w:spacing w:val="-6"/>
          <w:sz w:val="21"/>
          <w:szCs w:val="21"/>
          <w:highlight w:val="none"/>
        </w:rPr>
        <w:br w:type="page"/>
      </w:r>
    </w:p>
    <w:p>
      <w:pPr>
        <w:pageBreakBefore w:val="0"/>
        <w:kinsoku/>
        <w:overflowPunct/>
        <w:topLinePunct w:val="0"/>
        <w:bidi w:val="0"/>
        <w:spacing w:line="360" w:lineRule="auto"/>
        <w:jc w:val="center"/>
        <w:outlineLvl w:val="2"/>
        <w:rPr>
          <w:rFonts w:hint="eastAsia" w:ascii="宋体" w:hAnsi="宋体" w:eastAsia="宋体" w:cs="宋体"/>
          <w:bCs/>
          <w:color w:val="auto"/>
          <w:spacing w:val="-6"/>
          <w:sz w:val="21"/>
          <w:szCs w:val="21"/>
          <w:highlight w:val="none"/>
        </w:rPr>
      </w:pPr>
      <w:r>
        <w:rPr>
          <w:rFonts w:hint="eastAsia" w:ascii="宋体" w:hAnsi="宋体" w:eastAsia="宋体" w:cs="宋体"/>
          <w:b/>
          <w:color w:val="auto"/>
          <w:spacing w:val="-6"/>
          <w:sz w:val="21"/>
          <w:szCs w:val="21"/>
          <w:highlight w:val="none"/>
        </w:rPr>
        <w:t>承诺函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rPr>
        <w:t>致：</w:t>
      </w:r>
      <w:r>
        <w:rPr>
          <w:rFonts w:hint="eastAsia" w:ascii="宋体" w:hAnsi="宋体" w:eastAsia="宋体" w:cs="宋体"/>
          <w:color w:val="auto"/>
          <w:spacing w:val="-6"/>
          <w:sz w:val="21"/>
          <w:szCs w:val="21"/>
          <w:highlight w:val="none"/>
          <w:lang w:eastAsia="zh-CN"/>
        </w:rPr>
        <w:t>浙商银行股份有限公司</w:t>
      </w:r>
      <w:r>
        <w:rPr>
          <w:rFonts w:hint="eastAsia" w:ascii="宋体" w:hAnsi="宋体" w:cs="宋体"/>
          <w:color w:val="auto"/>
          <w:spacing w:val="-6"/>
          <w:sz w:val="21"/>
          <w:szCs w:val="21"/>
          <w:highlight w:val="none"/>
          <w:lang w:eastAsia="zh-CN"/>
        </w:rPr>
        <w:t>台州</w:t>
      </w:r>
      <w:r>
        <w:rPr>
          <w:rFonts w:hint="eastAsia" w:ascii="宋体" w:hAnsi="宋体" w:eastAsia="宋体" w:cs="宋体"/>
          <w:color w:val="auto"/>
          <w:spacing w:val="-6"/>
          <w:sz w:val="21"/>
          <w:szCs w:val="21"/>
          <w:highlight w:val="none"/>
          <w:lang w:eastAsia="zh-CN"/>
        </w:rPr>
        <w:t>分行</w:t>
      </w:r>
    </w:p>
    <w:p>
      <w:pPr>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我方了解了本次公开招标的条件、要求以及办法后，愿意参加贵方的</w:t>
      </w:r>
      <w:r>
        <w:rPr>
          <w:rFonts w:hint="eastAsia" w:ascii="宋体" w:hAnsi="宋体" w:eastAsia="宋体" w:cs="宋体"/>
          <w:color w:val="auto"/>
          <w:spacing w:val="-6"/>
          <w:sz w:val="21"/>
          <w:szCs w:val="21"/>
          <w:highlight w:val="none"/>
          <w:lang w:eastAsia="zh-CN"/>
        </w:rPr>
        <w:t>浙商银行台州分行公司客户贷款抵押物（房屋建筑物）财产保险服务项目采购</w:t>
      </w:r>
      <w:r>
        <w:rPr>
          <w:rFonts w:hint="eastAsia" w:ascii="宋体" w:hAnsi="宋体" w:eastAsia="宋体" w:cs="宋体"/>
          <w:color w:val="auto"/>
          <w:spacing w:val="-6"/>
          <w:sz w:val="21"/>
          <w:szCs w:val="21"/>
          <w:highlight w:val="none"/>
        </w:rPr>
        <w:t>的投标，并按公开招标文件要求提出相应的投标方案。</w:t>
      </w:r>
    </w:p>
    <w:p>
      <w:pPr>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我方一旦</w:t>
      </w:r>
      <w:r>
        <w:rPr>
          <w:rFonts w:hint="eastAsia" w:ascii="宋体" w:hAnsi="宋体" w:eastAsia="宋体" w:cs="宋体"/>
          <w:color w:val="auto"/>
          <w:spacing w:val="-6"/>
          <w:sz w:val="21"/>
          <w:szCs w:val="21"/>
          <w:highlight w:val="none"/>
          <w:lang w:eastAsia="zh-CN"/>
        </w:rPr>
        <w:t>入围</w:t>
      </w:r>
      <w:r>
        <w:rPr>
          <w:rFonts w:hint="eastAsia" w:ascii="宋体" w:hAnsi="宋体" w:eastAsia="宋体" w:cs="宋体"/>
          <w:color w:val="auto"/>
          <w:spacing w:val="-6"/>
          <w:sz w:val="21"/>
          <w:szCs w:val="21"/>
          <w:highlight w:val="none"/>
        </w:rPr>
        <w:t>，在签订正式合同文本之前，本投标文件、应贵方要求的补充应答（或澄清说明）、连同贵方的招标文件应成为约束我方的文件。</w:t>
      </w:r>
    </w:p>
    <w:p>
      <w:pPr>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我方在投标过程中所了解的</w:t>
      </w:r>
      <w:r>
        <w:rPr>
          <w:rFonts w:hint="eastAsia" w:ascii="宋体" w:hAnsi="宋体" w:eastAsia="宋体" w:cs="宋体"/>
          <w:color w:val="auto"/>
          <w:spacing w:val="-6"/>
          <w:sz w:val="21"/>
          <w:szCs w:val="21"/>
          <w:highlight w:val="none"/>
          <w:lang w:eastAsia="zh-CN"/>
        </w:rPr>
        <w:t>浙商银行台州分行公司客户贷款抵押物（房屋建筑物）财产保险服务项目采购</w:t>
      </w:r>
      <w:r>
        <w:rPr>
          <w:rFonts w:hint="eastAsia" w:ascii="宋体" w:hAnsi="宋体" w:eastAsia="宋体" w:cs="宋体"/>
          <w:color w:val="auto"/>
          <w:spacing w:val="-6"/>
          <w:sz w:val="21"/>
          <w:szCs w:val="21"/>
          <w:highlight w:val="none"/>
        </w:rPr>
        <w:t>相关的任何信息资料，不论是何种载体或以何种方式传递的信息，仅限于本次投标所用，我方承诺不会将此类信息用于任何与本次投标无关的用途。</w:t>
      </w:r>
    </w:p>
    <w:p>
      <w:pPr>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我方对本次投标所提供的全部信息的真实、准确负责。</w:t>
      </w:r>
    </w:p>
    <w:p>
      <w:pPr>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我方也完全理解，贵方有权选择任何贵方可能收到的投标方案。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投标人名称（盖章）：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pacing w:val="-6"/>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日期：     年   月   日</w:t>
      </w:r>
    </w:p>
    <w:p>
      <w:pPr>
        <w:rPr>
          <w:rFonts w:hint="eastAsia"/>
        </w:rPr>
      </w:pPr>
    </w:p>
    <w:p>
      <w:pPr>
        <w:pStyle w:val="9"/>
        <w:rPr>
          <w:rFonts w:hint="eastAsia"/>
        </w:rPr>
        <w:sectPr>
          <w:pgSz w:w="11906" w:h="16838"/>
          <w:pgMar w:top="1440" w:right="1800" w:bottom="1440" w:left="1800" w:header="851" w:footer="992" w:gutter="0"/>
          <w:cols w:space="425" w:num="1"/>
          <w:docGrid w:type="lines" w:linePitch="312" w:charSpace="0"/>
        </w:sectPr>
      </w:pPr>
    </w:p>
    <w:p>
      <w:pPr>
        <w:pageBreakBefore w:val="0"/>
        <w:kinsoku/>
        <w:overflowPunct/>
        <w:topLinePunct w:val="0"/>
        <w:bidi w:val="0"/>
        <w:spacing w:line="360" w:lineRule="auto"/>
        <w:jc w:val="center"/>
        <w:outlineLvl w:val="2"/>
        <w:rPr>
          <w:rFonts w:hint="eastAsia" w:ascii="宋体" w:hAnsi="宋体" w:eastAsia="宋体" w:cs="宋体"/>
          <w:b/>
          <w:color w:val="auto"/>
          <w:spacing w:val="-6"/>
          <w:sz w:val="21"/>
          <w:szCs w:val="21"/>
          <w:highlight w:val="none"/>
        </w:rPr>
      </w:pPr>
      <w:r>
        <w:rPr>
          <w:rFonts w:hint="eastAsia" w:ascii="宋体" w:hAnsi="宋体" w:eastAsia="宋体" w:cs="宋体"/>
          <w:b/>
          <w:color w:val="auto"/>
          <w:spacing w:val="-6"/>
          <w:sz w:val="21"/>
          <w:szCs w:val="21"/>
          <w:highlight w:val="none"/>
        </w:rPr>
        <w:t>法定代表人资格证明书</w:t>
      </w:r>
    </w:p>
    <w:p>
      <w:pPr>
        <w:pageBreakBefore w:val="0"/>
        <w:kinsoku/>
        <w:overflowPunct/>
        <w:topLinePunct w:val="0"/>
        <w:bidi w:val="0"/>
        <w:spacing w:line="360" w:lineRule="auto"/>
        <w:rPr>
          <w:rFonts w:hint="eastAsia" w:ascii="宋体" w:hAnsi="宋体" w:eastAsia="宋体" w:cs="宋体"/>
          <w:bCs/>
          <w:color w:val="auto"/>
          <w:spacing w:val="-6"/>
          <w:sz w:val="21"/>
          <w:szCs w:val="21"/>
          <w:highlight w:val="none"/>
          <w:lang w:eastAsia="zh-CN"/>
        </w:rPr>
      </w:pPr>
      <w:r>
        <w:rPr>
          <w:rFonts w:hint="eastAsia" w:ascii="宋体" w:hAnsi="宋体" w:eastAsia="宋体" w:cs="宋体"/>
          <w:bCs/>
          <w:color w:val="auto"/>
          <w:spacing w:val="-6"/>
          <w:sz w:val="21"/>
          <w:szCs w:val="21"/>
          <w:highlight w:val="none"/>
        </w:rPr>
        <w:t>致：</w:t>
      </w:r>
      <w:r>
        <w:rPr>
          <w:rFonts w:hint="eastAsia" w:ascii="宋体" w:hAnsi="宋体" w:eastAsia="宋体" w:cs="宋体"/>
          <w:bCs/>
          <w:color w:val="auto"/>
          <w:spacing w:val="-6"/>
          <w:sz w:val="21"/>
          <w:szCs w:val="21"/>
          <w:highlight w:val="none"/>
          <w:lang w:eastAsia="zh-CN"/>
        </w:rPr>
        <w:t>浙商银行股份有限公司</w:t>
      </w:r>
      <w:r>
        <w:rPr>
          <w:rFonts w:hint="eastAsia" w:ascii="宋体" w:hAnsi="宋体" w:cs="宋体"/>
          <w:bCs/>
          <w:color w:val="auto"/>
          <w:spacing w:val="-6"/>
          <w:sz w:val="21"/>
          <w:szCs w:val="21"/>
          <w:highlight w:val="none"/>
          <w:lang w:eastAsia="zh-CN"/>
        </w:rPr>
        <w:t>台州</w:t>
      </w:r>
      <w:r>
        <w:rPr>
          <w:rFonts w:hint="eastAsia" w:ascii="宋体" w:hAnsi="宋体" w:eastAsia="宋体" w:cs="宋体"/>
          <w:bCs/>
          <w:color w:val="auto"/>
          <w:spacing w:val="-6"/>
          <w:sz w:val="21"/>
          <w:szCs w:val="21"/>
          <w:highlight w:val="none"/>
          <w:lang w:eastAsia="zh-CN"/>
        </w:rPr>
        <w:t>分行</w:t>
      </w:r>
      <w:r>
        <w:rPr>
          <w:rFonts w:hint="eastAsia" w:ascii="宋体" w:hAnsi="宋体" w:eastAsia="宋体" w:cs="宋体"/>
          <w:bCs/>
          <w:color w:val="auto"/>
          <w:spacing w:val="-6"/>
          <w:sz w:val="21"/>
          <w:szCs w:val="21"/>
          <w:highlight w:val="none"/>
        </w:rPr>
        <w:t>、</w:t>
      </w:r>
      <w:r>
        <w:rPr>
          <w:rFonts w:hint="eastAsia" w:ascii="宋体" w:hAnsi="宋体" w:cs="宋体"/>
          <w:bCs/>
          <w:color w:val="auto"/>
          <w:spacing w:val="-6"/>
          <w:sz w:val="21"/>
          <w:szCs w:val="21"/>
          <w:highlight w:val="none"/>
          <w:lang w:val="en-US" w:eastAsia="zh-CN"/>
        </w:rPr>
        <w:t>浙江华夏工程管理有限公司</w:t>
      </w:r>
    </w:p>
    <w:p>
      <w:pPr>
        <w:pageBreakBefore w:val="0"/>
        <w:kinsoku/>
        <w:overflowPunct/>
        <w:topLinePunct w:val="0"/>
        <w:bidi w:val="0"/>
        <w:spacing w:line="360" w:lineRule="auto"/>
        <w:ind w:firstLine="396" w:firstLineChars="200"/>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我</w:t>
      </w:r>
      <w:r>
        <w:rPr>
          <w:rFonts w:hint="eastAsia" w:ascii="宋体" w:hAnsi="宋体" w:eastAsia="宋体" w:cs="宋体"/>
          <w:color w:val="auto"/>
          <w:spacing w:val="-6"/>
          <w:sz w:val="21"/>
          <w:szCs w:val="21"/>
          <w:highlight w:val="none"/>
        </w:rPr>
        <w:t>________________</w:t>
      </w:r>
      <w:r>
        <w:rPr>
          <w:rFonts w:hint="eastAsia" w:ascii="宋体" w:hAnsi="宋体" w:eastAsia="宋体" w:cs="宋体"/>
          <w:bCs/>
          <w:color w:val="auto"/>
          <w:spacing w:val="-6"/>
          <w:sz w:val="21"/>
          <w:szCs w:val="21"/>
          <w:highlight w:val="none"/>
        </w:rPr>
        <w:t>（姓名）系_________________________（投标人名称）的法定代表人，身份证号码：_________________________________。</w:t>
      </w:r>
    </w:p>
    <w:p>
      <w:pPr>
        <w:pageBreakBefore w:val="0"/>
        <w:kinsoku/>
        <w:overflowPunct/>
        <w:topLinePunct w:val="0"/>
        <w:bidi w:val="0"/>
        <w:spacing w:line="360" w:lineRule="auto"/>
        <w:ind w:firstLine="396" w:firstLineChars="200"/>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特此证明。</w:t>
      </w:r>
    </w:p>
    <w:p>
      <w:pPr>
        <w:pageBreakBefore w:val="0"/>
        <w:kinsoku/>
        <w:overflowPunct/>
        <w:topLinePunct w:val="0"/>
        <w:bidi w:val="0"/>
        <w:spacing w:line="360" w:lineRule="auto"/>
        <w:rPr>
          <w:rFonts w:hint="eastAsia" w:ascii="宋体" w:hAnsi="宋体" w:eastAsia="宋体" w:cs="宋体"/>
          <w:bCs/>
          <w:color w:val="auto"/>
          <w:spacing w:val="-6"/>
          <w:sz w:val="21"/>
          <w:szCs w:val="21"/>
          <w:highlight w:val="non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8" w:hRule="atLeast"/>
          <w:jc w:val="center"/>
        </w:trPr>
        <w:tc>
          <w:tcPr>
            <w:tcW w:w="9628" w:type="dxa"/>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法定代表人身份证</w:t>
            </w:r>
            <w:r>
              <w:rPr>
                <w:rFonts w:hint="eastAsia" w:ascii="宋体" w:hAnsi="宋体" w:eastAsia="宋体" w:cs="宋体"/>
                <w:color w:val="auto"/>
                <w:sz w:val="21"/>
                <w:szCs w:val="21"/>
                <w:highlight w:val="none"/>
                <w:lang w:eastAsia="zh-CN"/>
              </w:rPr>
              <w:t>复制件</w:t>
            </w:r>
            <w:r>
              <w:rPr>
                <w:rFonts w:hint="eastAsia" w:ascii="宋体" w:hAnsi="宋体" w:eastAsia="宋体" w:cs="宋体"/>
                <w:color w:val="auto"/>
                <w:sz w:val="21"/>
                <w:szCs w:val="21"/>
                <w:highlight w:val="none"/>
              </w:rPr>
              <w:t>粘贴处</w:t>
            </w:r>
          </w:p>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（正面）                                  （反面）</w:t>
            </w:r>
          </w:p>
        </w:tc>
      </w:tr>
    </w:tbl>
    <w:p>
      <w:pPr>
        <w:pageBreakBefore w:val="0"/>
        <w:kinsoku/>
        <w:overflowPunct/>
        <w:topLinePunct w:val="0"/>
        <w:bidi w:val="0"/>
        <w:spacing w:line="360" w:lineRule="auto"/>
        <w:rPr>
          <w:rFonts w:hint="eastAsia" w:ascii="宋体" w:hAnsi="宋体" w:eastAsia="宋体" w:cs="宋体"/>
          <w:bCs/>
          <w:color w:val="auto"/>
          <w:spacing w:val="-6"/>
          <w:sz w:val="21"/>
          <w:szCs w:val="21"/>
          <w:highlight w:val="none"/>
        </w:rPr>
      </w:pPr>
    </w:p>
    <w:p>
      <w:pPr>
        <w:pageBreakBefore w:val="0"/>
        <w:kinsoku/>
        <w:overflowPunct/>
        <w:topLinePunct w:val="0"/>
        <w:bidi w:val="0"/>
        <w:spacing w:line="360" w:lineRule="auto"/>
        <w:rPr>
          <w:rFonts w:hint="eastAsia" w:ascii="宋体" w:hAnsi="宋体" w:eastAsia="宋体" w:cs="宋体"/>
          <w:b/>
          <w:bCs/>
          <w:color w:val="auto"/>
          <w:spacing w:val="-6"/>
          <w:sz w:val="21"/>
          <w:szCs w:val="21"/>
          <w:highlight w:val="none"/>
        </w:rPr>
      </w:pPr>
    </w:p>
    <w:p>
      <w:pPr>
        <w:pageBreakBefore w:val="0"/>
        <w:kinsoku/>
        <w:overflowPunct/>
        <w:topLinePunct w:val="0"/>
        <w:bidi w:val="0"/>
        <w:spacing w:line="360" w:lineRule="auto"/>
        <w:rPr>
          <w:rFonts w:hint="eastAsia" w:ascii="宋体" w:hAnsi="宋体" w:eastAsia="宋体" w:cs="宋体"/>
          <w:b/>
          <w:bCs/>
          <w:color w:val="auto"/>
          <w:spacing w:val="-6"/>
          <w:sz w:val="21"/>
          <w:szCs w:val="21"/>
          <w:highlight w:val="none"/>
        </w:rPr>
      </w:pPr>
    </w:p>
    <w:p>
      <w:pPr>
        <w:pageBreakBefore w:val="0"/>
        <w:kinsoku/>
        <w:overflowPunct/>
        <w:topLinePunct w:val="0"/>
        <w:bidi w:val="0"/>
        <w:spacing w:line="360" w:lineRule="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投标人名称（盖章）：</w:t>
      </w:r>
    </w:p>
    <w:p>
      <w:pPr>
        <w:pageBreakBefore w:val="0"/>
        <w:kinsoku/>
        <w:overflowPunct/>
        <w:topLinePunct w:val="0"/>
        <w:bidi w:val="0"/>
        <w:spacing w:line="360" w:lineRule="auto"/>
        <w:rPr>
          <w:rFonts w:hint="eastAsia" w:ascii="宋体" w:hAnsi="宋体" w:eastAsia="宋体" w:cs="宋体"/>
          <w:color w:val="auto"/>
          <w:spacing w:val="-6"/>
          <w:sz w:val="21"/>
          <w:szCs w:val="21"/>
          <w:highlight w:val="none"/>
        </w:rPr>
      </w:pPr>
      <w:r>
        <w:rPr>
          <w:rFonts w:hint="eastAsia" w:ascii="宋体" w:hAnsi="宋体" w:eastAsia="宋体" w:cs="宋体"/>
          <w:bCs/>
          <w:color w:val="auto"/>
          <w:spacing w:val="-6"/>
          <w:sz w:val="21"/>
          <w:szCs w:val="21"/>
          <w:highlight w:val="none"/>
        </w:rPr>
        <w:t>日期：     年   月   日</w:t>
      </w:r>
    </w:p>
    <w:p>
      <w:pPr>
        <w:spacing w:line="360" w:lineRule="auto"/>
        <w:rPr>
          <w:rFonts w:hint="eastAsia"/>
          <w:sz w:val="21"/>
          <w:szCs w:val="21"/>
        </w:rPr>
        <w:sectPr>
          <w:pgSz w:w="11906" w:h="16838"/>
          <w:pgMar w:top="1440" w:right="1800" w:bottom="1440" w:left="1800" w:header="851" w:footer="992" w:gutter="0"/>
          <w:cols w:space="425" w:num="1"/>
          <w:docGrid w:type="lines" w:linePitch="312" w:charSpace="0"/>
        </w:sectPr>
      </w:pPr>
    </w:p>
    <w:p>
      <w:pPr>
        <w:pageBreakBefore w:val="0"/>
        <w:kinsoku/>
        <w:overflowPunct/>
        <w:topLinePunct w:val="0"/>
        <w:bidi w:val="0"/>
        <w:spacing w:line="360" w:lineRule="auto"/>
        <w:jc w:val="center"/>
        <w:outlineLvl w:val="2"/>
        <w:rPr>
          <w:rFonts w:hint="eastAsia" w:ascii="宋体" w:hAnsi="宋体" w:eastAsia="宋体" w:cs="宋体"/>
          <w:b/>
          <w:color w:val="auto"/>
          <w:spacing w:val="-6"/>
          <w:sz w:val="21"/>
          <w:szCs w:val="21"/>
          <w:highlight w:val="none"/>
        </w:rPr>
      </w:pPr>
      <w:r>
        <w:rPr>
          <w:rFonts w:hint="eastAsia" w:ascii="宋体" w:hAnsi="宋体" w:eastAsia="宋体" w:cs="宋体"/>
          <w:b/>
          <w:color w:val="auto"/>
          <w:spacing w:val="-6"/>
          <w:sz w:val="21"/>
          <w:szCs w:val="21"/>
          <w:highlight w:val="none"/>
        </w:rPr>
        <w:t>法定代表人授权委托书</w:t>
      </w:r>
    </w:p>
    <w:p>
      <w:pPr>
        <w:pageBreakBefore w:val="0"/>
        <w:kinsoku/>
        <w:overflowPunct/>
        <w:topLinePunct w:val="0"/>
        <w:bidi w:val="0"/>
        <w:spacing w:line="360" w:lineRule="auto"/>
        <w:rPr>
          <w:rFonts w:hint="eastAsia" w:ascii="宋体" w:hAnsi="宋体" w:eastAsia="宋体" w:cs="宋体"/>
          <w:b/>
          <w:bCs/>
          <w:color w:val="auto"/>
          <w:spacing w:val="-6"/>
          <w:sz w:val="21"/>
          <w:szCs w:val="21"/>
          <w:highlight w:val="none"/>
          <w:lang w:eastAsia="zh-CN"/>
        </w:rPr>
      </w:pPr>
      <w:r>
        <w:rPr>
          <w:rFonts w:hint="eastAsia" w:ascii="宋体" w:hAnsi="宋体" w:eastAsia="宋体" w:cs="宋体"/>
          <w:bCs/>
          <w:color w:val="auto"/>
          <w:spacing w:val="-6"/>
          <w:sz w:val="21"/>
          <w:szCs w:val="21"/>
          <w:highlight w:val="none"/>
        </w:rPr>
        <w:t>致：</w:t>
      </w:r>
      <w:r>
        <w:rPr>
          <w:rFonts w:hint="eastAsia" w:ascii="宋体" w:hAnsi="宋体" w:eastAsia="宋体" w:cs="宋体"/>
          <w:bCs/>
          <w:color w:val="auto"/>
          <w:spacing w:val="-6"/>
          <w:sz w:val="21"/>
          <w:szCs w:val="21"/>
          <w:highlight w:val="none"/>
          <w:lang w:eastAsia="zh-CN"/>
        </w:rPr>
        <w:t>浙商银行股份有限公司</w:t>
      </w:r>
      <w:r>
        <w:rPr>
          <w:rFonts w:hint="eastAsia" w:ascii="宋体" w:hAnsi="宋体" w:cs="宋体"/>
          <w:bCs/>
          <w:color w:val="auto"/>
          <w:spacing w:val="-6"/>
          <w:sz w:val="21"/>
          <w:szCs w:val="21"/>
          <w:highlight w:val="none"/>
          <w:lang w:eastAsia="zh-CN"/>
        </w:rPr>
        <w:t>台州</w:t>
      </w:r>
      <w:r>
        <w:rPr>
          <w:rFonts w:hint="eastAsia" w:ascii="宋体" w:hAnsi="宋体" w:eastAsia="宋体" w:cs="宋体"/>
          <w:bCs/>
          <w:color w:val="auto"/>
          <w:spacing w:val="-6"/>
          <w:sz w:val="21"/>
          <w:szCs w:val="21"/>
          <w:highlight w:val="none"/>
          <w:lang w:eastAsia="zh-CN"/>
        </w:rPr>
        <w:t>分行</w:t>
      </w:r>
      <w:r>
        <w:rPr>
          <w:rFonts w:hint="eastAsia" w:ascii="宋体" w:hAnsi="宋体" w:eastAsia="宋体" w:cs="宋体"/>
          <w:bCs/>
          <w:color w:val="auto"/>
          <w:spacing w:val="-6"/>
          <w:sz w:val="21"/>
          <w:szCs w:val="21"/>
          <w:highlight w:val="none"/>
        </w:rPr>
        <w:t>、</w:t>
      </w:r>
      <w:r>
        <w:rPr>
          <w:rFonts w:hint="eastAsia" w:ascii="宋体" w:hAnsi="宋体" w:cs="宋体"/>
          <w:bCs/>
          <w:color w:val="auto"/>
          <w:spacing w:val="-6"/>
          <w:sz w:val="21"/>
          <w:szCs w:val="21"/>
          <w:highlight w:val="none"/>
          <w:lang w:val="en-US" w:eastAsia="zh-CN"/>
        </w:rPr>
        <w:t>浙江华夏工程管理有限公司</w:t>
      </w:r>
    </w:p>
    <w:p>
      <w:pPr>
        <w:pageBreakBefore w:val="0"/>
        <w:kinsoku/>
        <w:overflowPunct/>
        <w:topLinePunct w:val="0"/>
        <w:bidi w:val="0"/>
        <w:spacing w:line="360" w:lineRule="auto"/>
        <w:ind w:firstLine="396"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本授权书声明：</w:t>
      </w:r>
      <w:r>
        <w:rPr>
          <w:rFonts w:hint="eastAsia" w:ascii="宋体" w:hAnsi="宋体" w:eastAsia="宋体" w:cs="宋体"/>
          <w:color w:val="auto"/>
          <w:spacing w:val="-6"/>
          <w:sz w:val="21"/>
          <w:szCs w:val="21"/>
          <w:highlight w:val="none"/>
          <w:u w:val="single"/>
        </w:rPr>
        <w:t>（投标人名称）</w:t>
      </w:r>
      <w:r>
        <w:rPr>
          <w:rFonts w:hint="eastAsia" w:ascii="宋体" w:hAnsi="宋体" w:eastAsia="宋体" w:cs="宋体"/>
          <w:color w:val="auto"/>
          <w:spacing w:val="-6"/>
          <w:sz w:val="21"/>
          <w:szCs w:val="21"/>
          <w:highlight w:val="none"/>
        </w:rPr>
        <w:t>，由法定代表人</w:t>
      </w:r>
      <w:r>
        <w:rPr>
          <w:rFonts w:hint="eastAsia" w:ascii="宋体" w:hAnsi="宋体" w:eastAsia="宋体" w:cs="宋体"/>
          <w:color w:val="auto"/>
          <w:spacing w:val="-6"/>
          <w:sz w:val="21"/>
          <w:szCs w:val="21"/>
          <w:highlight w:val="none"/>
          <w:u w:val="single"/>
        </w:rPr>
        <w:t>（法定代表人姓名）</w:t>
      </w:r>
      <w:r>
        <w:rPr>
          <w:rFonts w:hint="eastAsia" w:ascii="宋体" w:hAnsi="宋体" w:eastAsia="宋体" w:cs="宋体"/>
          <w:color w:val="auto"/>
          <w:spacing w:val="-6"/>
          <w:sz w:val="21"/>
          <w:szCs w:val="21"/>
          <w:highlight w:val="none"/>
        </w:rPr>
        <w:t>代表本公司授权</w:t>
      </w:r>
      <w:r>
        <w:rPr>
          <w:rFonts w:hint="eastAsia" w:ascii="宋体" w:hAnsi="宋体" w:eastAsia="宋体" w:cs="宋体"/>
          <w:color w:val="auto"/>
          <w:spacing w:val="-6"/>
          <w:sz w:val="21"/>
          <w:szCs w:val="21"/>
          <w:highlight w:val="none"/>
          <w:u w:val="single"/>
        </w:rPr>
        <w:t>（授权代表姓名）</w:t>
      </w:r>
      <w:r>
        <w:rPr>
          <w:rFonts w:hint="eastAsia" w:ascii="宋体" w:hAnsi="宋体" w:eastAsia="宋体" w:cs="宋体"/>
          <w:color w:val="auto"/>
          <w:spacing w:val="-6"/>
          <w:sz w:val="21"/>
          <w:szCs w:val="21"/>
          <w:highlight w:val="none"/>
        </w:rPr>
        <w:t>为本公司的合法代理人，就</w:t>
      </w:r>
      <w:r>
        <w:rPr>
          <w:rFonts w:hint="eastAsia" w:ascii="宋体" w:hAnsi="宋体" w:eastAsia="宋体" w:cs="宋体"/>
          <w:color w:val="auto"/>
          <w:spacing w:val="-6"/>
          <w:sz w:val="21"/>
          <w:szCs w:val="21"/>
          <w:highlight w:val="none"/>
          <w:lang w:eastAsia="zh-CN"/>
        </w:rPr>
        <w:t>浙商银行股份有限公司</w:t>
      </w:r>
      <w:r>
        <w:rPr>
          <w:rFonts w:hint="eastAsia" w:ascii="宋体" w:hAnsi="宋体" w:cs="宋体"/>
          <w:color w:val="auto"/>
          <w:spacing w:val="-6"/>
          <w:sz w:val="21"/>
          <w:szCs w:val="21"/>
          <w:highlight w:val="none"/>
          <w:lang w:eastAsia="zh-CN"/>
        </w:rPr>
        <w:t>台州</w:t>
      </w:r>
      <w:r>
        <w:rPr>
          <w:rFonts w:hint="eastAsia" w:ascii="宋体" w:hAnsi="宋体" w:eastAsia="宋体" w:cs="宋体"/>
          <w:color w:val="auto"/>
          <w:spacing w:val="-6"/>
          <w:sz w:val="21"/>
          <w:szCs w:val="21"/>
          <w:highlight w:val="none"/>
          <w:lang w:eastAsia="zh-CN"/>
        </w:rPr>
        <w:t>分行</w:t>
      </w:r>
      <w:r>
        <w:rPr>
          <w:rFonts w:hint="eastAsia" w:ascii="宋体" w:hAnsi="宋体" w:eastAsia="宋体" w:cs="宋体"/>
          <w:color w:val="auto"/>
          <w:spacing w:val="-6"/>
          <w:sz w:val="21"/>
          <w:szCs w:val="21"/>
          <w:highlight w:val="none"/>
        </w:rPr>
        <w:t>项目的投标，授权代表有权代表本公司以本公司名义处理一切与之有关的事务。</w:t>
      </w:r>
    </w:p>
    <w:p>
      <w:pPr>
        <w:pageBreakBefore w:val="0"/>
        <w:kinsoku/>
        <w:overflowPunct/>
        <w:topLinePunct w:val="0"/>
        <w:bidi w:val="0"/>
        <w:spacing w:line="360" w:lineRule="auto"/>
        <w:ind w:firstLine="396"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本授权书于    年   月   日签字生效，特此申明。</w:t>
      </w:r>
    </w:p>
    <w:p>
      <w:pPr>
        <w:pageBreakBefore w:val="0"/>
        <w:kinsoku/>
        <w:overflowPunct/>
        <w:topLinePunct w:val="0"/>
        <w:bidi w:val="0"/>
        <w:spacing w:line="360" w:lineRule="auto"/>
        <w:ind w:firstLine="396" w:firstLineChars="200"/>
        <w:rPr>
          <w:rFonts w:hint="eastAsia" w:ascii="宋体" w:hAnsi="宋体" w:eastAsia="宋体" w:cs="宋体"/>
          <w:color w:val="auto"/>
          <w:spacing w:val="-6"/>
          <w:sz w:val="21"/>
          <w:szCs w:val="21"/>
          <w:highlight w:val="none"/>
        </w:rPr>
      </w:pPr>
    </w:p>
    <w:p>
      <w:pPr>
        <w:pageBreakBefore w:val="0"/>
        <w:kinsoku/>
        <w:overflowPunct/>
        <w:topLinePunct w:val="0"/>
        <w:bidi w:val="0"/>
        <w:spacing w:line="360" w:lineRule="auto"/>
        <w:ind w:firstLine="398" w:firstLineChars="200"/>
        <w:rPr>
          <w:rFonts w:hint="eastAsia" w:ascii="宋体" w:hAnsi="宋体" w:eastAsia="宋体" w:cs="宋体"/>
          <w:color w:val="auto"/>
          <w:spacing w:val="-6"/>
          <w:sz w:val="21"/>
          <w:szCs w:val="21"/>
          <w:highlight w:val="none"/>
          <w:u w:val="single"/>
        </w:rPr>
      </w:pPr>
      <w:r>
        <w:rPr>
          <w:rFonts w:hint="eastAsia" w:ascii="宋体" w:hAnsi="宋体" w:eastAsia="宋体" w:cs="宋体"/>
          <w:b/>
          <w:bCs/>
          <w:color w:val="auto"/>
          <w:spacing w:val="-6"/>
          <w:sz w:val="21"/>
          <w:szCs w:val="21"/>
          <w:highlight w:val="none"/>
        </w:rPr>
        <w:t>法定代表人签字或盖章：</w:t>
      </w:r>
    </w:p>
    <w:p>
      <w:pPr>
        <w:pageBreakBefore w:val="0"/>
        <w:kinsoku/>
        <w:overflowPunct/>
        <w:topLinePunct w:val="0"/>
        <w:bidi w:val="0"/>
        <w:spacing w:line="360" w:lineRule="auto"/>
        <w:ind w:firstLine="396"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法定代表人身份证号码：</w:t>
      </w:r>
    </w:p>
    <w:p>
      <w:pPr>
        <w:pageBreakBefore w:val="0"/>
        <w:kinsoku/>
        <w:overflowPunct/>
        <w:topLinePunct w:val="0"/>
        <w:bidi w:val="0"/>
        <w:spacing w:line="360" w:lineRule="auto"/>
        <w:ind w:firstLine="396" w:firstLineChars="200"/>
        <w:rPr>
          <w:rFonts w:hint="eastAsia" w:ascii="宋体" w:hAnsi="宋体" w:eastAsia="宋体" w:cs="宋体"/>
          <w:color w:val="auto"/>
          <w:spacing w:val="-6"/>
          <w:sz w:val="21"/>
          <w:szCs w:val="21"/>
          <w:highlight w:val="none"/>
        </w:rPr>
      </w:pPr>
    </w:p>
    <w:p>
      <w:pPr>
        <w:pageBreakBefore w:val="0"/>
        <w:kinsoku/>
        <w:overflowPunct/>
        <w:topLinePunct w:val="0"/>
        <w:bidi w:val="0"/>
        <w:spacing w:line="360" w:lineRule="auto"/>
        <w:ind w:firstLine="398" w:firstLineChars="200"/>
        <w:rPr>
          <w:rFonts w:hint="eastAsia" w:ascii="宋体" w:hAnsi="宋体" w:eastAsia="宋体" w:cs="宋体"/>
          <w:color w:val="auto"/>
          <w:spacing w:val="-6"/>
          <w:sz w:val="21"/>
          <w:szCs w:val="21"/>
          <w:highlight w:val="none"/>
          <w:u w:val="single"/>
        </w:rPr>
      </w:pPr>
      <w:r>
        <w:rPr>
          <w:rFonts w:hint="eastAsia" w:ascii="宋体" w:hAnsi="宋体" w:eastAsia="宋体" w:cs="宋体"/>
          <w:b/>
          <w:bCs/>
          <w:color w:val="auto"/>
          <w:spacing w:val="-6"/>
          <w:sz w:val="21"/>
          <w:szCs w:val="21"/>
          <w:highlight w:val="none"/>
        </w:rPr>
        <w:t>授权代表签字或盖章：</w:t>
      </w:r>
    </w:p>
    <w:p>
      <w:pPr>
        <w:pageBreakBefore w:val="0"/>
        <w:kinsoku/>
        <w:overflowPunct/>
        <w:topLinePunct w:val="0"/>
        <w:bidi w:val="0"/>
        <w:spacing w:line="360" w:lineRule="auto"/>
        <w:ind w:firstLine="396"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授权代表身份证号码：</w:t>
      </w:r>
    </w:p>
    <w:p>
      <w:pPr>
        <w:pageBreakBefore w:val="0"/>
        <w:kinsoku/>
        <w:overflowPunct/>
        <w:topLinePunct w:val="0"/>
        <w:bidi w:val="0"/>
        <w:spacing w:line="360" w:lineRule="auto"/>
        <w:ind w:firstLine="368" w:firstLineChars="186"/>
        <w:rPr>
          <w:rFonts w:hint="eastAsia" w:ascii="宋体" w:hAnsi="宋体" w:eastAsia="宋体" w:cs="宋体"/>
          <w:color w:val="auto"/>
          <w:spacing w:val="-6"/>
          <w:sz w:val="21"/>
          <w:szCs w:val="21"/>
          <w:highlight w:val="none"/>
        </w:rPr>
      </w:pPr>
    </w:p>
    <w:p>
      <w:pPr>
        <w:pageBreakBefore w:val="0"/>
        <w:kinsoku/>
        <w:overflowPunct/>
        <w:topLinePunct w:val="0"/>
        <w:bidi w:val="0"/>
        <w:spacing w:line="360" w:lineRule="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投标人名称（盖章）：</w:t>
      </w:r>
    </w:p>
    <w:p>
      <w:pPr>
        <w:pageBreakBefore w:val="0"/>
        <w:kinsoku/>
        <w:overflowPunct/>
        <w:topLinePunct w:val="0"/>
        <w:bidi w:val="0"/>
        <w:spacing w:line="360" w:lineRule="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日期：     年   月   日</w:t>
      </w:r>
    </w:p>
    <w:tbl>
      <w:tblPr>
        <w:tblStyle w:val="21"/>
        <w:tblW w:w="9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atLeast"/>
          <w:jc w:val="center"/>
        </w:trPr>
        <w:tc>
          <w:tcPr>
            <w:tcW w:w="9680" w:type="dxa"/>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法定代表人身份证</w:t>
            </w:r>
            <w:r>
              <w:rPr>
                <w:rFonts w:hint="eastAsia" w:ascii="宋体" w:hAnsi="宋体" w:eastAsia="宋体" w:cs="宋体"/>
                <w:color w:val="auto"/>
                <w:sz w:val="21"/>
                <w:szCs w:val="21"/>
                <w:highlight w:val="none"/>
                <w:lang w:eastAsia="zh-CN"/>
              </w:rPr>
              <w:t>复制件</w:t>
            </w:r>
            <w:r>
              <w:rPr>
                <w:rFonts w:hint="eastAsia" w:ascii="宋体" w:hAnsi="宋体" w:eastAsia="宋体" w:cs="宋体"/>
                <w:color w:val="auto"/>
                <w:sz w:val="21"/>
                <w:szCs w:val="21"/>
                <w:highlight w:val="none"/>
              </w:rPr>
              <w:t>粘贴处</w:t>
            </w:r>
          </w:p>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（正面）                                  （反面）</w:t>
            </w:r>
          </w:p>
        </w:tc>
      </w:tr>
    </w:tbl>
    <w:p>
      <w:pPr>
        <w:pageBreakBefore w:val="0"/>
        <w:kinsoku/>
        <w:overflowPunct/>
        <w:topLinePunct w:val="0"/>
        <w:bidi w:val="0"/>
        <w:spacing w:line="360" w:lineRule="auto"/>
        <w:rPr>
          <w:rFonts w:hint="eastAsia" w:ascii="宋体" w:hAnsi="宋体" w:eastAsia="宋体" w:cs="宋体"/>
          <w:color w:val="auto"/>
          <w:spacing w:val="-6"/>
          <w:sz w:val="21"/>
          <w:szCs w:val="21"/>
          <w:highlight w:val="non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jc w:val="center"/>
        </w:trPr>
        <w:tc>
          <w:tcPr>
            <w:tcW w:w="9600" w:type="dxa"/>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授权代表</w:t>
            </w:r>
            <w:r>
              <w:rPr>
                <w:rFonts w:hint="eastAsia" w:ascii="宋体" w:hAnsi="宋体" w:eastAsia="宋体" w:cs="宋体"/>
                <w:color w:val="auto"/>
                <w:sz w:val="21"/>
                <w:szCs w:val="21"/>
                <w:highlight w:val="none"/>
              </w:rPr>
              <w:t>身份证</w:t>
            </w:r>
            <w:r>
              <w:rPr>
                <w:rFonts w:hint="eastAsia" w:ascii="宋体" w:hAnsi="宋体" w:eastAsia="宋体" w:cs="宋体"/>
                <w:color w:val="auto"/>
                <w:sz w:val="21"/>
                <w:szCs w:val="21"/>
                <w:highlight w:val="none"/>
                <w:lang w:eastAsia="zh-CN"/>
              </w:rPr>
              <w:t>复制件</w:t>
            </w:r>
            <w:r>
              <w:rPr>
                <w:rFonts w:hint="eastAsia" w:ascii="宋体" w:hAnsi="宋体" w:eastAsia="宋体" w:cs="宋体"/>
                <w:color w:val="auto"/>
                <w:sz w:val="21"/>
                <w:szCs w:val="21"/>
                <w:highlight w:val="none"/>
              </w:rPr>
              <w:t>粘贴处</w:t>
            </w:r>
          </w:p>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（正面）                                  （反面）</w:t>
            </w:r>
          </w:p>
        </w:tc>
      </w:tr>
    </w:tbl>
    <w:p>
      <w:pPr>
        <w:pStyle w:val="11"/>
        <w:keepNext w:val="0"/>
        <w:keepLines w:val="0"/>
        <w:pageBreakBefore w:val="0"/>
        <w:widowControl w:val="0"/>
        <w:kinsoku/>
        <w:wordWrap/>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b/>
          <w:color w:val="auto"/>
          <w:spacing w:val="-6"/>
          <w:sz w:val="21"/>
          <w:szCs w:val="21"/>
          <w:highlight w:val="none"/>
        </w:rPr>
      </w:pPr>
    </w:p>
    <w:p>
      <w:pPr>
        <w:pageBreakBefore w:val="0"/>
        <w:kinsoku/>
        <w:overflowPunct/>
        <w:topLinePunct w:val="0"/>
        <w:bidi w:val="0"/>
        <w:spacing w:line="360" w:lineRule="auto"/>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说明：</w:t>
      </w:r>
    </w:p>
    <w:p>
      <w:pPr>
        <w:pageBreakBefore w:val="0"/>
        <w:kinsoku/>
        <w:overflowPunct/>
        <w:topLinePunct w:val="0"/>
        <w:bidi w:val="0"/>
        <w:spacing w:line="360" w:lineRule="auto"/>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1.投标人的法定代表人参加投标，须在投标文件中提供：法定代表人资格证明书；</w:t>
      </w:r>
    </w:p>
    <w:p>
      <w:pPr>
        <w:pageBreakBefore w:val="0"/>
        <w:kinsoku/>
        <w:overflowPunct/>
        <w:topLinePunct w:val="0"/>
        <w:bidi w:val="0"/>
        <w:spacing w:line="360" w:lineRule="auto"/>
        <w:rPr>
          <w:rFonts w:hint="eastAsia" w:ascii="宋体" w:hAnsi="宋体" w:eastAsia="宋体" w:cs="宋体"/>
          <w:color w:val="auto"/>
          <w:spacing w:val="-6"/>
          <w:sz w:val="21"/>
          <w:szCs w:val="21"/>
          <w:highlight w:val="none"/>
        </w:rPr>
      </w:pPr>
      <w:r>
        <w:rPr>
          <w:rFonts w:hint="eastAsia" w:ascii="宋体" w:hAnsi="宋体" w:eastAsia="宋体" w:cs="宋体"/>
          <w:b/>
          <w:bCs/>
          <w:color w:val="auto"/>
          <w:spacing w:val="-6"/>
          <w:sz w:val="21"/>
          <w:szCs w:val="21"/>
          <w:highlight w:val="none"/>
        </w:rPr>
        <w:t>2.投标人的法定代表人委托授权代表参加投标，须在投标文件中提供：法定代表人资格证明书和法定代表人授权委托书。</w:t>
      </w:r>
    </w:p>
    <w:p>
      <w:pPr>
        <w:bidi w:val="0"/>
        <w:rPr>
          <w:rFonts w:hint="eastAsia" w:ascii="宋体" w:hAnsi="宋体" w:eastAsia="宋体" w:cs="宋体"/>
          <w:color w:val="auto"/>
          <w:sz w:val="21"/>
          <w:szCs w:val="21"/>
          <w:highlight w:val="none"/>
        </w:rPr>
      </w:pPr>
    </w:p>
    <w:p>
      <w:pPr>
        <w:bidi w:val="0"/>
        <w:rPr>
          <w:rFonts w:hint="eastAsia" w:ascii="宋体" w:hAnsi="宋体" w:eastAsia="宋体" w:cs="宋体"/>
          <w:color w:val="auto"/>
          <w:sz w:val="21"/>
          <w:szCs w:val="21"/>
          <w:highlight w:val="none"/>
        </w:rPr>
      </w:pPr>
    </w:p>
    <w:p>
      <w:pPr>
        <w:pStyle w:val="15"/>
        <w:spacing w:line="360" w:lineRule="auto"/>
        <w:ind w:left="0" w:firstLine="0" w:firstLineChars="0"/>
        <w:jc w:val="center"/>
        <w:outlineLvl w:val="2"/>
        <w:rPr>
          <w:rFonts w:hint="eastAsia" w:ascii="宋体" w:hAnsi="宋体"/>
          <w:b/>
          <w:spacing w:val="-6"/>
          <w:sz w:val="21"/>
          <w:szCs w:val="21"/>
        </w:rPr>
      </w:pPr>
      <w:r>
        <w:rPr>
          <w:rFonts w:hint="eastAsia" w:ascii="宋体" w:hAnsi="宋体"/>
          <w:b/>
          <w:spacing w:val="-6"/>
          <w:sz w:val="21"/>
          <w:szCs w:val="21"/>
        </w:rPr>
        <w:t>【</w:t>
      </w:r>
      <w:r>
        <w:rPr>
          <w:rFonts w:hint="eastAsia" w:ascii="宋体" w:hAnsi="宋体"/>
          <w:b/>
          <w:spacing w:val="-6"/>
          <w:sz w:val="21"/>
          <w:szCs w:val="21"/>
          <w:lang w:val="en-US" w:eastAsia="zh-CN"/>
        </w:rPr>
        <w:t>2025</w:t>
      </w:r>
      <w:r>
        <w:rPr>
          <w:rFonts w:hint="eastAsia" w:ascii="宋体" w:hAnsi="宋体"/>
          <w:b/>
          <w:spacing w:val="-6"/>
          <w:sz w:val="21"/>
          <w:szCs w:val="21"/>
        </w:rPr>
        <w:t>年</w:t>
      </w:r>
      <w:r>
        <w:rPr>
          <w:rFonts w:hint="eastAsia" w:ascii="宋体" w:hAnsi="宋体"/>
          <w:b/>
          <w:spacing w:val="-6"/>
          <w:sz w:val="21"/>
          <w:szCs w:val="21"/>
          <w:lang w:val="en-US" w:eastAsia="zh-CN"/>
        </w:rPr>
        <w:t>6</w:t>
      </w:r>
      <w:r>
        <w:rPr>
          <w:rFonts w:hint="eastAsia" w:ascii="宋体" w:hAnsi="宋体"/>
          <w:b/>
          <w:spacing w:val="-6"/>
          <w:sz w:val="21"/>
          <w:szCs w:val="21"/>
        </w:rPr>
        <w:t>月】至今任意一月的投标授权代表的社保缴纳证明</w:t>
      </w:r>
    </w:p>
    <w:p>
      <w:pPr>
        <w:pStyle w:val="15"/>
        <w:pageBreakBefore w:val="0"/>
        <w:kinsoku/>
        <w:overflowPunct/>
        <w:topLinePunct w:val="0"/>
        <w:bidi w:val="0"/>
        <w:spacing w:line="360" w:lineRule="auto"/>
        <w:ind w:left="0" w:firstLine="0" w:firstLineChars="0"/>
        <w:jc w:val="center"/>
        <w:rPr>
          <w:rFonts w:hint="eastAsia" w:ascii="宋体" w:hAnsi="宋体" w:eastAsia="宋体" w:cs="宋体"/>
          <w:b/>
          <w:color w:val="auto"/>
          <w:spacing w:val="-6"/>
          <w:sz w:val="21"/>
          <w:szCs w:val="21"/>
          <w:highlight w:val="none"/>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b/>
          <w:color w:val="auto"/>
          <w:spacing w:val="-6"/>
          <w:sz w:val="21"/>
          <w:szCs w:val="21"/>
          <w:highlight w:val="none"/>
        </w:rPr>
        <w:t>（授权代表为法定代表人可不提供）</w:t>
      </w:r>
    </w:p>
    <w:p>
      <w:pPr>
        <w:pStyle w:val="15"/>
        <w:spacing w:line="360" w:lineRule="auto"/>
        <w:ind w:left="0" w:firstLine="0" w:firstLineChars="0"/>
        <w:jc w:val="center"/>
        <w:outlineLvl w:val="2"/>
        <w:rPr>
          <w:rFonts w:hint="eastAsia" w:ascii="宋体" w:hAnsi="宋体" w:eastAsia="宋体" w:cs="宋体"/>
          <w:b/>
          <w:spacing w:val="-6"/>
          <w:sz w:val="21"/>
          <w:szCs w:val="21"/>
        </w:rPr>
      </w:pPr>
      <w:r>
        <w:rPr>
          <w:rFonts w:hint="eastAsia" w:ascii="宋体" w:hAnsi="宋体" w:eastAsia="宋体" w:cs="宋体"/>
          <w:b/>
          <w:spacing w:val="-6"/>
          <w:sz w:val="21"/>
          <w:szCs w:val="21"/>
        </w:rPr>
        <w:t>投标人情况简介</w:t>
      </w:r>
    </w:p>
    <w:p>
      <w:pPr>
        <w:spacing w:line="360" w:lineRule="auto"/>
        <w:ind w:firstLine="396" w:firstLineChars="200"/>
        <w:rPr>
          <w:rFonts w:hint="eastAsia" w:ascii="宋体" w:hAnsi="宋体" w:eastAsia="宋体" w:cs="宋体"/>
          <w:spacing w:val="-6"/>
          <w:sz w:val="21"/>
          <w:szCs w:val="21"/>
        </w:rPr>
      </w:pPr>
      <w:r>
        <w:rPr>
          <w:rFonts w:hint="eastAsia" w:ascii="宋体" w:hAnsi="宋体" w:eastAsia="宋体" w:cs="宋体"/>
          <w:spacing w:val="-6"/>
          <w:sz w:val="21"/>
          <w:szCs w:val="21"/>
        </w:rPr>
        <w:t>一、名称和概况</w:t>
      </w:r>
    </w:p>
    <w:p>
      <w:pPr>
        <w:spacing w:line="360" w:lineRule="auto"/>
        <w:ind w:firstLine="396" w:firstLineChars="200"/>
        <w:rPr>
          <w:rFonts w:hint="eastAsia" w:ascii="宋体" w:hAnsi="宋体" w:eastAsia="宋体" w:cs="宋体"/>
          <w:spacing w:val="-6"/>
          <w:sz w:val="21"/>
          <w:szCs w:val="21"/>
        </w:rPr>
      </w:pPr>
      <w:r>
        <w:rPr>
          <w:rFonts w:hint="eastAsia" w:ascii="宋体" w:hAnsi="宋体" w:eastAsia="宋体" w:cs="宋体"/>
          <w:spacing w:val="-6"/>
          <w:sz w:val="21"/>
          <w:szCs w:val="21"/>
        </w:rPr>
        <w:t>（一）投标人名称：</w:t>
      </w:r>
    </w:p>
    <w:p>
      <w:pPr>
        <w:spacing w:line="360" w:lineRule="auto"/>
        <w:ind w:firstLine="396" w:firstLineChars="200"/>
        <w:rPr>
          <w:rFonts w:hint="eastAsia" w:ascii="宋体" w:hAnsi="宋体" w:eastAsia="宋体" w:cs="宋体"/>
          <w:spacing w:val="-6"/>
          <w:sz w:val="21"/>
          <w:szCs w:val="21"/>
        </w:rPr>
      </w:pPr>
      <w:r>
        <w:rPr>
          <w:rFonts w:hint="eastAsia" w:ascii="宋体" w:hAnsi="宋体" w:eastAsia="宋体" w:cs="宋体"/>
          <w:spacing w:val="-6"/>
          <w:sz w:val="21"/>
          <w:szCs w:val="21"/>
        </w:rPr>
        <w:t>（二）地址：                                邮编：</w:t>
      </w:r>
    </w:p>
    <w:p>
      <w:pPr>
        <w:spacing w:line="360" w:lineRule="auto"/>
        <w:ind w:firstLine="396" w:firstLineChars="200"/>
        <w:rPr>
          <w:rFonts w:hint="eastAsia" w:ascii="宋体" w:hAnsi="宋体" w:eastAsia="宋体" w:cs="宋体"/>
          <w:spacing w:val="-6"/>
          <w:sz w:val="21"/>
          <w:szCs w:val="21"/>
        </w:rPr>
      </w:pPr>
      <w:r>
        <w:rPr>
          <w:rFonts w:hint="eastAsia" w:ascii="宋体" w:hAnsi="宋体" w:eastAsia="宋体" w:cs="宋体"/>
          <w:spacing w:val="-6"/>
          <w:sz w:val="21"/>
          <w:szCs w:val="21"/>
        </w:rPr>
        <w:t>（三）电话/传真：                           所属集团（如有）：</w:t>
      </w:r>
    </w:p>
    <w:p>
      <w:pPr>
        <w:spacing w:line="360" w:lineRule="auto"/>
        <w:ind w:firstLine="396" w:firstLineChars="200"/>
        <w:rPr>
          <w:rFonts w:hint="eastAsia" w:ascii="宋体" w:hAnsi="宋体" w:eastAsia="宋体" w:cs="宋体"/>
          <w:spacing w:val="-6"/>
          <w:sz w:val="21"/>
          <w:szCs w:val="21"/>
        </w:rPr>
      </w:pPr>
      <w:r>
        <w:rPr>
          <w:rFonts w:hint="eastAsia" w:ascii="宋体" w:hAnsi="宋体" w:eastAsia="宋体" w:cs="宋体"/>
          <w:spacing w:val="-6"/>
          <w:sz w:val="21"/>
          <w:szCs w:val="21"/>
        </w:rPr>
        <w:t>（四）成立日期或注册日期：</w:t>
      </w:r>
    </w:p>
    <w:p>
      <w:pPr>
        <w:spacing w:line="360" w:lineRule="auto"/>
        <w:ind w:firstLine="396" w:firstLineChars="200"/>
        <w:rPr>
          <w:rFonts w:hint="eastAsia" w:ascii="宋体" w:hAnsi="宋体" w:eastAsia="宋体" w:cs="宋体"/>
          <w:spacing w:val="-6"/>
          <w:sz w:val="21"/>
          <w:szCs w:val="21"/>
        </w:rPr>
      </w:pPr>
      <w:r>
        <w:rPr>
          <w:rFonts w:hint="eastAsia" w:ascii="宋体" w:hAnsi="宋体" w:eastAsia="宋体" w:cs="宋体"/>
          <w:spacing w:val="-6"/>
          <w:sz w:val="21"/>
          <w:szCs w:val="21"/>
        </w:rPr>
        <w:t>（五）法定代表人或主要负责人姓名：</w:t>
      </w:r>
    </w:p>
    <w:p>
      <w:pPr>
        <w:spacing w:line="360" w:lineRule="auto"/>
        <w:ind w:firstLine="396" w:firstLineChars="200"/>
        <w:rPr>
          <w:rFonts w:hint="eastAsia" w:ascii="宋体" w:hAnsi="宋体" w:eastAsia="宋体" w:cs="宋体"/>
          <w:spacing w:val="-6"/>
          <w:sz w:val="21"/>
          <w:szCs w:val="21"/>
        </w:rPr>
      </w:pPr>
      <w:r>
        <w:rPr>
          <w:rFonts w:hint="eastAsia" w:ascii="宋体" w:hAnsi="宋体" w:eastAsia="宋体" w:cs="宋体"/>
          <w:spacing w:val="-6"/>
          <w:sz w:val="21"/>
          <w:szCs w:val="21"/>
        </w:rPr>
        <w:t>（六）是否上市：</w:t>
      </w:r>
    </w:p>
    <w:p>
      <w:pPr>
        <w:spacing w:line="360" w:lineRule="auto"/>
        <w:ind w:firstLine="396" w:firstLineChars="200"/>
        <w:rPr>
          <w:rFonts w:hint="eastAsia" w:ascii="宋体" w:hAnsi="宋体" w:eastAsia="宋体" w:cs="宋体"/>
          <w:spacing w:val="-6"/>
          <w:sz w:val="21"/>
          <w:szCs w:val="21"/>
        </w:rPr>
      </w:pPr>
      <w:r>
        <w:rPr>
          <w:rFonts w:hint="eastAsia" w:ascii="宋体" w:hAnsi="宋体" w:eastAsia="宋体" w:cs="宋体"/>
          <w:spacing w:val="-6"/>
          <w:sz w:val="21"/>
          <w:szCs w:val="21"/>
        </w:rPr>
        <w:t>二、财务数据</w:t>
      </w:r>
    </w:p>
    <w:p>
      <w:pPr>
        <w:spacing w:line="360" w:lineRule="auto"/>
        <w:ind w:firstLine="396" w:firstLineChars="200"/>
        <w:rPr>
          <w:rFonts w:hint="eastAsia" w:ascii="宋体" w:hAnsi="宋体" w:eastAsia="宋体" w:cs="宋体"/>
          <w:spacing w:val="-6"/>
          <w:sz w:val="21"/>
          <w:szCs w:val="21"/>
        </w:rPr>
      </w:pPr>
      <w:r>
        <w:rPr>
          <w:rFonts w:hint="eastAsia" w:ascii="宋体" w:hAnsi="宋体" w:eastAsia="宋体" w:cs="宋体"/>
          <w:spacing w:val="-6"/>
          <w:sz w:val="21"/>
          <w:szCs w:val="21"/>
        </w:rPr>
        <w:t>（一）注册资本：</w:t>
      </w:r>
    </w:p>
    <w:p>
      <w:pPr>
        <w:spacing w:line="360" w:lineRule="auto"/>
        <w:ind w:firstLine="396" w:firstLineChars="200"/>
        <w:rPr>
          <w:rFonts w:hint="eastAsia" w:ascii="宋体" w:hAnsi="宋体" w:eastAsia="宋体" w:cs="宋体"/>
          <w:spacing w:val="-6"/>
          <w:sz w:val="21"/>
          <w:szCs w:val="21"/>
        </w:rPr>
      </w:pPr>
      <w:r>
        <w:rPr>
          <w:rFonts w:hint="eastAsia" w:ascii="宋体" w:hAnsi="宋体" w:eastAsia="宋体" w:cs="宋体"/>
          <w:spacing w:val="-6"/>
          <w:sz w:val="21"/>
          <w:szCs w:val="21"/>
        </w:rPr>
        <w:t>（二）近3年资产负债表【主要包括以下指标，需提供经审计的资产负债表】</w:t>
      </w:r>
    </w:p>
    <w:p>
      <w:pPr>
        <w:spacing w:line="360" w:lineRule="auto"/>
        <w:ind w:firstLine="396" w:firstLineChars="200"/>
        <w:rPr>
          <w:rFonts w:hint="eastAsia" w:ascii="宋体" w:hAnsi="宋体" w:eastAsia="宋体" w:cs="宋体"/>
          <w:spacing w:val="-6"/>
          <w:sz w:val="21"/>
          <w:szCs w:val="21"/>
        </w:rPr>
      </w:pPr>
      <w:r>
        <w:rPr>
          <w:rFonts w:hint="eastAsia" w:ascii="宋体" w:hAnsi="宋体" w:eastAsia="宋体" w:cs="宋体"/>
          <w:spacing w:val="-6"/>
          <w:sz w:val="21"/>
          <w:szCs w:val="21"/>
        </w:rPr>
        <w:t>单位：</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1"/>
        <w:gridCol w:w="1951"/>
        <w:gridCol w:w="2383"/>
        <w:gridCol w:w="2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年份（年末数据）</w:t>
            </w:r>
          </w:p>
        </w:tc>
        <w:tc>
          <w:tcPr>
            <w:tcW w:w="19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b/>
                <w:bCs/>
                <w:sz w:val="21"/>
                <w:szCs w:val="21"/>
                <w:u w:val="single"/>
              </w:rPr>
              <w:t xml:space="preserve">    </w:t>
            </w:r>
            <w:r>
              <w:rPr>
                <w:rFonts w:hint="eastAsia" w:ascii="宋体" w:hAnsi="宋体" w:eastAsia="宋体" w:cs="宋体"/>
                <w:b/>
                <w:bCs/>
                <w:sz w:val="21"/>
                <w:szCs w:val="21"/>
              </w:rPr>
              <w:t>年</w:t>
            </w:r>
          </w:p>
        </w:tc>
        <w:tc>
          <w:tcPr>
            <w:tcW w:w="23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b/>
                <w:bCs/>
                <w:sz w:val="21"/>
                <w:szCs w:val="21"/>
                <w:u w:val="single"/>
              </w:rPr>
              <w:t xml:space="preserve">    </w:t>
            </w:r>
            <w:r>
              <w:rPr>
                <w:rFonts w:hint="eastAsia" w:ascii="宋体" w:hAnsi="宋体" w:eastAsia="宋体" w:cs="宋体"/>
                <w:b/>
                <w:bCs/>
                <w:sz w:val="21"/>
                <w:szCs w:val="21"/>
              </w:rPr>
              <w:t>年</w:t>
            </w:r>
          </w:p>
        </w:tc>
        <w:tc>
          <w:tcPr>
            <w:tcW w:w="23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b/>
                <w:bCs/>
                <w:sz w:val="21"/>
                <w:szCs w:val="21"/>
                <w:u w:val="single"/>
              </w:rPr>
              <w:t xml:space="preserve">    </w:t>
            </w:r>
            <w:r>
              <w:rPr>
                <w:rFonts w:hint="eastAsia" w:ascii="宋体" w:hAnsi="宋体" w:eastAsia="宋体" w:cs="宋体"/>
                <w:b/>
                <w:bCs/>
                <w:sz w:val="21"/>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资产总计</w:t>
            </w:r>
          </w:p>
        </w:tc>
        <w:tc>
          <w:tcPr>
            <w:tcW w:w="19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1"/>
                <w:szCs w:val="21"/>
              </w:rPr>
            </w:pPr>
          </w:p>
        </w:tc>
        <w:tc>
          <w:tcPr>
            <w:tcW w:w="23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1"/>
                <w:szCs w:val="21"/>
              </w:rPr>
            </w:pPr>
          </w:p>
        </w:tc>
        <w:tc>
          <w:tcPr>
            <w:tcW w:w="23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负债合计</w:t>
            </w:r>
          </w:p>
        </w:tc>
        <w:tc>
          <w:tcPr>
            <w:tcW w:w="19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1"/>
                <w:szCs w:val="21"/>
              </w:rPr>
            </w:pPr>
          </w:p>
        </w:tc>
        <w:tc>
          <w:tcPr>
            <w:tcW w:w="23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1"/>
                <w:szCs w:val="21"/>
              </w:rPr>
            </w:pPr>
          </w:p>
        </w:tc>
        <w:tc>
          <w:tcPr>
            <w:tcW w:w="23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所有者权益合计</w:t>
            </w:r>
          </w:p>
        </w:tc>
        <w:tc>
          <w:tcPr>
            <w:tcW w:w="19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1"/>
                <w:szCs w:val="21"/>
              </w:rPr>
            </w:pPr>
          </w:p>
        </w:tc>
        <w:tc>
          <w:tcPr>
            <w:tcW w:w="23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1"/>
                <w:szCs w:val="21"/>
              </w:rPr>
            </w:pPr>
          </w:p>
        </w:tc>
        <w:tc>
          <w:tcPr>
            <w:tcW w:w="23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1"/>
                <w:szCs w:val="21"/>
              </w:rPr>
            </w:pPr>
          </w:p>
        </w:tc>
      </w:tr>
    </w:tbl>
    <w:p>
      <w:pPr>
        <w:spacing w:line="360" w:lineRule="auto"/>
        <w:ind w:firstLine="396" w:firstLineChars="200"/>
        <w:rPr>
          <w:rFonts w:hint="eastAsia" w:ascii="宋体" w:hAnsi="宋体" w:eastAsia="宋体" w:cs="宋体"/>
          <w:spacing w:val="-6"/>
          <w:sz w:val="21"/>
          <w:szCs w:val="21"/>
        </w:rPr>
      </w:pPr>
    </w:p>
    <w:p>
      <w:pPr>
        <w:spacing w:line="360" w:lineRule="auto"/>
        <w:ind w:firstLine="396" w:firstLineChars="200"/>
        <w:rPr>
          <w:rFonts w:hint="eastAsia" w:ascii="宋体" w:hAnsi="宋体" w:eastAsia="宋体" w:cs="宋体"/>
          <w:spacing w:val="-6"/>
          <w:sz w:val="21"/>
          <w:szCs w:val="21"/>
        </w:rPr>
      </w:pPr>
      <w:r>
        <w:rPr>
          <w:rFonts w:hint="eastAsia" w:ascii="宋体" w:hAnsi="宋体" w:eastAsia="宋体" w:cs="宋体"/>
          <w:spacing w:val="-6"/>
          <w:sz w:val="21"/>
          <w:szCs w:val="21"/>
        </w:rPr>
        <w:t>（三）近3年利润及利润分配表（主要包括以下指标，需提供经审计的利润及利润分配表）</w:t>
      </w:r>
    </w:p>
    <w:p>
      <w:pPr>
        <w:spacing w:line="360" w:lineRule="auto"/>
        <w:ind w:firstLine="396" w:firstLineChars="200"/>
        <w:rPr>
          <w:rFonts w:hint="eastAsia" w:ascii="宋体" w:hAnsi="宋体" w:eastAsia="宋体" w:cs="宋体"/>
          <w:spacing w:val="-6"/>
          <w:sz w:val="21"/>
          <w:szCs w:val="21"/>
        </w:rPr>
      </w:pPr>
      <w:r>
        <w:rPr>
          <w:rFonts w:hint="eastAsia" w:ascii="宋体" w:hAnsi="宋体" w:eastAsia="宋体" w:cs="宋体"/>
          <w:spacing w:val="-6"/>
          <w:sz w:val="21"/>
          <w:szCs w:val="21"/>
        </w:rPr>
        <w:t>单位：</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033"/>
        <w:gridCol w:w="1663"/>
        <w:gridCol w:w="1663"/>
        <w:gridCol w:w="1663"/>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Merge w:val="restart"/>
            <w:noWrap w:val="0"/>
            <w:vAlign w:val="center"/>
          </w:tcPr>
          <w:p>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3033" w:type="dxa"/>
            <w:vMerge w:val="restart"/>
            <w:noWrap w:val="0"/>
            <w:vAlign w:val="center"/>
          </w:tcPr>
          <w:p>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科目</w:t>
            </w:r>
          </w:p>
        </w:tc>
        <w:tc>
          <w:tcPr>
            <w:tcW w:w="4989" w:type="dxa"/>
            <w:gridSpan w:val="3"/>
            <w:noWrap w:val="0"/>
            <w:vAlign w:val="center"/>
          </w:tcPr>
          <w:p>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单位：人民币元</w:t>
            </w:r>
          </w:p>
        </w:tc>
        <w:tc>
          <w:tcPr>
            <w:tcW w:w="727" w:type="dxa"/>
            <w:vMerge w:val="restart"/>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Merge w:val="continue"/>
            <w:noWrap w:val="0"/>
            <w:vAlign w:val="center"/>
          </w:tcPr>
          <w:p>
            <w:pPr>
              <w:spacing w:line="360" w:lineRule="auto"/>
              <w:jc w:val="center"/>
              <w:rPr>
                <w:rFonts w:hint="eastAsia" w:ascii="宋体" w:hAnsi="宋体" w:eastAsia="宋体" w:cs="宋体"/>
                <w:b/>
                <w:bCs/>
                <w:sz w:val="21"/>
                <w:szCs w:val="21"/>
              </w:rPr>
            </w:pPr>
          </w:p>
        </w:tc>
        <w:tc>
          <w:tcPr>
            <w:tcW w:w="3033" w:type="dxa"/>
            <w:vMerge w:val="continue"/>
            <w:noWrap w:val="0"/>
            <w:vAlign w:val="center"/>
          </w:tcPr>
          <w:p>
            <w:pPr>
              <w:spacing w:line="360" w:lineRule="auto"/>
              <w:jc w:val="center"/>
              <w:rPr>
                <w:rFonts w:hint="eastAsia" w:ascii="宋体" w:hAnsi="宋体" w:eastAsia="宋体" w:cs="宋体"/>
                <w:b/>
                <w:bCs/>
                <w:sz w:val="21"/>
                <w:szCs w:val="21"/>
              </w:rPr>
            </w:pPr>
          </w:p>
        </w:tc>
        <w:tc>
          <w:tcPr>
            <w:tcW w:w="1663" w:type="dxa"/>
            <w:noWrap w:val="0"/>
            <w:vAlign w:val="center"/>
          </w:tcPr>
          <w:p>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u w:val="single"/>
              </w:rPr>
              <w:t xml:space="preserve">    </w:t>
            </w:r>
            <w:r>
              <w:rPr>
                <w:rFonts w:hint="eastAsia" w:ascii="宋体" w:hAnsi="宋体" w:eastAsia="宋体" w:cs="宋体"/>
                <w:b/>
                <w:bCs/>
                <w:sz w:val="21"/>
                <w:szCs w:val="21"/>
              </w:rPr>
              <w:t>年</w:t>
            </w:r>
          </w:p>
        </w:tc>
        <w:tc>
          <w:tcPr>
            <w:tcW w:w="1663" w:type="dxa"/>
            <w:noWrap w:val="0"/>
            <w:vAlign w:val="center"/>
          </w:tcPr>
          <w:p>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u w:val="single"/>
              </w:rPr>
              <w:t xml:space="preserve">    </w:t>
            </w:r>
            <w:r>
              <w:rPr>
                <w:rFonts w:hint="eastAsia" w:ascii="宋体" w:hAnsi="宋体" w:eastAsia="宋体" w:cs="宋体"/>
                <w:b/>
                <w:bCs/>
                <w:sz w:val="21"/>
                <w:szCs w:val="21"/>
              </w:rPr>
              <w:t>年</w:t>
            </w:r>
          </w:p>
        </w:tc>
        <w:tc>
          <w:tcPr>
            <w:tcW w:w="1663" w:type="dxa"/>
            <w:noWrap w:val="0"/>
            <w:vAlign w:val="center"/>
          </w:tcPr>
          <w:p>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u w:val="single"/>
              </w:rPr>
              <w:t xml:space="preserve">    </w:t>
            </w:r>
            <w:r>
              <w:rPr>
                <w:rFonts w:hint="eastAsia" w:ascii="宋体" w:hAnsi="宋体" w:eastAsia="宋体" w:cs="宋体"/>
                <w:b/>
                <w:bCs/>
                <w:sz w:val="21"/>
                <w:szCs w:val="21"/>
              </w:rPr>
              <w:t>年</w:t>
            </w:r>
          </w:p>
        </w:tc>
        <w:tc>
          <w:tcPr>
            <w:tcW w:w="727" w:type="dxa"/>
            <w:vMerge w:val="continue"/>
            <w:noWrap w:val="0"/>
            <w:vAlign w:val="center"/>
          </w:tcPr>
          <w:p>
            <w:pPr>
              <w:spacing w:line="36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3033" w:type="dxa"/>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营业收入</w:t>
            </w:r>
          </w:p>
        </w:tc>
        <w:tc>
          <w:tcPr>
            <w:tcW w:w="1663" w:type="dxa"/>
            <w:noWrap w:val="0"/>
            <w:vAlign w:val="center"/>
          </w:tcPr>
          <w:p>
            <w:pPr>
              <w:spacing w:line="360" w:lineRule="auto"/>
              <w:jc w:val="center"/>
              <w:rPr>
                <w:rFonts w:hint="eastAsia" w:ascii="宋体" w:hAnsi="宋体" w:eastAsia="宋体" w:cs="宋体"/>
                <w:sz w:val="21"/>
                <w:szCs w:val="21"/>
              </w:rPr>
            </w:pPr>
          </w:p>
        </w:tc>
        <w:tc>
          <w:tcPr>
            <w:tcW w:w="1663" w:type="dxa"/>
            <w:noWrap w:val="0"/>
            <w:vAlign w:val="center"/>
          </w:tcPr>
          <w:p>
            <w:pPr>
              <w:spacing w:line="360" w:lineRule="auto"/>
              <w:jc w:val="center"/>
              <w:rPr>
                <w:rFonts w:hint="eastAsia" w:ascii="宋体" w:hAnsi="宋体" w:eastAsia="宋体" w:cs="宋体"/>
                <w:sz w:val="21"/>
                <w:szCs w:val="21"/>
              </w:rPr>
            </w:pPr>
          </w:p>
        </w:tc>
        <w:tc>
          <w:tcPr>
            <w:tcW w:w="1663" w:type="dxa"/>
            <w:noWrap w:val="0"/>
            <w:vAlign w:val="center"/>
          </w:tcPr>
          <w:p>
            <w:pPr>
              <w:spacing w:line="360" w:lineRule="auto"/>
              <w:jc w:val="center"/>
              <w:rPr>
                <w:rFonts w:hint="eastAsia" w:ascii="宋体" w:hAnsi="宋体" w:eastAsia="宋体" w:cs="宋体"/>
                <w:sz w:val="21"/>
                <w:szCs w:val="21"/>
              </w:rPr>
            </w:pPr>
          </w:p>
        </w:tc>
        <w:tc>
          <w:tcPr>
            <w:tcW w:w="727" w:type="dxa"/>
            <w:noWrap w:val="0"/>
            <w:vAlign w:val="center"/>
          </w:tcPr>
          <w:p>
            <w:pPr>
              <w:spacing w:line="36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3033" w:type="dxa"/>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主营业务利润</w:t>
            </w:r>
          </w:p>
        </w:tc>
        <w:tc>
          <w:tcPr>
            <w:tcW w:w="1663" w:type="dxa"/>
            <w:noWrap w:val="0"/>
            <w:vAlign w:val="center"/>
          </w:tcPr>
          <w:p>
            <w:pPr>
              <w:spacing w:line="360" w:lineRule="auto"/>
              <w:jc w:val="center"/>
              <w:rPr>
                <w:rFonts w:hint="eastAsia" w:ascii="宋体" w:hAnsi="宋体" w:eastAsia="宋体" w:cs="宋体"/>
                <w:sz w:val="21"/>
                <w:szCs w:val="21"/>
              </w:rPr>
            </w:pPr>
          </w:p>
        </w:tc>
        <w:tc>
          <w:tcPr>
            <w:tcW w:w="1663" w:type="dxa"/>
            <w:noWrap w:val="0"/>
            <w:vAlign w:val="center"/>
          </w:tcPr>
          <w:p>
            <w:pPr>
              <w:spacing w:line="360" w:lineRule="auto"/>
              <w:jc w:val="center"/>
              <w:rPr>
                <w:rFonts w:hint="eastAsia" w:ascii="宋体" w:hAnsi="宋体" w:eastAsia="宋体" w:cs="宋体"/>
                <w:sz w:val="21"/>
                <w:szCs w:val="21"/>
              </w:rPr>
            </w:pPr>
          </w:p>
        </w:tc>
        <w:tc>
          <w:tcPr>
            <w:tcW w:w="1663" w:type="dxa"/>
            <w:noWrap w:val="0"/>
            <w:vAlign w:val="center"/>
          </w:tcPr>
          <w:p>
            <w:pPr>
              <w:spacing w:line="360" w:lineRule="auto"/>
              <w:jc w:val="center"/>
              <w:rPr>
                <w:rFonts w:hint="eastAsia" w:ascii="宋体" w:hAnsi="宋体" w:eastAsia="宋体" w:cs="宋体"/>
                <w:sz w:val="21"/>
                <w:szCs w:val="21"/>
              </w:rPr>
            </w:pPr>
          </w:p>
        </w:tc>
        <w:tc>
          <w:tcPr>
            <w:tcW w:w="727" w:type="dxa"/>
            <w:noWrap w:val="0"/>
            <w:vAlign w:val="center"/>
          </w:tcPr>
          <w:p>
            <w:pPr>
              <w:spacing w:line="360" w:lineRule="auto"/>
              <w:jc w:val="center"/>
              <w:rPr>
                <w:rFonts w:hint="eastAsia" w:ascii="宋体" w:hAnsi="宋体" w:eastAsia="宋体" w:cs="宋体"/>
                <w:sz w:val="21"/>
                <w:szCs w:val="21"/>
              </w:rPr>
            </w:pPr>
          </w:p>
        </w:tc>
      </w:tr>
    </w:tbl>
    <w:p>
      <w:pPr>
        <w:spacing w:line="360" w:lineRule="auto"/>
        <w:ind w:firstLine="396" w:firstLineChars="200"/>
        <w:rPr>
          <w:rFonts w:hint="eastAsia" w:ascii="宋体" w:hAnsi="宋体" w:eastAsia="宋体" w:cs="宋体"/>
          <w:sz w:val="21"/>
          <w:szCs w:val="21"/>
        </w:rPr>
      </w:pPr>
      <w:r>
        <w:rPr>
          <w:rFonts w:hint="eastAsia" w:ascii="宋体" w:hAnsi="宋体" w:eastAsia="宋体" w:cs="宋体"/>
          <w:spacing w:val="-6"/>
          <w:sz w:val="21"/>
          <w:szCs w:val="21"/>
        </w:rPr>
        <w:t>三、组织架构及相关机制</w:t>
      </w:r>
    </w:p>
    <w:p>
      <w:pPr>
        <w:spacing w:line="360" w:lineRule="auto"/>
        <w:ind w:firstLine="396" w:firstLineChars="200"/>
        <w:rPr>
          <w:rFonts w:hint="eastAsia" w:ascii="宋体" w:hAnsi="宋体" w:eastAsia="宋体" w:cs="宋体"/>
          <w:spacing w:val="-6"/>
          <w:sz w:val="21"/>
          <w:szCs w:val="21"/>
        </w:rPr>
      </w:pPr>
      <w:r>
        <w:rPr>
          <w:rFonts w:hint="eastAsia" w:ascii="宋体" w:hAnsi="宋体" w:eastAsia="宋体" w:cs="宋体"/>
          <w:spacing w:val="-6"/>
          <w:sz w:val="21"/>
          <w:szCs w:val="21"/>
        </w:rPr>
        <w:t>（一）资信等级（如有）</w:t>
      </w:r>
    </w:p>
    <w:p>
      <w:pPr>
        <w:spacing w:line="360" w:lineRule="auto"/>
        <w:ind w:firstLine="396" w:firstLineChars="200"/>
        <w:rPr>
          <w:rFonts w:hint="eastAsia" w:ascii="宋体" w:hAnsi="宋体" w:eastAsia="宋体" w:cs="宋体"/>
          <w:spacing w:val="-6"/>
          <w:sz w:val="21"/>
          <w:szCs w:val="21"/>
        </w:rPr>
      </w:pPr>
      <w:r>
        <w:rPr>
          <w:rFonts w:hint="eastAsia" w:ascii="宋体" w:hAnsi="宋体" w:eastAsia="宋体" w:cs="宋体"/>
          <w:spacing w:val="-6"/>
          <w:sz w:val="21"/>
          <w:szCs w:val="21"/>
        </w:rPr>
        <w:t>（二）股权情况介绍</w:t>
      </w:r>
    </w:p>
    <w:p>
      <w:pPr>
        <w:spacing w:line="360" w:lineRule="auto"/>
        <w:ind w:firstLine="396" w:firstLineChars="200"/>
        <w:rPr>
          <w:rFonts w:hint="eastAsia" w:ascii="宋体" w:hAnsi="宋体" w:eastAsia="宋体" w:cs="宋体"/>
          <w:spacing w:val="-6"/>
          <w:sz w:val="21"/>
          <w:szCs w:val="21"/>
        </w:rPr>
      </w:pPr>
      <w:r>
        <w:rPr>
          <w:rFonts w:hint="eastAsia" w:ascii="宋体" w:hAnsi="宋体" w:eastAsia="宋体" w:cs="宋体"/>
          <w:spacing w:val="-6"/>
          <w:sz w:val="21"/>
          <w:szCs w:val="21"/>
        </w:rPr>
        <w:t>主要股权和公司高管变动情况，主要股东及其持股比例，提供股权架构图，并简要说明股东背景。</w:t>
      </w:r>
    </w:p>
    <w:p>
      <w:pPr>
        <w:spacing w:line="360" w:lineRule="auto"/>
        <w:ind w:firstLine="396" w:firstLineChars="200"/>
        <w:rPr>
          <w:rFonts w:hint="eastAsia" w:ascii="宋体" w:hAnsi="宋体" w:eastAsia="宋体" w:cs="宋体"/>
          <w:spacing w:val="-6"/>
          <w:sz w:val="21"/>
          <w:szCs w:val="21"/>
        </w:rPr>
      </w:pPr>
      <w:r>
        <w:rPr>
          <w:rFonts w:hint="eastAsia" w:ascii="宋体" w:hAnsi="宋体" w:eastAsia="宋体" w:cs="宋体"/>
          <w:spacing w:val="-6"/>
          <w:sz w:val="21"/>
          <w:szCs w:val="21"/>
        </w:rPr>
        <w:t>（三）高管人员简介及分工</w:t>
      </w:r>
    </w:p>
    <w:p>
      <w:pPr>
        <w:spacing w:line="360" w:lineRule="auto"/>
        <w:ind w:firstLine="396" w:firstLineChars="200"/>
        <w:rPr>
          <w:rFonts w:hint="eastAsia" w:ascii="宋体" w:hAnsi="宋体" w:eastAsia="宋体" w:cs="宋体"/>
          <w:spacing w:val="-6"/>
          <w:sz w:val="21"/>
          <w:szCs w:val="21"/>
        </w:rPr>
      </w:pPr>
      <w:r>
        <w:rPr>
          <w:rFonts w:hint="eastAsia" w:ascii="宋体" w:hAnsi="宋体" w:eastAsia="宋体" w:cs="宋体"/>
          <w:spacing w:val="-6"/>
          <w:sz w:val="21"/>
          <w:szCs w:val="21"/>
        </w:rPr>
        <w:t>（四）组织结构</w:t>
      </w:r>
    </w:p>
    <w:p>
      <w:pPr>
        <w:spacing w:line="360" w:lineRule="auto"/>
        <w:ind w:firstLine="396" w:firstLineChars="200"/>
        <w:rPr>
          <w:rFonts w:hint="eastAsia" w:ascii="宋体" w:hAnsi="宋体" w:eastAsia="宋体" w:cs="宋体"/>
          <w:spacing w:val="-6"/>
          <w:sz w:val="21"/>
          <w:szCs w:val="21"/>
        </w:rPr>
      </w:pPr>
      <w:r>
        <w:rPr>
          <w:rFonts w:hint="eastAsia" w:ascii="宋体" w:hAnsi="宋体" w:eastAsia="宋体" w:cs="宋体"/>
          <w:spacing w:val="-6"/>
          <w:sz w:val="21"/>
          <w:szCs w:val="21"/>
        </w:rPr>
        <w:t>（五）风险管理机制及处罚情况</w:t>
      </w:r>
    </w:p>
    <w:p>
      <w:pPr>
        <w:spacing w:line="360" w:lineRule="auto"/>
        <w:ind w:firstLine="396" w:firstLineChars="200"/>
        <w:rPr>
          <w:rFonts w:hint="eastAsia" w:ascii="宋体" w:hAnsi="宋体" w:eastAsia="宋体" w:cs="宋体"/>
          <w:spacing w:val="-6"/>
          <w:sz w:val="21"/>
          <w:szCs w:val="21"/>
        </w:rPr>
      </w:pPr>
      <w:r>
        <w:rPr>
          <w:rFonts w:hint="eastAsia" w:ascii="宋体" w:hAnsi="宋体" w:eastAsia="宋体" w:cs="宋体"/>
          <w:spacing w:val="-6"/>
          <w:sz w:val="21"/>
          <w:szCs w:val="21"/>
        </w:rPr>
        <w:t>（六）公司风险管理组织架构、风险管理流程、制定的政策制度</w:t>
      </w:r>
    </w:p>
    <w:p>
      <w:pPr>
        <w:spacing w:line="360" w:lineRule="auto"/>
        <w:ind w:firstLine="396" w:firstLineChars="200"/>
        <w:rPr>
          <w:rFonts w:hint="eastAsia" w:ascii="宋体" w:hAnsi="宋体" w:eastAsia="宋体" w:cs="宋体"/>
          <w:spacing w:val="-6"/>
          <w:sz w:val="21"/>
          <w:szCs w:val="21"/>
        </w:rPr>
      </w:pPr>
      <w:r>
        <w:rPr>
          <w:rFonts w:hint="eastAsia" w:ascii="宋体" w:hAnsi="宋体" w:eastAsia="宋体" w:cs="宋体"/>
          <w:spacing w:val="-6"/>
          <w:sz w:val="21"/>
          <w:szCs w:val="21"/>
        </w:rPr>
        <w:t>四、提供产品或服务的情况：</w:t>
      </w:r>
    </w:p>
    <w:p>
      <w:pPr>
        <w:spacing w:line="360" w:lineRule="auto"/>
        <w:ind w:firstLine="396" w:firstLineChars="200"/>
        <w:rPr>
          <w:rFonts w:hint="eastAsia" w:ascii="宋体" w:hAnsi="宋体" w:eastAsia="宋体" w:cs="宋体"/>
          <w:spacing w:val="-6"/>
          <w:sz w:val="21"/>
          <w:szCs w:val="21"/>
        </w:rPr>
      </w:pPr>
      <w:r>
        <w:rPr>
          <w:rFonts w:hint="eastAsia" w:ascii="宋体" w:hAnsi="宋体" w:eastAsia="宋体" w:cs="宋体"/>
          <w:spacing w:val="-6"/>
          <w:sz w:val="21"/>
          <w:szCs w:val="21"/>
        </w:rPr>
        <w:t>五、本次投标产品或服务的应用情况（本次招标类似业务及系统对接案例）：</w:t>
      </w:r>
    </w:p>
    <w:p>
      <w:pPr>
        <w:spacing w:line="360" w:lineRule="auto"/>
        <w:ind w:firstLine="396" w:firstLineChars="200"/>
        <w:rPr>
          <w:rFonts w:hint="eastAsia" w:ascii="宋体" w:hAnsi="宋体" w:eastAsia="宋体" w:cs="宋体"/>
          <w:spacing w:val="-6"/>
          <w:sz w:val="21"/>
          <w:szCs w:val="21"/>
        </w:rPr>
      </w:pPr>
      <w:r>
        <w:rPr>
          <w:rFonts w:hint="eastAsia" w:ascii="宋体" w:hAnsi="宋体" w:eastAsia="宋体" w:cs="宋体"/>
          <w:spacing w:val="-6"/>
          <w:sz w:val="21"/>
          <w:szCs w:val="21"/>
        </w:rPr>
        <w:t>六、投标人金融机构客户服务经验及优势：</w:t>
      </w:r>
    </w:p>
    <w:p>
      <w:pPr>
        <w:spacing w:line="360" w:lineRule="auto"/>
        <w:ind w:firstLine="396" w:firstLineChars="200"/>
        <w:rPr>
          <w:rFonts w:hint="eastAsia" w:ascii="宋体" w:hAnsi="宋体" w:eastAsia="宋体" w:cs="宋体"/>
          <w:spacing w:val="-6"/>
          <w:sz w:val="21"/>
          <w:szCs w:val="21"/>
        </w:rPr>
      </w:pPr>
      <w:r>
        <w:rPr>
          <w:rFonts w:hint="eastAsia" w:ascii="宋体" w:hAnsi="宋体" w:eastAsia="宋体" w:cs="宋体"/>
          <w:spacing w:val="-6"/>
          <w:sz w:val="21"/>
          <w:szCs w:val="21"/>
        </w:rPr>
        <w:t>七、其它需补充说明的事项：</w:t>
      </w:r>
    </w:p>
    <w:p>
      <w:pPr>
        <w:pStyle w:val="15"/>
        <w:pageBreakBefore w:val="0"/>
        <w:kinsoku/>
        <w:overflowPunct/>
        <w:topLinePunct w:val="0"/>
        <w:bidi w:val="0"/>
        <w:spacing w:line="360" w:lineRule="auto"/>
        <w:ind w:left="0" w:firstLine="0" w:firstLineChars="0"/>
        <w:jc w:val="center"/>
        <w:rPr>
          <w:rFonts w:hint="eastAsia" w:ascii="宋体" w:hAnsi="宋体" w:eastAsia="宋体" w:cs="宋体"/>
          <w:b/>
          <w:color w:val="auto"/>
          <w:spacing w:val="-6"/>
          <w:sz w:val="21"/>
          <w:szCs w:val="21"/>
          <w:highlight w:val="none"/>
        </w:rPr>
        <w:sectPr>
          <w:pgSz w:w="11906" w:h="16838"/>
          <w:pgMar w:top="1440" w:right="1800" w:bottom="1440" w:left="1800" w:header="851" w:footer="992" w:gutter="0"/>
          <w:cols w:space="425" w:num="1"/>
          <w:docGrid w:type="lines" w:linePitch="312" w:charSpace="0"/>
        </w:sectPr>
      </w:pPr>
    </w:p>
    <w:p>
      <w:pPr>
        <w:pStyle w:val="5"/>
        <w:pageBreakBefore w:val="0"/>
        <w:kinsoku/>
        <w:overflowPunct/>
        <w:topLinePunct w:val="0"/>
        <w:bidi w:val="0"/>
        <w:spacing w:line="360" w:lineRule="auto"/>
        <w:ind w:firstLine="0" w:firstLineChars="0"/>
        <w:jc w:val="center"/>
        <w:rPr>
          <w:rFonts w:hint="eastAsia" w:ascii="宋体" w:hAnsi="宋体" w:eastAsia="宋体" w:cs="宋体"/>
          <w:b/>
          <w:bCs w:val="0"/>
          <w:color w:val="auto"/>
          <w:spacing w:val="-6"/>
          <w:sz w:val="21"/>
          <w:szCs w:val="21"/>
          <w:highlight w:val="none"/>
        </w:rPr>
      </w:pPr>
      <w:r>
        <w:rPr>
          <w:rFonts w:hint="eastAsia" w:ascii="宋体" w:hAnsi="宋体" w:eastAsia="宋体" w:cs="宋体"/>
          <w:b/>
          <w:bCs w:val="0"/>
          <w:color w:val="auto"/>
          <w:spacing w:val="-6"/>
          <w:sz w:val="21"/>
          <w:szCs w:val="21"/>
          <w:highlight w:val="none"/>
          <w:lang w:val="en-US" w:eastAsia="zh-CN"/>
        </w:rPr>
        <w:t>招标需求</w:t>
      </w:r>
      <w:r>
        <w:rPr>
          <w:rFonts w:hint="eastAsia" w:ascii="宋体" w:hAnsi="宋体" w:eastAsia="宋体" w:cs="宋体"/>
          <w:b/>
          <w:bCs w:val="0"/>
          <w:color w:val="auto"/>
          <w:spacing w:val="-6"/>
          <w:sz w:val="21"/>
          <w:szCs w:val="21"/>
          <w:highlight w:val="none"/>
        </w:rPr>
        <w:t>偏离表</w:t>
      </w:r>
    </w:p>
    <w:p>
      <w:pPr>
        <w:pageBreakBefore w:val="0"/>
        <w:kinsoku/>
        <w:overflowPunct/>
        <w:topLinePunct w:val="0"/>
        <w:bidi w:val="0"/>
        <w:spacing w:line="360" w:lineRule="auto"/>
        <w:rPr>
          <w:rFonts w:hint="eastAsia" w:ascii="宋体" w:hAnsi="宋体" w:eastAsia="宋体" w:cs="宋体"/>
          <w:bCs/>
          <w:color w:val="auto"/>
          <w:spacing w:val="-6"/>
          <w:sz w:val="21"/>
          <w:szCs w:val="21"/>
          <w:highlight w:val="none"/>
          <w:lang w:eastAsia="zh-CN"/>
        </w:rPr>
      </w:pPr>
      <w:r>
        <w:rPr>
          <w:rFonts w:hint="eastAsia" w:ascii="宋体" w:hAnsi="宋体" w:eastAsia="宋体" w:cs="宋体"/>
          <w:bCs/>
          <w:color w:val="auto"/>
          <w:spacing w:val="-6"/>
          <w:sz w:val="21"/>
          <w:szCs w:val="21"/>
          <w:highlight w:val="none"/>
        </w:rPr>
        <w:t>招 标 人：</w:t>
      </w:r>
      <w:r>
        <w:rPr>
          <w:rFonts w:hint="eastAsia" w:ascii="宋体" w:hAnsi="宋体" w:eastAsia="宋体" w:cs="宋体"/>
          <w:bCs/>
          <w:color w:val="auto"/>
          <w:spacing w:val="-6"/>
          <w:sz w:val="21"/>
          <w:szCs w:val="21"/>
          <w:highlight w:val="none"/>
          <w:lang w:eastAsia="zh-CN"/>
        </w:rPr>
        <w:t>浙商银行股份有限公司</w:t>
      </w:r>
      <w:r>
        <w:rPr>
          <w:rFonts w:hint="eastAsia" w:ascii="宋体" w:hAnsi="宋体" w:cs="宋体"/>
          <w:bCs/>
          <w:color w:val="auto"/>
          <w:spacing w:val="-6"/>
          <w:sz w:val="21"/>
          <w:szCs w:val="21"/>
          <w:highlight w:val="none"/>
          <w:lang w:eastAsia="zh-CN"/>
        </w:rPr>
        <w:t>台州</w:t>
      </w:r>
      <w:r>
        <w:rPr>
          <w:rFonts w:hint="eastAsia" w:ascii="宋体" w:hAnsi="宋体" w:eastAsia="宋体" w:cs="宋体"/>
          <w:bCs/>
          <w:color w:val="auto"/>
          <w:spacing w:val="-6"/>
          <w:sz w:val="21"/>
          <w:szCs w:val="21"/>
          <w:highlight w:val="none"/>
          <w:lang w:eastAsia="zh-CN"/>
        </w:rPr>
        <w:t>分行</w:t>
      </w:r>
    </w:p>
    <w:p>
      <w:pPr>
        <w:pageBreakBefore w:val="0"/>
        <w:kinsoku/>
        <w:overflowPunct/>
        <w:topLinePunct w:val="0"/>
        <w:bidi w:val="0"/>
        <w:spacing w:line="360" w:lineRule="auto"/>
        <w:rPr>
          <w:rFonts w:hint="eastAsia" w:ascii="宋体" w:hAnsi="宋体" w:eastAsia="宋体" w:cs="宋体"/>
          <w:bCs/>
          <w:color w:val="auto"/>
          <w:spacing w:val="-6"/>
          <w:sz w:val="21"/>
          <w:szCs w:val="21"/>
          <w:highlight w:val="none"/>
          <w:lang w:eastAsia="zh-CN"/>
        </w:rPr>
      </w:pPr>
      <w:r>
        <w:rPr>
          <w:rFonts w:hint="eastAsia" w:ascii="宋体" w:hAnsi="宋体" w:eastAsia="宋体" w:cs="宋体"/>
          <w:bCs/>
          <w:color w:val="auto"/>
          <w:spacing w:val="-6"/>
          <w:sz w:val="21"/>
          <w:szCs w:val="21"/>
          <w:highlight w:val="none"/>
        </w:rPr>
        <w:t>项目名称：</w:t>
      </w:r>
      <w:r>
        <w:rPr>
          <w:rFonts w:hint="eastAsia" w:ascii="宋体" w:hAnsi="宋体" w:eastAsia="宋体" w:cs="宋体"/>
          <w:bCs/>
          <w:color w:val="auto"/>
          <w:spacing w:val="-6"/>
          <w:sz w:val="21"/>
          <w:szCs w:val="21"/>
          <w:highlight w:val="none"/>
          <w:lang w:eastAsia="zh-CN"/>
        </w:rPr>
        <w:t>浙商银行股份有限公司台州分行贷款抵押物(房屋建筑物)财产保险服务</w:t>
      </w:r>
      <w:r>
        <w:rPr>
          <w:rFonts w:hint="eastAsia" w:ascii="宋体" w:hAnsi="宋体" w:cs="宋体"/>
          <w:bCs/>
          <w:color w:val="auto"/>
          <w:spacing w:val="-6"/>
          <w:sz w:val="21"/>
          <w:szCs w:val="21"/>
          <w:highlight w:val="none"/>
          <w:lang w:eastAsia="zh-CN"/>
        </w:rPr>
        <w:t>项目</w:t>
      </w:r>
      <w:r>
        <w:rPr>
          <w:rFonts w:hint="eastAsia" w:ascii="宋体" w:hAnsi="宋体" w:eastAsia="宋体" w:cs="宋体"/>
          <w:bCs/>
          <w:color w:val="auto"/>
          <w:spacing w:val="-6"/>
          <w:sz w:val="21"/>
          <w:szCs w:val="21"/>
          <w:highlight w:val="none"/>
          <w:lang w:eastAsia="zh-CN"/>
        </w:rPr>
        <w:t xml:space="preserve"> </w:t>
      </w:r>
    </w:p>
    <w:p>
      <w:pPr>
        <w:pageBreakBefore w:val="0"/>
        <w:kinsoku/>
        <w:overflowPunct/>
        <w:topLinePunct w:val="0"/>
        <w:bidi w:val="0"/>
        <w:spacing w:line="360" w:lineRule="auto"/>
        <w:rPr>
          <w:rFonts w:hint="eastAsia" w:ascii="宋体" w:hAnsi="宋体" w:eastAsia="宋体" w:cs="宋体"/>
          <w:bCs/>
          <w:color w:val="auto"/>
          <w:spacing w:val="-6"/>
          <w:sz w:val="21"/>
          <w:szCs w:val="21"/>
          <w:highlight w:val="none"/>
          <w:lang w:eastAsia="zh-CN"/>
        </w:rPr>
      </w:pPr>
      <w:r>
        <w:rPr>
          <w:rFonts w:hint="eastAsia" w:ascii="宋体" w:hAnsi="宋体" w:eastAsia="宋体" w:cs="宋体"/>
          <w:bCs/>
          <w:color w:val="auto"/>
          <w:spacing w:val="-6"/>
          <w:sz w:val="21"/>
          <w:szCs w:val="21"/>
          <w:highlight w:val="none"/>
          <w:lang w:eastAsia="zh-CN"/>
        </w:rPr>
        <w:t>项目编号：TZJC2025FXGKb006</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3553"/>
        <w:gridCol w:w="2365"/>
        <w:gridCol w:w="2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dxa"/>
            <w:vAlign w:val="center"/>
          </w:tcPr>
          <w:p>
            <w:pPr>
              <w:pageBreakBefore w:val="0"/>
              <w:kinsoku/>
              <w:overflowPunct/>
              <w:topLinePunct w:val="0"/>
              <w:bidi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3553" w:type="dxa"/>
            <w:vAlign w:val="center"/>
          </w:tcPr>
          <w:p>
            <w:pPr>
              <w:pageBreakBefore w:val="0"/>
              <w:kinsoku/>
              <w:overflowPunct/>
              <w:topLinePunct w:val="0"/>
              <w:bidi w:val="0"/>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招标文件要求</w:t>
            </w:r>
          </w:p>
        </w:tc>
        <w:tc>
          <w:tcPr>
            <w:tcW w:w="2365" w:type="dxa"/>
            <w:vAlign w:val="center"/>
          </w:tcPr>
          <w:p>
            <w:pPr>
              <w:pageBreakBefore w:val="0"/>
              <w:kinsoku/>
              <w:overflowPunct/>
              <w:topLinePunct w:val="0"/>
              <w:bidi w:val="0"/>
              <w:spacing w:line="360" w:lineRule="auto"/>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响应</w:t>
            </w:r>
            <w:r>
              <w:rPr>
                <w:rFonts w:hint="eastAsia" w:ascii="宋体" w:hAnsi="宋体" w:eastAsia="宋体" w:cs="宋体"/>
                <w:b/>
                <w:bCs/>
                <w:color w:val="auto"/>
                <w:sz w:val="21"/>
                <w:szCs w:val="21"/>
                <w:highlight w:val="none"/>
                <w:lang w:val="en-US" w:eastAsia="zh-CN"/>
              </w:rPr>
              <w:t>规格</w:t>
            </w:r>
          </w:p>
        </w:tc>
        <w:tc>
          <w:tcPr>
            <w:tcW w:w="2960" w:type="dxa"/>
            <w:vAlign w:val="center"/>
          </w:tcPr>
          <w:p>
            <w:pPr>
              <w:pageBreakBefore w:val="0"/>
              <w:kinsoku/>
              <w:overflowPunct/>
              <w:topLinePunct w:val="0"/>
              <w:bidi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是否偏离（提供说明）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dxa"/>
            <w:vAlign w:val="center"/>
          </w:tcPr>
          <w:p>
            <w:pPr>
              <w:pageBreakBefore w:val="0"/>
              <w:kinsoku/>
              <w:overflowPunct/>
              <w:topLinePunct w:val="0"/>
              <w:bidi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p>
        </w:tc>
        <w:tc>
          <w:tcPr>
            <w:tcW w:w="3553" w:type="dxa"/>
            <w:vAlign w:val="center"/>
          </w:tcPr>
          <w:p>
            <w:pPr>
              <w:pageBreakBefore w:val="0"/>
              <w:kinsoku/>
              <w:overflowPunct/>
              <w:topLinePunct w:val="0"/>
              <w:bidi w:val="0"/>
              <w:spacing w:line="360" w:lineRule="auto"/>
              <w:jc w:val="center"/>
              <w:rPr>
                <w:rFonts w:hint="eastAsia" w:ascii="宋体" w:hAnsi="宋体" w:eastAsia="宋体" w:cs="宋体"/>
                <w:b/>
                <w:bCs/>
                <w:color w:val="auto"/>
                <w:sz w:val="21"/>
                <w:szCs w:val="21"/>
                <w:highlight w:val="none"/>
              </w:rPr>
            </w:pPr>
          </w:p>
        </w:tc>
        <w:tc>
          <w:tcPr>
            <w:tcW w:w="2365" w:type="dxa"/>
            <w:vAlign w:val="center"/>
          </w:tcPr>
          <w:p>
            <w:pPr>
              <w:pageBreakBefore w:val="0"/>
              <w:kinsoku/>
              <w:overflowPunct/>
              <w:topLinePunct w:val="0"/>
              <w:bidi w:val="0"/>
              <w:spacing w:line="360" w:lineRule="auto"/>
              <w:jc w:val="center"/>
              <w:rPr>
                <w:rFonts w:hint="eastAsia" w:ascii="宋体" w:hAnsi="宋体" w:eastAsia="宋体" w:cs="宋体"/>
                <w:b/>
                <w:bCs/>
                <w:color w:val="auto"/>
                <w:sz w:val="21"/>
                <w:szCs w:val="21"/>
                <w:highlight w:val="none"/>
              </w:rPr>
            </w:pPr>
          </w:p>
        </w:tc>
        <w:tc>
          <w:tcPr>
            <w:tcW w:w="2960" w:type="dxa"/>
            <w:vAlign w:val="center"/>
          </w:tcPr>
          <w:p>
            <w:pPr>
              <w:pageBreakBefore w:val="0"/>
              <w:kinsoku/>
              <w:overflowPunct/>
              <w:topLinePunct w:val="0"/>
              <w:bidi w:val="0"/>
              <w:spacing w:line="360" w:lineRule="auto"/>
              <w:jc w:val="center"/>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dxa"/>
            <w:vAlign w:val="center"/>
          </w:tcPr>
          <w:p>
            <w:pPr>
              <w:pageBreakBefore w:val="0"/>
              <w:kinsoku/>
              <w:overflowPunct/>
              <w:topLinePunct w:val="0"/>
              <w:bidi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p>
        </w:tc>
        <w:tc>
          <w:tcPr>
            <w:tcW w:w="3553" w:type="dxa"/>
            <w:vAlign w:val="center"/>
          </w:tcPr>
          <w:p>
            <w:pPr>
              <w:pageBreakBefore w:val="0"/>
              <w:kinsoku/>
              <w:overflowPunct/>
              <w:topLinePunct w:val="0"/>
              <w:bidi w:val="0"/>
              <w:spacing w:line="360" w:lineRule="auto"/>
              <w:jc w:val="center"/>
              <w:rPr>
                <w:rFonts w:hint="eastAsia" w:ascii="宋体" w:hAnsi="宋体" w:eastAsia="宋体" w:cs="宋体"/>
                <w:b/>
                <w:bCs/>
                <w:color w:val="auto"/>
                <w:sz w:val="21"/>
                <w:szCs w:val="21"/>
                <w:highlight w:val="none"/>
              </w:rPr>
            </w:pPr>
          </w:p>
        </w:tc>
        <w:tc>
          <w:tcPr>
            <w:tcW w:w="2365" w:type="dxa"/>
            <w:vAlign w:val="center"/>
          </w:tcPr>
          <w:p>
            <w:pPr>
              <w:pageBreakBefore w:val="0"/>
              <w:kinsoku/>
              <w:overflowPunct/>
              <w:topLinePunct w:val="0"/>
              <w:bidi w:val="0"/>
              <w:spacing w:line="360" w:lineRule="auto"/>
              <w:jc w:val="center"/>
              <w:rPr>
                <w:rFonts w:hint="eastAsia" w:ascii="宋体" w:hAnsi="宋体" w:eastAsia="宋体" w:cs="宋体"/>
                <w:b/>
                <w:bCs/>
                <w:color w:val="auto"/>
                <w:sz w:val="21"/>
                <w:szCs w:val="21"/>
                <w:highlight w:val="none"/>
              </w:rPr>
            </w:pPr>
          </w:p>
        </w:tc>
        <w:tc>
          <w:tcPr>
            <w:tcW w:w="2960" w:type="dxa"/>
            <w:vAlign w:val="center"/>
          </w:tcPr>
          <w:p>
            <w:pPr>
              <w:pageBreakBefore w:val="0"/>
              <w:kinsoku/>
              <w:overflowPunct/>
              <w:topLinePunct w:val="0"/>
              <w:bidi w:val="0"/>
              <w:spacing w:line="360" w:lineRule="auto"/>
              <w:jc w:val="center"/>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dxa"/>
            <w:vAlign w:val="center"/>
          </w:tcPr>
          <w:p>
            <w:pPr>
              <w:pageBreakBefore w:val="0"/>
              <w:kinsoku/>
              <w:overflowPunct/>
              <w:topLinePunct w:val="0"/>
              <w:bidi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w:t>
            </w:r>
          </w:p>
        </w:tc>
        <w:tc>
          <w:tcPr>
            <w:tcW w:w="3553" w:type="dxa"/>
            <w:vAlign w:val="center"/>
          </w:tcPr>
          <w:p>
            <w:pPr>
              <w:pageBreakBefore w:val="0"/>
              <w:kinsoku/>
              <w:overflowPunct/>
              <w:topLinePunct w:val="0"/>
              <w:bidi w:val="0"/>
              <w:spacing w:line="360" w:lineRule="auto"/>
              <w:jc w:val="center"/>
              <w:rPr>
                <w:rFonts w:hint="eastAsia" w:ascii="宋体" w:hAnsi="宋体" w:eastAsia="宋体" w:cs="宋体"/>
                <w:b/>
                <w:bCs/>
                <w:color w:val="auto"/>
                <w:sz w:val="21"/>
                <w:szCs w:val="21"/>
                <w:highlight w:val="none"/>
              </w:rPr>
            </w:pPr>
          </w:p>
        </w:tc>
        <w:tc>
          <w:tcPr>
            <w:tcW w:w="2365" w:type="dxa"/>
            <w:vAlign w:val="center"/>
          </w:tcPr>
          <w:p>
            <w:pPr>
              <w:pageBreakBefore w:val="0"/>
              <w:kinsoku/>
              <w:overflowPunct/>
              <w:topLinePunct w:val="0"/>
              <w:bidi w:val="0"/>
              <w:spacing w:line="360" w:lineRule="auto"/>
              <w:jc w:val="center"/>
              <w:rPr>
                <w:rFonts w:hint="eastAsia" w:ascii="宋体" w:hAnsi="宋体" w:eastAsia="宋体" w:cs="宋体"/>
                <w:b/>
                <w:bCs/>
                <w:color w:val="auto"/>
                <w:sz w:val="21"/>
                <w:szCs w:val="21"/>
                <w:highlight w:val="none"/>
              </w:rPr>
            </w:pPr>
          </w:p>
        </w:tc>
        <w:tc>
          <w:tcPr>
            <w:tcW w:w="2960" w:type="dxa"/>
            <w:vAlign w:val="center"/>
          </w:tcPr>
          <w:p>
            <w:pPr>
              <w:pageBreakBefore w:val="0"/>
              <w:kinsoku/>
              <w:overflowPunct/>
              <w:topLinePunct w:val="0"/>
              <w:bidi w:val="0"/>
              <w:spacing w:line="360" w:lineRule="auto"/>
              <w:jc w:val="center"/>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dxa"/>
            <w:vAlign w:val="center"/>
          </w:tcPr>
          <w:p>
            <w:pPr>
              <w:pageBreakBefore w:val="0"/>
              <w:kinsoku/>
              <w:overflowPunct/>
              <w:topLinePunct w:val="0"/>
              <w:bidi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w:t>
            </w:r>
          </w:p>
        </w:tc>
        <w:tc>
          <w:tcPr>
            <w:tcW w:w="3553" w:type="dxa"/>
            <w:vAlign w:val="center"/>
          </w:tcPr>
          <w:p>
            <w:pPr>
              <w:pageBreakBefore w:val="0"/>
              <w:kinsoku/>
              <w:overflowPunct/>
              <w:topLinePunct w:val="0"/>
              <w:bidi w:val="0"/>
              <w:spacing w:line="360" w:lineRule="auto"/>
              <w:jc w:val="center"/>
              <w:rPr>
                <w:rFonts w:hint="eastAsia" w:ascii="宋体" w:hAnsi="宋体" w:eastAsia="宋体" w:cs="宋体"/>
                <w:b/>
                <w:bCs/>
                <w:color w:val="auto"/>
                <w:sz w:val="21"/>
                <w:szCs w:val="21"/>
                <w:highlight w:val="none"/>
              </w:rPr>
            </w:pPr>
          </w:p>
        </w:tc>
        <w:tc>
          <w:tcPr>
            <w:tcW w:w="2365" w:type="dxa"/>
            <w:vAlign w:val="center"/>
          </w:tcPr>
          <w:p>
            <w:pPr>
              <w:pageBreakBefore w:val="0"/>
              <w:kinsoku/>
              <w:overflowPunct/>
              <w:topLinePunct w:val="0"/>
              <w:bidi w:val="0"/>
              <w:spacing w:line="360" w:lineRule="auto"/>
              <w:jc w:val="center"/>
              <w:rPr>
                <w:rFonts w:hint="eastAsia" w:ascii="宋体" w:hAnsi="宋体" w:eastAsia="宋体" w:cs="宋体"/>
                <w:b/>
                <w:bCs/>
                <w:color w:val="auto"/>
                <w:sz w:val="21"/>
                <w:szCs w:val="21"/>
                <w:highlight w:val="none"/>
              </w:rPr>
            </w:pPr>
          </w:p>
        </w:tc>
        <w:tc>
          <w:tcPr>
            <w:tcW w:w="2960" w:type="dxa"/>
            <w:vAlign w:val="center"/>
          </w:tcPr>
          <w:p>
            <w:pPr>
              <w:pageBreakBefore w:val="0"/>
              <w:kinsoku/>
              <w:overflowPunct/>
              <w:topLinePunct w:val="0"/>
              <w:bidi w:val="0"/>
              <w:spacing w:line="360" w:lineRule="auto"/>
              <w:jc w:val="center"/>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50" w:type="dxa"/>
            <w:vAlign w:val="center"/>
          </w:tcPr>
          <w:p>
            <w:pPr>
              <w:pageBreakBefore w:val="0"/>
              <w:kinsoku/>
              <w:overflowPunct/>
              <w:topLinePunct w:val="0"/>
              <w:bidi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lang w:bidi="ar"/>
              </w:rPr>
              <w:t>……</w:t>
            </w:r>
          </w:p>
        </w:tc>
        <w:tc>
          <w:tcPr>
            <w:tcW w:w="3553" w:type="dxa"/>
            <w:vAlign w:val="center"/>
          </w:tcPr>
          <w:p>
            <w:pPr>
              <w:pageBreakBefore w:val="0"/>
              <w:kinsoku/>
              <w:overflowPunct/>
              <w:topLinePunct w:val="0"/>
              <w:bidi w:val="0"/>
              <w:spacing w:line="360" w:lineRule="auto"/>
              <w:jc w:val="center"/>
              <w:rPr>
                <w:rFonts w:hint="eastAsia" w:ascii="宋体" w:hAnsi="宋体" w:eastAsia="宋体" w:cs="宋体"/>
                <w:b/>
                <w:color w:val="auto"/>
                <w:sz w:val="21"/>
                <w:szCs w:val="21"/>
                <w:highlight w:val="none"/>
                <w:lang w:bidi="ar"/>
              </w:rPr>
            </w:pPr>
          </w:p>
        </w:tc>
        <w:tc>
          <w:tcPr>
            <w:tcW w:w="2365" w:type="dxa"/>
            <w:vAlign w:val="center"/>
          </w:tcPr>
          <w:p>
            <w:pPr>
              <w:pageBreakBefore w:val="0"/>
              <w:kinsoku/>
              <w:overflowPunct/>
              <w:topLinePunct w:val="0"/>
              <w:bidi w:val="0"/>
              <w:spacing w:line="360" w:lineRule="auto"/>
              <w:jc w:val="center"/>
              <w:rPr>
                <w:rFonts w:hint="eastAsia" w:ascii="宋体" w:hAnsi="宋体" w:eastAsia="宋体" w:cs="宋体"/>
                <w:b/>
                <w:bCs/>
                <w:color w:val="auto"/>
                <w:sz w:val="21"/>
                <w:szCs w:val="21"/>
                <w:highlight w:val="none"/>
              </w:rPr>
            </w:pPr>
          </w:p>
        </w:tc>
        <w:tc>
          <w:tcPr>
            <w:tcW w:w="2960" w:type="dxa"/>
            <w:vAlign w:val="center"/>
          </w:tcPr>
          <w:p>
            <w:pPr>
              <w:pageBreakBefore w:val="0"/>
              <w:kinsoku/>
              <w:overflowPunct/>
              <w:topLinePunct w:val="0"/>
              <w:bidi w:val="0"/>
              <w:spacing w:line="360" w:lineRule="auto"/>
              <w:jc w:val="center"/>
              <w:rPr>
                <w:rFonts w:hint="eastAsia" w:ascii="宋体" w:hAnsi="宋体" w:eastAsia="宋体" w:cs="宋体"/>
                <w:b/>
                <w:bCs/>
                <w:color w:val="auto"/>
                <w:sz w:val="21"/>
                <w:szCs w:val="21"/>
                <w:highlight w:val="none"/>
              </w:rPr>
            </w:pPr>
          </w:p>
        </w:tc>
      </w:tr>
    </w:tbl>
    <w:p>
      <w:pPr>
        <w:pageBreakBefore w:val="0"/>
        <w:kinsoku/>
        <w:overflowPunct/>
        <w:topLinePunct w:val="0"/>
        <w:bidi w:val="0"/>
        <w:spacing w:line="360" w:lineRule="auto"/>
        <w:rPr>
          <w:rFonts w:hint="eastAsia" w:ascii="宋体" w:hAnsi="宋体" w:eastAsia="宋体" w:cs="宋体"/>
          <w:b/>
          <w:bCs/>
          <w:color w:val="auto"/>
          <w:spacing w:val="-6"/>
          <w:sz w:val="21"/>
          <w:szCs w:val="21"/>
          <w:highlight w:val="none"/>
        </w:rPr>
      </w:pPr>
    </w:p>
    <w:p>
      <w:pPr>
        <w:pageBreakBefore w:val="0"/>
        <w:kinsoku/>
        <w:overflowPunct/>
        <w:topLinePunct w:val="0"/>
        <w:bidi w:val="0"/>
        <w:spacing w:line="360" w:lineRule="auto"/>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说明：</w:t>
      </w:r>
    </w:p>
    <w:p>
      <w:pPr>
        <w:pageBreakBefore w:val="0"/>
        <w:kinsoku/>
        <w:overflowPunct/>
        <w:topLinePunct w:val="0"/>
        <w:bidi w:val="0"/>
        <w:spacing w:line="360" w:lineRule="auto"/>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1.逐项按照招标文件第</w:t>
      </w:r>
      <w:r>
        <w:rPr>
          <w:rFonts w:hint="eastAsia" w:ascii="宋体" w:hAnsi="宋体" w:cs="宋体"/>
          <w:b/>
          <w:bCs/>
          <w:color w:val="auto"/>
          <w:spacing w:val="-6"/>
          <w:sz w:val="21"/>
          <w:szCs w:val="21"/>
          <w:highlight w:val="none"/>
          <w:lang w:eastAsia="zh-CN"/>
        </w:rPr>
        <w:t>三</w:t>
      </w:r>
      <w:r>
        <w:rPr>
          <w:rFonts w:hint="eastAsia" w:ascii="宋体" w:hAnsi="宋体" w:eastAsia="宋体" w:cs="宋体"/>
          <w:b/>
          <w:bCs/>
          <w:color w:val="auto"/>
          <w:spacing w:val="-6"/>
          <w:sz w:val="21"/>
          <w:szCs w:val="21"/>
          <w:highlight w:val="none"/>
        </w:rPr>
        <w:t>章</w:t>
      </w:r>
      <w:r>
        <w:rPr>
          <w:rFonts w:hint="eastAsia" w:ascii="宋体" w:hAnsi="宋体" w:eastAsia="宋体" w:cs="宋体"/>
          <w:b/>
          <w:bCs/>
          <w:color w:val="auto"/>
          <w:spacing w:val="-6"/>
          <w:sz w:val="21"/>
          <w:szCs w:val="21"/>
          <w:highlight w:val="none"/>
          <w:lang w:val="en-US" w:eastAsia="zh-CN"/>
        </w:rPr>
        <w:t>招标需求的</w:t>
      </w:r>
      <w:r>
        <w:rPr>
          <w:rFonts w:hint="eastAsia" w:ascii="宋体" w:hAnsi="宋体" w:eastAsia="宋体" w:cs="宋体"/>
          <w:b/>
          <w:bCs/>
          <w:color w:val="auto"/>
          <w:spacing w:val="-6"/>
          <w:sz w:val="21"/>
          <w:szCs w:val="21"/>
          <w:highlight w:val="none"/>
        </w:rPr>
        <w:t>要求填写响应规格；</w:t>
      </w:r>
    </w:p>
    <w:p>
      <w:pPr>
        <w:pageBreakBefore w:val="0"/>
        <w:kinsoku/>
        <w:overflowPunct/>
        <w:topLinePunct w:val="0"/>
        <w:bidi w:val="0"/>
        <w:spacing w:line="360" w:lineRule="auto"/>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2.偏离说明是指对</w:t>
      </w:r>
      <w:r>
        <w:rPr>
          <w:rFonts w:hint="eastAsia" w:ascii="宋体" w:hAnsi="宋体" w:eastAsia="宋体" w:cs="宋体"/>
          <w:b/>
          <w:bCs/>
          <w:color w:val="auto"/>
          <w:spacing w:val="-6"/>
          <w:sz w:val="21"/>
          <w:szCs w:val="21"/>
          <w:highlight w:val="none"/>
          <w:lang w:val="en-US" w:eastAsia="zh-CN"/>
        </w:rPr>
        <w:t>招标文件</w:t>
      </w:r>
      <w:r>
        <w:rPr>
          <w:rFonts w:hint="eastAsia" w:ascii="宋体" w:hAnsi="宋体" w:eastAsia="宋体" w:cs="宋体"/>
          <w:b/>
          <w:bCs/>
          <w:color w:val="auto"/>
          <w:spacing w:val="-6"/>
          <w:sz w:val="21"/>
          <w:szCs w:val="21"/>
          <w:highlight w:val="none"/>
        </w:rPr>
        <w:t>要求存在不同之处的解释说明。偏离系指：“正偏离（高于招标要求）、负偏离（低于招标要求）、无偏离（满足招标要求）”，有必要时可注明具体情况；</w:t>
      </w:r>
    </w:p>
    <w:p>
      <w:pPr>
        <w:pageBreakBefore w:val="0"/>
        <w:kinsoku/>
        <w:overflowPunct/>
        <w:topLinePunct w:val="0"/>
        <w:bidi w:val="0"/>
        <w:spacing w:line="360" w:lineRule="auto"/>
        <w:rPr>
          <w:rFonts w:hint="eastAsia" w:ascii="宋体" w:hAnsi="宋体" w:eastAsia="宋体" w:cs="宋体"/>
          <w:b/>
          <w:color w:val="auto"/>
          <w:spacing w:val="-6"/>
          <w:sz w:val="21"/>
          <w:szCs w:val="21"/>
          <w:highlight w:val="none"/>
        </w:rPr>
      </w:pPr>
      <w:r>
        <w:rPr>
          <w:rFonts w:hint="eastAsia" w:ascii="宋体" w:hAnsi="宋体" w:eastAsia="宋体" w:cs="宋体"/>
          <w:b/>
          <w:bCs/>
          <w:color w:val="auto"/>
          <w:spacing w:val="-6"/>
          <w:sz w:val="21"/>
          <w:szCs w:val="21"/>
          <w:highlight w:val="none"/>
        </w:rPr>
        <w:t>3.如不填写</w:t>
      </w:r>
      <w:r>
        <w:rPr>
          <w:rFonts w:hint="eastAsia" w:ascii="宋体" w:hAnsi="宋体" w:eastAsia="宋体" w:cs="宋体"/>
          <w:b/>
          <w:bCs/>
          <w:color w:val="auto"/>
          <w:spacing w:val="-6"/>
          <w:sz w:val="21"/>
          <w:szCs w:val="21"/>
          <w:highlight w:val="none"/>
          <w:lang w:val="en-US" w:eastAsia="zh-CN"/>
        </w:rPr>
        <w:t>视为完全响应招标文件要求；</w:t>
      </w:r>
      <w:r>
        <w:rPr>
          <w:rFonts w:hint="eastAsia" w:ascii="宋体" w:hAnsi="宋体" w:eastAsia="宋体" w:cs="宋体"/>
          <w:b/>
          <w:bCs/>
          <w:color w:val="auto"/>
          <w:spacing w:val="-6"/>
          <w:sz w:val="21"/>
          <w:szCs w:val="21"/>
          <w:highlight w:val="none"/>
        </w:rPr>
        <w:t>未如实填写</w:t>
      </w:r>
      <w:r>
        <w:rPr>
          <w:rFonts w:hint="eastAsia" w:ascii="宋体" w:hAnsi="宋体" w:eastAsia="宋体" w:cs="宋体"/>
          <w:b/>
          <w:color w:val="auto"/>
          <w:spacing w:val="-6"/>
          <w:sz w:val="21"/>
          <w:szCs w:val="21"/>
          <w:highlight w:val="none"/>
        </w:rPr>
        <w:t>，自行承担投标风险。</w:t>
      </w:r>
    </w:p>
    <w:p>
      <w:pPr>
        <w:pageBreakBefore w:val="0"/>
        <w:kinsoku/>
        <w:overflowPunct/>
        <w:topLinePunct w:val="0"/>
        <w:bidi w:val="0"/>
        <w:spacing w:line="360" w:lineRule="auto"/>
        <w:rPr>
          <w:rFonts w:hint="eastAsia" w:ascii="宋体" w:hAnsi="宋体" w:eastAsia="宋体" w:cs="宋体"/>
          <w:color w:val="auto"/>
          <w:spacing w:val="-6"/>
          <w:sz w:val="21"/>
          <w:szCs w:val="21"/>
          <w:highlight w:val="none"/>
        </w:rPr>
      </w:pPr>
    </w:p>
    <w:p>
      <w:pPr>
        <w:pageBreakBefore w:val="0"/>
        <w:kinsoku/>
        <w:overflowPunct/>
        <w:topLinePunct w:val="0"/>
        <w:bidi w:val="0"/>
        <w:spacing w:line="360" w:lineRule="auto"/>
        <w:rPr>
          <w:rFonts w:hint="eastAsia" w:ascii="宋体" w:hAnsi="宋体" w:eastAsia="宋体" w:cs="宋体"/>
          <w:color w:val="auto"/>
          <w:spacing w:val="-6"/>
          <w:sz w:val="21"/>
          <w:szCs w:val="21"/>
          <w:highlight w:val="none"/>
        </w:rPr>
      </w:pPr>
    </w:p>
    <w:p>
      <w:pPr>
        <w:pageBreakBefore w:val="0"/>
        <w:kinsoku/>
        <w:overflowPunct/>
        <w:topLinePunct w:val="0"/>
        <w:bidi w:val="0"/>
        <w:spacing w:line="360" w:lineRule="auto"/>
        <w:rPr>
          <w:rFonts w:hint="eastAsia" w:ascii="宋体" w:hAnsi="宋体" w:eastAsia="宋体" w:cs="宋体"/>
          <w:color w:val="auto"/>
          <w:spacing w:val="-6"/>
          <w:sz w:val="21"/>
          <w:szCs w:val="21"/>
          <w:highlight w:val="none"/>
        </w:rPr>
      </w:pPr>
    </w:p>
    <w:p>
      <w:pPr>
        <w:pageBreakBefore w:val="0"/>
        <w:kinsoku/>
        <w:overflowPunct/>
        <w:topLinePunct w:val="0"/>
        <w:bidi w:val="0"/>
        <w:spacing w:line="360" w:lineRule="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投标人名称（盖章）：</w:t>
      </w:r>
    </w:p>
    <w:p>
      <w:pPr>
        <w:pStyle w:val="15"/>
        <w:pageBreakBefore w:val="0"/>
        <w:kinsoku/>
        <w:overflowPunct/>
        <w:topLinePunct w:val="0"/>
        <w:bidi w:val="0"/>
        <w:spacing w:line="360" w:lineRule="auto"/>
        <w:ind w:left="0" w:firstLine="0" w:firstLineChars="0"/>
        <w:rPr>
          <w:rFonts w:hint="eastAsia" w:ascii="宋体" w:hAnsi="宋体" w:eastAsia="宋体" w:cs="宋体"/>
          <w:bCs/>
          <w:color w:val="auto"/>
          <w:sz w:val="21"/>
          <w:szCs w:val="21"/>
          <w:highlight w:val="none"/>
        </w:rPr>
      </w:pPr>
      <w:r>
        <w:rPr>
          <w:rFonts w:hint="eastAsia" w:ascii="宋体" w:hAnsi="宋体" w:eastAsia="宋体" w:cs="宋体"/>
          <w:color w:val="auto"/>
          <w:spacing w:val="-6"/>
          <w:sz w:val="21"/>
          <w:szCs w:val="21"/>
          <w:highlight w:val="none"/>
        </w:rPr>
        <w:t>日期：     年   月   日</w:t>
      </w:r>
    </w:p>
    <w:p>
      <w:pPr>
        <w:pStyle w:val="15"/>
        <w:pageBreakBefore w:val="0"/>
        <w:kinsoku/>
        <w:overflowPunct/>
        <w:topLinePunct w:val="0"/>
        <w:bidi w:val="0"/>
        <w:spacing w:line="360" w:lineRule="auto"/>
        <w:ind w:left="0" w:firstLine="0" w:firstLineChars="0"/>
        <w:jc w:val="center"/>
        <w:rPr>
          <w:rFonts w:hint="eastAsia" w:ascii="宋体" w:hAnsi="宋体" w:eastAsia="宋体" w:cs="宋体"/>
          <w:b/>
          <w:color w:val="auto"/>
          <w:spacing w:val="-6"/>
          <w:sz w:val="21"/>
          <w:szCs w:val="21"/>
          <w:highlight w:val="none"/>
        </w:rPr>
        <w:sectPr>
          <w:pgSz w:w="11906" w:h="16838"/>
          <w:pgMar w:top="1440" w:right="1800" w:bottom="1440" w:left="1800" w:header="851" w:footer="992" w:gutter="0"/>
          <w:cols w:space="425" w:num="1"/>
          <w:docGrid w:type="lines" w:linePitch="312" w:charSpace="0"/>
        </w:sectPr>
      </w:pPr>
    </w:p>
    <w:p>
      <w:pPr>
        <w:pageBreakBefore w:val="0"/>
        <w:kinsoku/>
        <w:overflowPunct/>
        <w:topLinePunct w:val="0"/>
        <w:bidi w:val="0"/>
        <w:spacing w:line="360" w:lineRule="auto"/>
        <w:jc w:val="center"/>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rPr>
        <w:t>浙银善标</w:t>
      </w:r>
      <w:r>
        <w:rPr>
          <w:rFonts w:hint="eastAsia" w:ascii="宋体" w:hAnsi="宋体" w:eastAsia="宋体" w:cs="宋体"/>
          <w:b/>
          <w:color w:val="auto"/>
          <w:sz w:val="24"/>
          <w:highlight w:val="none"/>
          <w:lang w:val="en-US" w:eastAsia="zh-CN"/>
        </w:rPr>
        <w:t>(由投标人自行提供)</w:t>
      </w:r>
    </w:p>
    <w:p>
      <w:pPr>
        <w:pStyle w:val="15"/>
        <w:pageBreakBefore w:val="0"/>
        <w:kinsoku/>
        <w:overflowPunct/>
        <w:topLinePunct w:val="0"/>
        <w:bidi w:val="0"/>
        <w:spacing w:line="360" w:lineRule="auto"/>
        <w:ind w:left="0" w:firstLine="0" w:firstLineChars="0"/>
        <w:jc w:val="center"/>
        <w:rPr>
          <w:rFonts w:hint="eastAsia" w:ascii="宋体" w:hAnsi="宋体" w:eastAsia="宋体" w:cs="宋体"/>
          <w:b/>
          <w:color w:val="auto"/>
          <w:spacing w:val="-6"/>
          <w:sz w:val="24"/>
          <w:szCs w:val="24"/>
          <w:highlight w:val="none"/>
        </w:rPr>
        <w:sectPr>
          <w:pgSz w:w="11906" w:h="16838"/>
          <w:pgMar w:top="1440" w:right="1800" w:bottom="1440" w:left="1800" w:header="851" w:footer="992" w:gutter="0"/>
          <w:cols w:space="425" w:num="1"/>
          <w:docGrid w:type="lines" w:linePitch="312" w:charSpace="0"/>
        </w:sectPr>
      </w:pPr>
    </w:p>
    <w:p>
      <w:pPr>
        <w:pStyle w:val="15"/>
        <w:pageBreakBefore w:val="0"/>
        <w:kinsoku/>
        <w:overflowPunct/>
        <w:topLinePunct w:val="0"/>
        <w:bidi w:val="0"/>
        <w:spacing w:line="360" w:lineRule="auto"/>
        <w:ind w:left="0" w:firstLine="0" w:firstLineChars="0"/>
        <w:jc w:val="center"/>
        <w:rPr>
          <w:rFonts w:hint="eastAsia" w:ascii="宋体" w:hAnsi="宋体" w:eastAsia="宋体" w:cs="宋体"/>
          <w:b/>
          <w:color w:val="auto"/>
          <w:spacing w:val="-6"/>
          <w:sz w:val="21"/>
          <w:szCs w:val="21"/>
          <w:highlight w:val="none"/>
        </w:rPr>
      </w:pPr>
    </w:p>
    <w:p>
      <w:pPr>
        <w:pageBreakBefore w:val="0"/>
        <w:kinsoku/>
        <w:overflowPunct/>
        <w:topLinePunct w:val="0"/>
        <w:bidi w:val="0"/>
        <w:spacing w:line="360" w:lineRule="auto"/>
        <w:jc w:val="both"/>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项目保障措施</w:t>
      </w:r>
    </w:p>
    <w:p>
      <w:pPr>
        <w:spacing w:line="360" w:lineRule="auto"/>
        <w:ind w:left="400"/>
        <w:jc w:val="center"/>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项目保障措施承诺函</w:t>
      </w:r>
    </w:p>
    <w:p>
      <w:pPr>
        <w:snapToGrid w:val="0"/>
        <w:spacing w:line="360" w:lineRule="auto"/>
        <w:rPr>
          <w:rFonts w:hint="eastAsia" w:ascii="宋体" w:hAnsi="宋体" w:eastAsia="宋体" w:cs="宋体"/>
          <w:color w:val="auto"/>
          <w:sz w:val="21"/>
          <w:szCs w:val="21"/>
          <w:highlight w:val="none"/>
        </w:rPr>
      </w:pPr>
    </w:p>
    <w:p>
      <w:pPr>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lang w:eastAsia="zh-CN"/>
        </w:rPr>
        <w:t>浙商银行股份有限公司台州分行</w:t>
      </w:r>
    </w:p>
    <w:p>
      <w:pPr>
        <w:pageBreakBefore w:val="0"/>
        <w:kinsoku/>
        <w:overflowPunct/>
        <w:topLinePunct w:val="0"/>
        <w:bidi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根据贵方</w:t>
      </w:r>
      <w:r>
        <w:rPr>
          <w:rFonts w:hint="eastAsia" w:ascii="宋体" w:hAnsi="宋体" w:eastAsia="宋体" w:cs="宋体"/>
          <w:color w:val="auto"/>
          <w:sz w:val="21"/>
          <w:szCs w:val="21"/>
          <w:highlight w:val="none"/>
          <w:u w:val="single"/>
          <w:lang w:eastAsia="zh-CN"/>
        </w:rPr>
        <w:t>浙商银行台州分行公司客户贷款抵押物（房屋建筑物）财产保险服务项目采购</w:t>
      </w:r>
      <w:r>
        <w:rPr>
          <w:rFonts w:hint="eastAsia" w:ascii="宋体" w:hAnsi="宋体" w:eastAsia="宋体" w:cs="宋体"/>
          <w:color w:val="auto"/>
          <w:sz w:val="21"/>
          <w:szCs w:val="21"/>
          <w:highlight w:val="none"/>
        </w:rPr>
        <w:t>招标文件，我方</w:t>
      </w:r>
      <w:r>
        <w:rPr>
          <w:rFonts w:hint="eastAsia" w:ascii="宋体" w:hAnsi="宋体" w:eastAsia="宋体" w:cs="宋体"/>
          <w:color w:val="auto"/>
          <w:sz w:val="21"/>
          <w:szCs w:val="21"/>
          <w:highlight w:val="none"/>
          <w:u w:val="single"/>
        </w:rPr>
        <w:t>（投标人名称）</w:t>
      </w:r>
      <w:r>
        <w:rPr>
          <w:rFonts w:hint="eastAsia" w:ascii="宋体" w:hAnsi="宋体" w:eastAsia="宋体" w:cs="宋体"/>
          <w:color w:val="auto"/>
          <w:sz w:val="21"/>
          <w:szCs w:val="21"/>
          <w:highlight w:val="none"/>
        </w:rPr>
        <w:t>自愿参加投标，并承诺提供以下项目保障措施，具体包括：</w:t>
      </w:r>
    </w:p>
    <w:p>
      <w:pPr>
        <w:pStyle w:val="9"/>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rPr>
        <w:t>同意在招标人开立的账户进行本项目的款项结算，并在开标日前已开立结算账户；</w:t>
      </w:r>
    </w:p>
    <w:p>
      <w:pPr>
        <w:pStyle w:val="9"/>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rPr>
        <w:t>同意在招标人开立的账户进行本项目的款项结算，承诺在中标后开立结算账户；</w:t>
      </w:r>
    </w:p>
    <w:p>
      <w:pPr>
        <w:pStyle w:val="9"/>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rPr>
        <w:t>不同意在招标人开立的账户进行本项目的款项结算；</w:t>
      </w:r>
    </w:p>
    <w:p>
      <w:pPr>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p>
    <w:p>
      <w:pPr>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1、投标人根据自身情况对以上事项作出承诺，承诺事项请以“</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”表示。</w:t>
      </w:r>
    </w:p>
    <w:p>
      <w:pPr>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2、同意在招标人开立的账户进行本项目的款项结算，并在开标日前已开立结算账户的请在本承诺函后附已开立的账户信息（加盖响应投标人公章）。</w:t>
      </w:r>
    </w:p>
    <w:p>
      <w:pPr>
        <w:spacing w:line="360" w:lineRule="auto"/>
        <w:rPr>
          <w:rFonts w:hint="eastAsia" w:ascii="宋体" w:hAnsi="宋体" w:eastAsia="宋体" w:cs="宋体"/>
          <w:color w:val="auto"/>
          <w:spacing w:val="-6"/>
          <w:sz w:val="21"/>
          <w:szCs w:val="21"/>
          <w:highlight w:val="none"/>
        </w:rPr>
      </w:pPr>
    </w:p>
    <w:p>
      <w:pPr>
        <w:spacing w:line="360" w:lineRule="auto"/>
        <w:rPr>
          <w:rFonts w:hint="eastAsia" w:ascii="宋体" w:hAnsi="宋体" w:eastAsia="宋体" w:cs="宋体"/>
          <w:color w:val="auto"/>
          <w:spacing w:val="-6"/>
          <w:sz w:val="21"/>
          <w:szCs w:val="21"/>
          <w:highlight w:val="none"/>
        </w:rPr>
      </w:pPr>
    </w:p>
    <w:p>
      <w:pPr>
        <w:spacing w:line="360" w:lineRule="auto"/>
        <w:rPr>
          <w:rFonts w:hint="eastAsia" w:ascii="宋体" w:hAnsi="宋体" w:eastAsia="宋体" w:cs="宋体"/>
          <w:color w:val="auto"/>
          <w:spacing w:val="-6"/>
          <w:sz w:val="21"/>
          <w:szCs w:val="21"/>
          <w:highlight w:val="none"/>
        </w:rPr>
      </w:pPr>
    </w:p>
    <w:p>
      <w:pPr>
        <w:spacing w:line="360" w:lineRule="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投标人名称（盖章）：</w:t>
      </w:r>
    </w:p>
    <w:p>
      <w:pPr>
        <w:bidi w:val="0"/>
        <w:rPr>
          <w:rFonts w:hint="eastAsia" w:ascii="宋体" w:hAnsi="宋体" w:eastAsia="宋体" w:cs="宋体"/>
          <w:color w:val="auto"/>
          <w:highlight w:val="none"/>
          <w:lang w:val="en-US" w:eastAsia="zh-CN"/>
        </w:rPr>
      </w:pPr>
    </w:p>
    <w:p>
      <w:pPr>
        <w:bidi w:val="0"/>
        <w:rPr>
          <w:rFonts w:hint="eastAsia" w:ascii="宋体" w:hAnsi="宋体" w:eastAsia="宋体" w:cs="宋体"/>
          <w:color w:val="auto"/>
          <w:highlight w:val="none"/>
        </w:rPr>
      </w:pPr>
    </w:p>
    <w:p>
      <w:pPr>
        <w:sectPr>
          <w:pgSz w:w="11906" w:h="16838"/>
          <w:pgMar w:top="1440" w:right="1800" w:bottom="1440" w:left="1800" w:header="851" w:footer="992" w:gutter="0"/>
          <w:cols w:space="425" w:num="1"/>
          <w:docGrid w:type="lines" w:linePitch="312" w:charSpace="0"/>
        </w:sectPr>
      </w:pPr>
    </w:p>
    <w:p>
      <w:pPr>
        <w:bidi w:val="0"/>
        <w:rPr>
          <w:rFonts w:hint="eastAsia" w:ascii="宋体" w:hAnsi="宋体" w:eastAsia="宋体" w:cs="宋体"/>
          <w:color w:val="auto"/>
          <w:highlight w:val="none"/>
        </w:rPr>
      </w:pPr>
    </w:p>
    <w:p>
      <w:pPr>
        <w:pageBreakBefore w:val="0"/>
        <w:kinsoku/>
        <w:overflowPunct/>
        <w:topLinePunct w:val="0"/>
        <w:bidi w:val="0"/>
        <w:spacing w:line="360" w:lineRule="auto"/>
        <w:jc w:val="center"/>
        <w:outlineLvl w:val="2"/>
        <w:rPr>
          <w:rFonts w:hint="eastAsia" w:ascii="宋体" w:hAnsi="宋体" w:eastAsia="宋体" w:cs="宋体"/>
          <w:color w:val="auto"/>
          <w:highlight w:val="none"/>
        </w:rPr>
      </w:pPr>
      <w:r>
        <w:rPr>
          <w:rFonts w:hint="eastAsia" w:ascii="宋体" w:hAnsi="宋体" w:eastAsia="宋体" w:cs="宋体"/>
          <w:b/>
          <w:color w:val="auto"/>
          <w:sz w:val="24"/>
          <w:highlight w:val="none"/>
        </w:rPr>
        <w:t>企业经营情况</w:t>
      </w:r>
    </w:p>
    <w:p>
      <w:pPr>
        <w:bidi w:val="0"/>
        <w:rPr>
          <w:rFonts w:hint="eastAsia" w:ascii="宋体" w:hAnsi="宋体" w:eastAsia="宋体" w:cs="宋体"/>
          <w:color w:val="auto"/>
          <w:highlight w:val="none"/>
        </w:rPr>
      </w:pPr>
    </w:p>
    <w:p>
      <w:pPr>
        <w:bidi w:val="0"/>
        <w:rPr>
          <w:rFonts w:hint="eastAsia" w:ascii="宋体" w:hAnsi="宋体" w:eastAsia="宋体" w:cs="宋体"/>
          <w:color w:val="auto"/>
          <w:highlight w:val="none"/>
        </w:rPr>
      </w:pPr>
    </w:p>
    <w:p>
      <w:pPr>
        <w:bidi w:val="0"/>
        <w:rPr>
          <w:rFonts w:hint="eastAsia" w:ascii="宋体" w:hAnsi="宋体" w:eastAsia="宋体" w:cs="宋体"/>
          <w:color w:val="auto"/>
          <w:highlight w:val="none"/>
        </w:rPr>
      </w:pPr>
    </w:p>
    <w:p>
      <w:pPr>
        <w:bidi w:val="0"/>
        <w:rPr>
          <w:rFonts w:hint="eastAsia" w:ascii="宋体" w:hAnsi="宋体" w:eastAsia="宋体" w:cs="宋体"/>
          <w:color w:val="auto"/>
          <w:highlight w:val="none"/>
        </w:rPr>
      </w:pPr>
    </w:p>
    <w:p>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pPr>
        <w:pageBreakBefore w:val="0"/>
        <w:kinsoku/>
        <w:overflowPunct/>
        <w:topLinePunct w:val="0"/>
        <w:bidi w:val="0"/>
        <w:spacing w:line="360" w:lineRule="auto"/>
        <w:jc w:val="center"/>
        <w:outlineLvl w:val="2"/>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业绩</w:t>
      </w:r>
      <w:r>
        <w:rPr>
          <w:rFonts w:hint="eastAsia" w:ascii="宋体" w:hAnsi="宋体" w:eastAsia="宋体" w:cs="宋体"/>
          <w:b/>
          <w:color w:val="auto"/>
          <w:sz w:val="24"/>
          <w:szCs w:val="24"/>
          <w:highlight w:val="none"/>
          <w:lang w:val="en-US" w:eastAsia="zh-CN"/>
        </w:rPr>
        <w:t>情况</w:t>
      </w:r>
    </w:p>
    <w:p>
      <w:pPr>
        <w:bidi w:val="0"/>
        <w:spacing w:line="360" w:lineRule="auto"/>
        <w:rPr>
          <w:rFonts w:hint="eastAsia" w:ascii="宋体" w:hAnsi="宋体" w:eastAsia="宋体" w:cs="宋体"/>
          <w:color w:val="auto"/>
          <w:sz w:val="21"/>
          <w:szCs w:val="21"/>
          <w:highlight w:val="none"/>
        </w:rPr>
      </w:pPr>
    </w:p>
    <w:p>
      <w:pPr>
        <w:bidi w:val="0"/>
        <w:spacing w:line="360" w:lineRule="auto"/>
        <w:rPr>
          <w:rFonts w:hint="eastAsia" w:ascii="宋体" w:hAnsi="宋体" w:eastAsia="宋体" w:cs="宋体"/>
          <w:color w:val="auto"/>
          <w:sz w:val="21"/>
          <w:szCs w:val="21"/>
          <w:highlight w:val="none"/>
        </w:rPr>
      </w:pPr>
    </w:p>
    <w:tbl>
      <w:tblPr>
        <w:tblStyle w:val="2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
        <w:gridCol w:w="1215"/>
        <w:gridCol w:w="1546"/>
        <w:gridCol w:w="1237"/>
        <w:gridCol w:w="889"/>
        <w:gridCol w:w="1669"/>
        <w:gridCol w:w="212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9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采购人</w:t>
            </w:r>
          </w:p>
        </w:tc>
        <w:tc>
          <w:tcPr>
            <w:tcW w:w="154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项目名称</w:t>
            </w:r>
          </w:p>
        </w:tc>
        <w:tc>
          <w:tcPr>
            <w:tcW w:w="123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项目类型</w:t>
            </w:r>
          </w:p>
        </w:tc>
        <w:tc>
          <w:tcPr>
            <w:tcW w:w="8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附件页码</w:t>
            </w:r>
          </w:p>
        </w:tc>
        <w:tc>
          <w:tcPr>
            <w:tcW w:w="166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合同签订时间</w:t>
            </w:r>
          </w:p>
        </w:tc>
        <w:tc>
          <w:tcPr>
            <w:tcW w:w="212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采购人联系人</w:t>
            </w:r>
          </w:p>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9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154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123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166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212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9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154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123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166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212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9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154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123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166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212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9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154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123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166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212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9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154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123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166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212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1"/>
                <w:szCs w:val="21"/>
                <w:highlight w:val="none"/>
              </w:rPr>
            </w:pPr>
          </w:p>
        </w:tc>
      </w:tr>
    </w:tbl>
    <w:p>
      <w:pPr>
        <w:spacing w:line="360" w:lineRule="auto"/>
        <w:rPr>
          <w:rFonts w:hint="eastAsia" w:ascii="宋体" w:hAnsi="宋体" w:eastAsia="宋体" w:cs="宋体"/>
          <w:b/>
          <w:color w:val="auto"/>
          <w:spacing w:val="-6"/>
          <w:sz w:val="21"/>
          <w:szCs w:val="21"/>
          <w:highlight w:val="none"/>
        </w:rPr>
      </w:pPr>
      <w:r>
        <w:rPr>
          <w:rFonts w:hint="eastAsia" w:ascii="宋体" w:hAnsi="宋体" w:eastAsia="宋体" w:cs="宋体"/>
          <w:b/>
          <w:color w:val="auto"/>
          <w:spacing w:val="-6"/>
          <w:sz w:val="21"/>
          <w:szCs w:val="21"/>
          <w:highlight w:val="none"/>
        </w:rPr>
        <w:t>说明：</w:t>
      </w:r>
    </w:p>
    <w:p>
      <w:pPr>
        <w:spacing w:line="360" w:lineRule="auto"/>
        <w:rPr>
          <w:rFonts w:hint="eastAsia" w:ascii="宋体" w:hAnsi="宋体" w:eastAsia="宋体" w:cs="宋体"/>
          <w:b w:val="0"/>
          <w:bCs/>
          <w:color w:val="auto"/>
          <w:spacing w:val="-6"/>
          <w:sz w:val="21"/>
          <w:szCs w:val="21"/>
          <w:highlight w:val="none"/>
        </w:rPr>
      </w:pPr>
      <w:r>
        <w:rPr>
          <w:rFonts w:hint="eastAsia" w:ascii="宋体" w:hAnsi="宋体" w:eastAsia="宋体" w:cs="宋体"/>
          <w:b w:val="0"/>
          <w:bCs/>
          <w:color w:val="auto"/>
          <w:spacing w:val="-6"/>
          <w:sz w:val="21"/>
          <w:szCs w:val="21"/>
          <w:highlight w:val="none"/>
        </w:rPr>
        <w:t>1.投标人须提供上述业绩合同</w:t>
      </w:r>
      <w:r>
        <w:rPr>
          <w:rFonts w:hint="eastAsia" w:ascii="宋体" w:hAnsi="宋体" w:eastAsia="宋体" w:cs="宋体"/>
          <w:b w:val="0"/>
          <w:bCs/>
          <w:color w:val="auto"/>
          <w:spacing w:val="-6"/>
          <w:sz w:val="21"/>
          <w:szCs w:val="21"/>
          <w:highlight w:val="none"/>
          <w:lang w:val="en-US" w:eastAsia="zh-CN"/>
        </w:rPr>
        <w:t>复印件</w:t>
      </w:r>
      <w:r>
        <w:rPr>
          <w:rFonts w:hint="eastAsia" w:ascii="宋体" w:hAnsi="宋体" w:eastAsia="宋体" w:cs="宋体"/>
          <w:b w:val="0"/>
          <w:bCs/>
          <w:color w:val="auto"/>
          <w:spacing w:val="-6"/>
          <w:sz w:val="21"/>
          <w:szCs w:val="21"/>
          <w:highlight w:val="none"/>
          <w:lang w:eastAsia="zh-CN"/>
        </w:rPr>
        <w:t>，</w:t>
      </w:r>
      <w:r>
        <w:rPr>
          <w:rFonts w:hint="eastAsia" w:ascii="宋体" w:hAnsi="宋体" w:eastAsia="宋体" w:cs="宋体"/>
          <w:b w:val="0"/>
          <w:bCs/>
          <w:color w:val="auto"/>
          <w:spacing w:val="-6"/>
          <w:sz w:val="21"/>
          <w:szCs w:val="21"/>
          <w:highlight w:val="none"/>
        </w:rPr>
        <w:t>应能体现合同签订时间、</w:t>
      </w:r>
      <w:r>
        <w:rPr>
          <w:rFonts w:hint="eastAsia" w:ascii="宋体" w:hAnsi="宋体" w:eastAsia="宋体" w:cs="宋体"/>
          <w:b w:val="0"/>
          <w:bCs/>
          <w:color w:val="auto"/>
          <w:spacing w:val="-6"/>
          <w:sz w:val="21"/>
          <w:szCs w:val="21"/>
          <w:highlight w:val="none"/>
          <w:lang w:val="en-US" w:eastAsia="zh-CN"/>
        </w:rPr>
        <w:t>金额、</w:t>
      </w:r>
      <w:r>
        <w:rPr>
          <w:rFonts w:hint="eastAsia" w:ascii="宋体" w:hAnsi="宋体" w:eastAsia="宋体" w:cs="宋体"/>
          <w:b w:val="0"/>
          <w:bCs/>
          <w:color w:val="auto"/>
          <w:spacing w:val="-6"/>
          <w:sz w:val="21"/>
          <w:szCs w:val="21"/>
          <w:highlight w:val="none"/>
        </w:rPr>
        <w:t>双方签字盖章等内容；</w:t>
      </w:r>
    </w:p>
    <w:p>
      <w:pPr>
        <w:spacing w:line="360" w:lineRule="auto"/>
        <w:rPr>
          <w:rFonts w:hint="eastAsia" w:ascii="宋体" w:hAnsi="宋体" w:eastAsia="宋体" w:cs="宋体"/>
          <w:color w:val="auto"/>
          <w:spacing w:val="-6"/>
          <w:sz w:val="21"/>
          <w:szCs w:val="21"/>
          <w:highlight w:val="none"/>
        </w:rPr>
      </w:pPr>
    </w:p>
    <w:p>
      <w:pPr>
        <w:spacing w:line="360" w:lineRule="auto"/>
        <w:rPr>
          <w:rFonts w:hint="eastAsia" w:ascii="宋体" w:hAnsi="宋体" w:eastAsia="宋体" w:cs="宋体"/>
          <w:color w:val="auto"/>
          <w:spacing w:val="-6"/>
          <w:sz w:val="21"/>
          <w:szCs w:val="21"/>
          <w:highlight w:val="none"/>
        </w:rPr>
      </w:pPr>
    </w:p>
    <w:p>
      <w:pPr>
        <w:spacing w:line="360" w:lineRule="auto"/>
        <w:rPr>
          <w:rFonts w:hint="eastAsia" w:ascii="宋体" w:hAnsi="宋体" w:eastAsia="宋体" w:cs="宋体"/>
          <w:color w:val="auto"/>
          <w:spacing w:val="-6"/>
          <w:sz w:val="21"/>
          <w:szCs w:val="21"/>
          <w:highlight w:val="none"/>
        </w:rPr>
      </w:pPr>
    </w:p>
    <w:p>
      <w:pPr>
        <w:spacing w:line="360" w:lineRule="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投标人名称（盖章）：</w:t>
      </w:r>
    </w:p>
    <w:p>
      <w:pPr>
        <w:spacing w:line="360" w:lineRule="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日期：     年   月   日</w:t>
      </w:r>
    </w:p>
    <w:p>
      <w:pPr>
        <w:bidi w:val="0"/>
        <w:spacing w:line="360" w:lineRule="auto"/>
        <w:rPr>
          <w:rFonts w:hint="eastAsia" w:ascii="宋体" w:hAnsi="宋体" w:eastAsia="宋体" w:cs="宋体"/>
          <w:color w:val="auto"/>
          <w:sz w:val="21"/>
          <w:szCs w:val="21"/>
          <w:highlight w:val="none"/>
        </w:rPr>
      </w:pPr>
    </w:p>
    <w:p>
      <w:pPr>
        <w:bidi w:val="0"/>
        <w:rPr>
          <w:rFonts w:hint="eastAsia" w:ascii="宋体" w:hAnsi="宋体" w:eastAsia="宋体" w:cs="宋体"/>
          <w:color w:val="auto"/>
          <w:highlight w:val="none"/>
        </w:rPr>
      </w:pPr>
    </w:p>
    <w:p>
      <w:pPr>
        <w:bidi w:val="0"/>
        <w:rPr>
          <w:rFonts w:hint="eastAsia" w:ascii="宋体" w:hAnsi="宋体" w:eastAsia="宋体" w:cs="宋体"/>
          <w:color w:val="auto"/>
          <w:highlight w:val="none"/>
        </w:rPr>
      </w:pPr>
      <w:r>
        <w:rPr>
          <w:rFonts w:hint="eastAsia" w:ascii="宋体" w:hAnsi="宋体" w:eastAsia="宋体" w:cs="宋体"/>
          <w:color w:val="auto"/>
          <w:highlight w:val="none"/>
        </w:rPr>
        <w:br w:type="page"/>
      </w:r>
    </w:p>
    <w:p>
      <w:pPr>
        <w:pageBreakBefore w:val="0"/>
        <w:kinsoku/>
        <w:overflowPunct/>
        <w:topLinePunct w:val="0"/>
        <w:bidi w:val="0"/>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投标人需要说明的其他文件和材料</w:t>
      </w:r>
    </w:p>
    <w:p>
      <w:pPr>
        <w:pStyle w:val="9"/>
        <w:sectPr>
          <w:pgSz w:w="11906" w:h="16838"/>
          <w:pgMar w:top="1440" w:right="1800" w:bottom="1440" w:left="1800" w:header="851" w:footer="992" w:gutter="0"/>
          <w:cols w:space="425" w:num="1"/>
          <w:docGrid w:type="lines" w:linePitch="312" w:charSpace="0"/>
        </w:sectPr>
      </w:pPr>
    </w:p>
    <w:p>
      <w:pPr>
        <w:pageBreakBefore w:val="0"/>
        <w:kinsoku/>
        <w:overflowPunct/>
        <w:topLinePunct w:val="0"/>
        <w:bidi w:val="0"/>
        <w:spacing w:line="360" w:lineRule="auto"/>
        <w:jc w:val="center"/>
        <w:outlineLvl w:val="1"/>
        <w:rPr>
          <w:rFonts w:hint="eastAsia" w:ascii="宋体" w:hAnsi="宋体" w:eastAsia="宋体" w:cs="宋体"/>
          <w:b/>
          <w:color w:val="auto"/>
          <w:sz w:val="52"/>
          <w:szCs w:val="52"/>
          <w:highlight w:val="none"/>
        </w:rPr>
      </w:pPr>
      <w:r>
        <w:rPr>
          <w:rFonts w:hint="eastAsia" w:ascii="宋体" w:hAnsi="宋体" w:eastAsia="宋体" w:cs="宋体"/>
          <w:b/>
          <w:color w:val="auto"/>
          <w:sz w:val="52"/>
          <w:szCs w:val="52"/>
          <w:highlight w:val="none"/>
        </w:rPr>
        <w:t>技术文件</w:t>
      </w:r>
    </w:p>
    <w:p>
      <w:pPr>
        <w:pageBreakBefore w:val="0"/>
        <w:kinsoku/>
        <w:overflowPunct/>
        <w:topLinePunct w:val="0"/>
        <w:bidi w:val="0"/>
        <w:spacing w:line="360" w:lineRule="auto"/>
        <w:jc w:val="center"/>
        <w:outlineLvl w:val="2"/>
        <w:rPr>
          <w:rFonts w:hint="eastAsia" w:ascii="宋体" w:hAnsi="宋体" w:eastAsia="宋体" w:cs="宋体"/>
          <w:b/>
          <w:bCs/>
          <w:color w:val="auto"/>
          <w:spacing w:val="-6"/>
          <w:szCs w:val="28"/>
          <w:highlight w:val="none"/>
        </w:rPr>
      </w:pPr>
      <w:r>
        <w:rPr>
          <w:rFonts w:hint="eastAsia" w:ascii="宋体" w:hAnsi="宋体" w:eastAsia="宋体" w:cs="宋体"/>
          <w:b/>
          <w:bCs/>
          <w:color w:val="auto"/>
          <w:spacing w:val="-6"/>
          <w:szCs w:val="28"/>
          <w:highlight w:val="none"/>
        </w:rPr>
        <w:t>技术及服务方案</w:t>
      </w:r>
    </w:p>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p>
      <w:pPr>
        <w:numPr>
          <w:ilvl w:val="0"/>
          <w:numId w:val="0"/>
        </w:num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说明：根据评分细则提供和编写格式自拟，包括但不仅限于：</w:t>
      </w:r>
    </w:p>
    <w:p>
      <w:pPr>
        <w:pStyle w:val="2"/>
        <w:tabs>
          <w:tab w:val="left" w:pos="588"/>
        </w:tabs>
        <w:snapToGrid w:val="0"/>
        <w:spacing w:before="120" w:after="120" w:line="360" w:lineRule="auto"/>
        <w:ind w:firstLine="48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（根据第</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章“</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需求”及第四章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评标办法及评分标准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，由投标人提供认为需要的方案及资料，未提供格式的部分格式自拟）</w:t>
      </w:r>
    </w:p>
    <w:p>
      <w:pPr>
        <w:bidi w:val="0"/>
        <w:spacing w:line="360" w:lineRule="auto"/>
        <w:rPr>
          <w:rFonts w:hint="eastAsia" w:ascii="宋体" w:hAnsi="宋体" w:eastAsia="宋体" w:cs="宋体"/>
          <w:color w:val="auto"/>
          <w:sz w:val="21"/>
          <w:szCs w:val="21"/>
          <w:highlight w:val="none"/>
          <w:lang w:val="en-US" w:eastAsia="zh-CN"/>
        </w:rPr>
      </w:pPr>
    </w:p>
    <w:p>
      <w:pPr>
        <w:spacing w:line="360" w:lineRule="auto"/>
        <w:rPr>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Lucida Sans">
    <w:panose1 w:val="020B0602030504020204"/>
    <w:charset w:val="00"/>
    <w:family w:val="swiss"/>
    <w:pitch w:val="default"/>
    <w:sig w:usb0="00000003" w:usb1="00000000" w:usb2="00000000" w:usb3="00000000" w:csb0="200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56"/>
      <w:rPr>
        <w:rFonts w:hint="eastAsia"/>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56"/>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2"/>
                          </w:pPr>
                          <w:r>
                            <w:fldChar w:fldCharType="begin"/>
                          </w:r>
                          <w:r>
                            <w:instrText xml:space="preserve"> PAGE  \* MERGEFORMAT </w:instrText>
                          </w:r>
                          <w:r>
                            <w:fldChar w:fldCharType="separate"/>
                          </w:r>
                          <w:r>
                            <w:t>5</w:t>
                          </w:r>
                          <w: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PlfknQAAAAAwEAAA8AAAAAAAAAAQAgAAAAIgAAAGRycy9kb3ducmV2LnhtbFBLAQIU&#10;ABQAAAAIAIdO4kDhZr4B+wEAAAQEAAAOAAAAAAAAAAEAIAAAAB8BAABkcnMvZTJvRG9jLnhtbFBL&#10;BQYAAAAABgAGAFkBAACM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A74004"/>
    <w:multiLevelType w:val="singleLevel"/>
    <w:tmpl w:val="01A74004"/>
    <w:lvl w:ilvl="0" w:tentative="0">
      <w:start w:val="1"/>
      <w:numFmt w:val="decimal"/>
      <w:lvlText w:val="(%1)"/>
      <w:lvlJc w:val="left"/>
      <w:pPr>
        <w:ind w:left="425" w:hanging="425"/>
      </w:pPr>
      <w:rPr>
        <w:rFonts w:hint="default"/>
      </w:rPr>
    </w:lvl>
  </w:abstractNum>
  <w:abstractNum w:abstractNumId="1">
    <w:nsid w:val="0B58C186"/>
    <w:multiLevelType w:val="singleLevel"/>
    <w:tmpl w:val="0B58C186"/>
    <w:lvl w:ilvl="0" w:tentative="0">
      <w:start w:val="1"/>
      <w:numFmt w:val="chineseCounting"/>
      <w:suff w:val="nothing"/>
      <w:lvlText w:val="%1、"/>
      <w:lvlJc w:val="left"/>
      <w:rPr>
        <w:rFonts w:hint="eastAsia"/>
      </w:rPr>
    </w:lvl>
  </w:abstractNum>
  <w:abstractNum w:abstractNumId="2">
    <w:nsid w:val="2FA365CF"/>
    <w:multiLevelType w:val="singleLevel"/>
    <w:tmpl w:val="2FA365CF"/>
    <w:lvl w:ilvl="0" w:tentative="0">
      <w:start w:val="1"/>
      <w:numFmt w:val="decimal"/>
      <w:suff w:val="nothing"/>
      <w:lvlText w:val="%1、"/>
      <w:lvlJc w:val="left"/>
    </w:lvl>
  </w:abstractNum>
  <w:abstractNum w:abstractNumId="3">
    <w:nsid w:val="453D4D75"/>
    <w:multiLevelType w:val="singleLevel"/>
    <w:tmpl w:val="453D4D75"/>
    <w:lvl w:ilvl="0" w:tentative="0">
      <w:start w:val="1"/>
      <w:numFmt w:val="decimal"/>
      <w:lvlText w:val="(%1)"/>
      <w:lvlJc w:val="left"/>
      <w:pPr>
        <w:ind w:left="425" w:hanging="425"/>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A3EFD"/>
    <w:rsid w:val="001E70A3"/>
    <w:rsid w:val="002C5832"/>
    <w:rsid w:val="0072617E"/>
    <w:rsid w:val="008A44EA"/>
    <w:rsid w:val="0090757F"/>
    <w:rsid w:val="0170590E"/>
    <w:rsid w:val="01A23A3E"/>
    <w:rsid w:val="02A024A2"/>
    <w:rsid w:val="02C57189"/>
    <w:rsid w:val="02CD58BC"/>
    <w:rsid w:val="032D3DCA"/>
    <w:rsid w:val="0391327A"/>
    <w:rsid w:val="03A85725"/>
    <w:rsid w:val="03C05E0E"/>
    <w:rsid w:val="03D65FA4"/>
    <w:rsid w:val="04665E6F"/>
    <w:rsid w:val="049071B0"/>
    <w:rsid w:val="04A3672F"/>
    <w:rsid w:val="05035D10"/>
    <w:rsid w:val="05405F60"/>
    <w:rsid w:val="05582506"/>
    <w:rsid w:val="05681815"/>
    <w:rsid w:val="063C77E3"/>
    <w:rsid w:val="06CC571D"/>
    <w:rsid w:val="0704553F"/>
    <w:rsid w:val="074C1179"/>
    <w:rsid w:val="07956AF9"/>
    <w:rsid w:val="07C439E0"/>
    <w:rsid w:val="088752B3"/>
    <w:rsid w:val="088E78A7"/>
    <w:rsid w:val="08B25007"/>
    <w:rsid w:val="08DF2791"/>
    <w:rsid w:val="08E23DB7"/>
    <w:rsid w:val="08FB7671"/>
    <w:rsid w:val="09CA5B84"/>
    <w:rsid w:val="0A557C11"/>
    <w:rsid w:val="0AC00B5B"/>
    <w:rsid w:val="0AC20211"/>
    <w:rsid w:val="0B1422B5"/>
    <w:rsid w:val="0BEE6702"/>
    <w:rsid w:val="0C155474"/>
    <w:rsid w:val="0C1D2AAA"/>
    <w:rsid w:val="0C2F2D25"/>
    <w:rsid w:val="0C36605C"/>
    <w:rsid w:val="0C7F4CB4"/>
    <w:rsid w:val="0C9063FC"/>
    <w:rsid w:val="0C9A452C"/>
    <w:rsid w:val="0D8745A9"/>
    <w:rsid w:val="0D967863"/>
    <w:rsid w:val="0DC21949"/>
    <w:rsid w:val="0DC8303C"/>
    <w:rsid w:val="0E573B98"/>
    <w:rsid w:val="0F0C34DB"/>
    <w:rsid w:val="0F32649A"/>
    <w:rsid w:val="0F39407F"/>
    <w:rsid w:val="0FA01D3D"/>
    <w:rsid w:val="100A7006"/>
    <w:rsid w:val="10A910EC"/>
    <w:rsid w:val="10AA3A5B"/>
    <w:rsid w:val="10CA4872"/>
    <w:rsid w:val="10FF14B0"/>
    <w:rsid w:val="11225DAE"/>
    <w:rsid w:val="11C17758"/>
    <w:rsid w:val="11C61380"/>
    <w:rsid w:val="12046E8E"/>
    <w:rsid w:val="1260310F"/>
    <w:rsid w:val="129203B4"/>
    <w:rsid w:val="12A07271"/>
    <w:rsid w:val="12D848D6"/>
    <w:rsid w:val="133A7FB2"/>
    <w:rsid w:val="13D51278"/>
    <w:rsid w:val="140C4EA0"/>
    <w:rsid w:val="141E1C87"/>
    <w:rsid w:val="15242034"/>
    <w:rsid w:val="152B7732"/>
    <w:rsid w:val="15392B01"/>
    <w:rsid w:val="15883603"/>
    <w:rsid w:val="158B7475"/>
    <w:rsid w:val="15C06236"/>
    <w:rsid w:val="15F15348"/>
    <w:rsid w:val="16247899"/>
    <w:rsid w:val="166C09C1"/>
    <w:rsid w:val="167F6CF0"/>
    <w:rsid w:val="16DE0A60"/>
    <w:rsid w:val="16F912CF"/>
    <w:rsid w:val="171C560C"/>
    <w:rsid w:val="17636686"/>
    <w:rsid w:val="180D0182"/>
    <w:rsid w:val="18134204"/>
    <w:rsid w:val="181C29C8"/>
    <w:rsid w:val="18CD178C"/>
    <w:rsid w:val="18F4275D"/>
    <w:rsid w:val="1903433C"/>
    <w:rsid w:val="19612540"/>
    <w:rsid w:val="1999167F"/>
    <w:rsid w:val="19CA3AA1"/>
    <w:rsid w:val="19DA713B"/>
    <w:rsid w:val="19FF3BEB"/>
    <w:rsid w:val="1A422058"/>
    <w:rsid w:val="1A5A4CB1"/>
    <w:rsid w:val="1AAE76C6"/>
    <w:rsid w:val="1AC9085C"/>
    <w:rsid w:val="1AE378B6"/>
    <w:rsid w:val="1B0238B5"/>
    <w:rsid w:val="1B4D2307"/>
    <w:rsid w:val="1B686D3D"/>
    <w:rsid w:val="1BA952AD"/>
    <w:rsid w:val="1C1008C3"/>
    <w:rsid w:val="1C8D1135"/>
    <w:rsid w:val="1D724EA5"/>
    <w:rsid w:val="1D7A04DA"/>
    <w:rsid w:val="1D870886"/>
    <w:rsid w:val="1DEF6D38"/>
    <w:rsid w:val="1E6F12E3"/>
    <w:rsid w:val="1E7068F8"/>
    <w:rsid w:val="1EA0762A"/>
    <w:rsid w:val="1ECE3F29"/>
    <w:rsid w:val="1ED80D28"/>
    <w:rsid w:val="1F4A16FF"/>
    <w:rsid w:val="1F63756E"/>
    <w:rsid w:val="1F784791"/>
    <w:rsid w:val="200109A0"/>
    <w:rsid w:val="219D540F"/>
    <w:rsid w:val="21CF7A3C"/>
    <w:rsid w:val="220B00ED"/>
    <w:rsid w:val="23252731"/>
    <w:rsid w:val="2352353D"/>
    <w:rsid w:val="23DB697B"/>
    <w:rsid w:val="24C164D0"/>
    <w:rsid w:val="252D25C5"/>
    <w:rsid w:val="2561500D"/>
    <w:rsid w:val="256C607A"/>
    <w:rsid w:val="258F42FB"/>
    <w:rsid w:val="25A4073D"/>
    <w:rsid w:val="25C2114A"/>
    <w:rsid w:val="27207C7D"/>
    <w:rsid w:val="27361390"/>
    <w:rsid w:val="278B3104"/>
    <w:rsid w:val="278F57AA"/>
    <w:rsid w:val="27B50573"/>
    <w:rsid w:val="27C0558F"/>
    <w:rsid w:val="27C80043"/>
    <w:rsid w:val="27E21209"/>
    <w:rsid w:val="28103C2C"/>
    <w:rsid w:val="28927870"/>
    <w:rsid w:val="28A05E60"/>
    <w:rsid w:val="290C429B"/>
    <w:rsid w:val="296F1961"/>
    <w:rsid w:val="299265A0"/>
    <w:rsid w:val="29B936CA"/>
    <w:rsid w:val="29F1345C"/>
    <w:rsid w:val="29F44136"/>
    <w:rsid w:val="29F77E6E"/>
    <w:rsid w:val="2A2223EB"/>
    <w:rsid w:val="2A8B6C8E"/>
    <w:rsid w:val="2AD67724"/>
    <w:rsid w:val="2BEC1873"/>
    <w:rsid w:val="2C3A2D05"/>
    <w:rsid w:val="2CA03D6D"/>
    <w:rsid w:val="2CD717AD"/>
    <w:rsid w:val="2D484189"/>
    <w:rsid w:val="2D7B2694"/>
    <w:rsid w:val="2E1B20C5"/>
    <w:rsid w:val="2E33028C"/>
    <w:rsid w:val="2E9C4408"/>
    <w:rsid w:val="2EE73796"/>
    <w:rsid w:val="2F353322"/>
    <w:rsid w:val="2F3A52DD"/>
    <w:rsid w:val="2F5832BB"/>
    <w:rsid w:val="2F861E3F"/>
    <w:rsid w:val="2FC12EBF"/>
    <w:rsid w:val="301F009B"/>
    <w:rsid w:val="30285B86"/>
    <w:rsid w:val="30594EF4"/>
    <w:rsid w:val="30B90A1D"/>
    <w:rsid w:val="30E9050E"/>
    <w:rsid w:val="316E0C53"/>
    <w:rsid w:val="317D57D2"/>
    <w:rsid w:val="32016C1E"/>
    <w:rsid w:val="320C6DF2"/>
    <w:rsid w:val="325121C4"/>
    <w:rsid w:val="32765BCF"/>
    <w:rsid w:val="32B024D2"/>
    <w:rsid w:val="330515D6"/>
    <w:rsid w:val="330E2003"/>
    <w:rsid w:val="333C66D1"/>
    <w:rsid w:val="33914AB7"/>
    <w:rsid w:val="33C76968"/>
    <w:rsid w:val="33E16125"/>
    <w:rsid w:val="34253A28"/>
    <w:rsid w:val="34293DC5"/>
    <w:rsid w:val="349D6DF7"/>
    <w:rsid w:val="34E226DB"/>
    <w:rsid w:val="351B2BFD"/>
    <w:rsid w:val="352503BF"/>
    <w:rsid w:val="35523316"/>
    <w:rsid w:val="35E80C93"/>
    <w:rsid w:val="36174F5C"/>
    <w:rsid w:val="36526E17"/>
    <w:rsid w:val="367E77E3"/>
    <w:rsid w:val="3689240D"/>
    <w:rsid w:val="36971FF3"/>
    <w:rsid w:val="36A315A7"/>
    <w:rsid w:val="37A9045A"/>
    <w:rsid w:val="37AF02A0"/>
    <w:rsid w:val="3824168A"/>
    <w:rsid w:val="386C585D"/>
    <w:rsid w:val="389F1FE4"/>
    <w:rsid w:val="38BD2F78"/>
    <w:rsid w:val="3918158C"/>
    <w:rsid w:val="392E1776"/>
    <w:rsid w:val="39653122"/>
    <w:rsid w:val="397E035E"/>
    <w:rsid w:val="39D70785"/>
    <w:rsid w:val="3A5F07EB"/>
    <w:rsid w:val="3A756968"/>
    <w:rsid w:val="3A781AFC"/>
    <w:rsid w:val="3A81669F"/>
    <w:rsid w:val="3AC72C47"/>
    <w:rsid w:val="3ACD30A5"/>
    <w:rsid w:val="3AF500C4"/>
    <w:rsid w:val="3B0F2CB7"/>
    <w:rsid w:val="3B4829F9"/>
    <w:rsid w:val="3B590943"/>
    <w:rsid w:val="3BFC5654"/>
    <w:rsid w:val="3C18009E"/>
    <w:rsid w:val="3C3029C2"/>
    <w:rsid w:val="3C494E53"/>
    <w:rsid w:val="3C5B0907"/>
    <w:rsid w:val="3D0065BE"/>
    <w:rsid w:val="3DB61DAB"/>
    <w:rsid w:val="3DE60464"/>
    <w:rsid w:val="3DE61E8D"/>
    <w:rsid w:val="3E1B0738"/>
    <w:rsid w:val="3E300D4F"/>
    <w:rsid w:val="3E564F8A"/>
    <w:rsid w:val="3EC74926"/>
    <w:rsid w:val="3F1A5259"/>
    <w:rsid w:val="3F743F51"/>
    <w:rsid w:val="3F907649"/>
    <w:rsid w:val="3FAA6179"/>
    <w:rsid w:val="3FCC43A0"/>
    <w:rsid w:val="401F03F5"/>
    <w:rsid w:val="40417A4E"/>
    <w:rsid w:val="405B2E8A"/>
    <w:rsid w:val="40B33576"/>
    <w:rsid w:val="40EE4393"/>
    <w:rsid w:val="410B15A5"/>
    <w:rsid w:val="41392BF3"/>
    <w:rsid w:val="41877CFA"/>
    <w:rsid w:val="41A41FA2"/>
    <w:rsid w:val="420653A8"/>
    <w:rsid w:val="428A0C36"/>
    <w:rsid w:val="42EE1592"/>
    <w:rsid w:val="431102BA"/>
    <w:rsid w:val="43DB43C1"/>
    <w:rsid w:val="44927AE2"/>
    <w:rsid w:val="44B2461B"/>
    <w:rsid w:val="44CE5B79"/>
    <w:rsid w:val="45527836"/>
    <w:rsid w:val="45CB395F"/>
    <w:rsid w:val="45DB6C4B"/>
    <w:rsid w:val="45E85D91"/>
    <w:rsid w:val="46E726B9"/>
    <w:rsid w:val="47406923"/>
    <w:rsid w:val="478069A4"/>
    <w:rsid w:val="480979F2"/>
    <w:rsid w:val="489B1F16"/>
    <w:rsid w:val="489F586F"/>
    <w:rsid w:val="492D514B"/>
    <w:rsid w:val="498B206A"/>
    <w:rsid w:val="499D0095"/>
    <w:rsid w:val="49E265EA"/>
    <w:rsid w:val="4A2F3641"/>
    <w:rsid w:val="4A7D232D"/>
    <w:rsid w:val="4AD4713C"/>
    <w:rsid w:val="4B177E99"/>
    <w:rsid w:val="4B4223F9"/>
    <w:rsid w:val="4C050FB8"/>
    <w:rsid w:val="4C887D24"/>
    <w:rsid w:val="4CAD196A"/>
    <w:rsid w:val="4CCE6E12"/>
    <w:rsid w:val="4D030E89"/>
    <w:rsid w:val="4D437944"/>
    <w:rsid w:val="4D582C64"/>
    <w:rsid w:val="4DFE3B4F"/>
    <w:rsid w:val="4E454F5B"/>
    <w:rsid w:val="4E4E2767"/>
    <w:rsid w:val="4E6D3ABC"/>
    <w:rsid w:val="4EA376BC"/>
    <w:rsid w:val="4ECB3917"/>
    <w:rsid w:val="4F3217ED"/>
    <w:rsid w:val="4F6E1E0F"/>
    <w:rsid w:val="4FDB4684"/>
    <w:rsid w:val="4FF45484"/>
    <w:rsid w:val="50437751"/>
    <w:rsid w:val="50830E72"/>
    <w:rsid w:val="5095199C"/>
    <w:rsid w:val="5112388B"/>
    <w:rsid w:val="517058A2"/>
    <w:rsid w:val="51EA3173"/>
    <w:rsid w:val="522210C0"/>
    <w:rsid w:val="52463F3D"/>
    <w:rsid w:val="526D52A1"/>
    <w:rsid w:val="52C31845"/>
    <w:rsid w:val="52FC2E8F"/>
    <w:rsid w:val="533B3AE3"/>
    <w:rsid w:val="53565B00"/>
    <w:rsid w:val="536C47C4"/>
    <w:rsid w:val="53762934"/>
    <w:rsid w:val="53D50DF4"/>
    <w:rsid w:val="548917D0"/>
    <w:rsid w:val="55623CD0"/>
    <w:rsid w:val="55811486"/>
    <w:rsid w:val="5595061F"/>
    <w:rsid w:val="55A23C0F"/>
    <w:rsid w:val="55B43AA3"/>
    <w:rsid w:val="55D377FB"/>
    <w:rsid w:val="569E03AA"/>
    <w:rsid w:val="56B01EC1"/>
    <w:rsid w:val="56E03EEB"/>
    <w:rsid w:val="56E7217A"/>
    <w:rsid w:val="571646ED"/>
    <w:rsid w:val="575C24FE"/>
    <w:rsid w:val="577A67D3"/>
    <w:rsid w:val="577F558D"/>
    <w:rsid w:val="57CB6FC8"/>
    <w:rsid w:val="57D00559"/>
    <w:rsid w:val="57D12608"/>
    <w:rsid w:val="580124E6"/>
    <w:rsid w:val="58343201"/>
    <w:rsid w:val="58794399"/>
    <w:rsid w:val="58D312EB"/>
    <w:rsid w:val="58DE40D7"/>
    <w:rsid w:val="59150669"/>
    <w:rsid w:val="594C59C4"/>
    <w:rsid w:val="599E391B"/>
    <w:rsid w:val="59AA6AD1"/>
    <w:rsid w:val="5A027866"/>
    <w:rsid w:val="5A2355CF"/>
    <w:rsid w:val="5AB63728"/>
    <w:rsid w:val="5AD328E8"/>
    <w:rsid w:val="5AE115CE"/>
    <w:rsid w:val="5B323B04"/>
    <w:rsid w:val="5B873EAB"/>
    <w:rsid w:val="5B923597"/>
    <w:rsid w:val="5B931D21"/>
    <w:rsid w:val="5BE67C21"/>
    <w:rsid w:val="5C011FF1"/>
    <w:rsid w:val="5C112AB6"/>
    <w:rsid w:val="5C415811"/>
    <w:rsid w:val="5C44777B"/>
    <w:rsid w:val="5C8C0AC4"/>
    <w:rsid w:val="5CF5484A"/>
    <w:rsid w:val="5D17614B"/>
    <w:rsid w:val="5E107FAC"/>
    <w:rsid w:val="5E4A09A8"/>
    <w:rsid w:val="5E572401"/>
    <w:rsid w:val="5E5A6EC8"/>
    <w:rsid w:val="5E63060D"/>
    <w:rsid w:val="5E7B4460"/>
    <w:rsid w:val="5E985A73"/>
    <w:rsid w:val="5F5607C5"/>
    <w:rsid w:val="5F9E3274"/>
    <w:rsid w:val="6057370E"/>
    <w:rsid w:val="60D558F7"/>
    <w:rsid w:val="60E020A5"/>
    <w:rsid w:val="60E53769"/>
    <w:rsid w:val="6106145D"/>
    <w:rsid w:val="6151607A"/>
    <w:rsid w:val="61D85759"/>
    <w:rsid w:val="624E113E"/>
    <w:rsid w:val="626B7F5B"/>
    <w:rsid w:val="63117EF3"/>
    <w:rsid w:val="63974FE5"/>
    <w:rsid w:val="63FA5F62"/>
    <w:rsid w:val="6442175E"/>
    <w:rsid w:val="64CA14E0"/>
    <w:rsid w:val="65152686"/>
    <w:rsid w:val="652F7FC3"/>
    <w:rsid w:val="659547FB"/>
    <w:rsid w:val="661033EF"/>
    <w:rsid w:val="662957FA"/>
    <w:rsid w:val="6683098F"/>
    <w:rsid w:val="66CF25F0"/>
    <w:rsid w:val="670C2CA6"/>
    <w:rsid w:val="671F2E24"/>
    <w:rsid w:val="6791551A"/>
    <w:rsid w:val="67BF5156"/>
    <w:rsid w:val="67F94E4E"/>
    <w:rsid w:val="6862350A"/>
    <w:rsid w:val="686A4823"/>
    <w:rsid w:val="688531FE"/>
    <w:rsid w:val="68C23D24"/>
    <w:rsid w:val="69021DCA"/>
    <w:rsid w:val="69293FBF"/>
    <w:rsid w:val="692A02A9"/>
    <w:rsid w:val="69323205"/>
    <w:rsid w:val="694A2BEA"/>
    <w:rsid w:val="695A1F8E"/>
    <w:rsid w:val="698336AD"/>
    <w:rsid w:val="69845BED"/>
    <w:rsid w:val="69B728B1"/>
    <w:rsid w:val="6B553D57"/>
    <w:rsid w:val="6BD1508E"/>
    <w:rsid w:val="6BE229ED"/>
    <w:rsid w:val="6BF008F0"/>
    <w:rsid w:val="6CC05CD8"/>
    <w:rsid w:val="6CC1772A"/>
    <w:rsid w:val="6D0F1A41"/>
    <w:rsid w:val="6D580C79"/>
    <w:rsid w:val="6DD31DF2"/>
    <w:rsid w:val="6E193380"/>
    <w:rsid w:val="6E2505F9"/>
    <w:rsid w:val="6E5732DF"/>
    <w:rsid w:val="6EEC7A15"/>
    <w:rsid w:val="6F145ABB"/>
    <w:rsid w:val="6F711314"/>
    <w:rsid w:val="70CD69DE"/>
    <w:rsid w:val="70EE34CA"/>
    <w:rsid w:val="710D7257"/>
    <w:rsid w:val="71853547"/>
    <w:rsid w:val="71BC0ED8"/>
    <w:rsid w:val="71F15FEC"/>
    <w:rsid w:val="722D7896"/>
    <w:rsid w:val="72BD3940"/>
    <w:rsid w:val="736A13B7"/>
    <w:rsid w:val="737B329A"/>
    <w:rsid w:val="73E440C0"/>
    <w:rsid w:val="74EC0B3E"/>
    <w:rsid w:val="74EE2272"/>
    <w:rsid w:val="75784746"/>
    <w:rsid w:val="75D30E43"/>
    <w:rsid w:val="7711438C"/>
    <w:rsid w:val="771B784C"/>
    <w:rsid w:val="773A7493"/>
    <w:rsid w:val="77E943F8"/>
    <w:rsid w:val="77F02D56"/>
    <w:rsid w:val="780F51B7"/>
    <w:rsid w:val="788B0EF1"/>
    <w:rsid w:val="79BA08CC"/>
    <w:rsid w:val="79C84F66"/>
    <w:rsid w:val="7A215C56"/>
    <w:rsid w:val="7A3625A0"/>
    <w:rsid w:val="7A3A63CF"/>
    <w:rsid w:val="7B8D3447"/>
    <w:rsid w:val="7B9A5905"/>
    <w:rsid w:val="7B9A623A"/>
    <w:rsid w:val="7C485450"/>
    <w:rsid w:val="7C642D22"/>
    <w:rsid w:val="7C8372F8"/>
    <w:rsid w:val="7CAC7E19"/>
    <w:rsid w:val="7CD7298F"/>
    <w:rsid w:val="7D274078"/>
    <w:rsid w:val="7D2A07A2"/>
    <w:rsid w:val="7DA80C5F"/>
    <w:rsid w:val="7DA816E0"/>
    <w:rsid w:val="7DAB47C6"/>
    <w:rsid w:val="7DC04B90"/>
    <w:rsid w:val="7E3C41EC"/>
    <w:rsid w:val="7E6F57D9"/>
    <w:rsid w:val="7EE01DC2"/>
    <w:rsid w:val="7EF450EB"/>
    <w:rsid w:val="7F961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3"/>
    <w:next w:val="1"/>
    <w:qFormat/>
    <w:uiPriority w:val="9"/>
    <w:pPr>
      <w:keepNext/>
      <w:keepLines/>
      <w:spacing w:before="260" w:after="260" w:line="416" w:lineRule="auto"/>
      <w:outlineLvl w:val="1"/>
    </w:pPr>
    <w:rPr>
      <w:rFonts w:ascii="Cambria" w:hAnsi="Cambria"/>
      <w:sz w:val="32"/>
      <w:szCs w:val="32"/>
    </w:rPr>
  </w:style>
  <w:style w:type="paragraph" w:styleId="5">
    <w:name w:val="heading 3"/>
    <w:basedOn w:val="1"/>
    <w:next w:val="6"/>
    <w:qFormat/>
    <w:uiPriority w:val="9"/>
    <w:pPr>
      <w:keepNext/>
      <w:keepLines/>
      <w:spacing w:before="260" w:after="260" w:line="416" w:lineRule="auto"/>
      <w:outlineLvl w:val="2"/>
    </w:pPr>
    <w:rPr>
      <w:rFonts w:ascii="Calibri" w:hAnsi="Calibri"/>
      <w:bCs/>
      <w:sz w:val="32"/>
      <w:szCs w:val="32"/>
    </w:rPr>
  </w:style>
  <w:style w:type="paragraph" w:styleId="7">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eastAsiaTheme="minorEastAsia" w:cstheme="minorBidi"/>
      <w:b/>
      <w:bCs/>
      <w:sz w:val="32"/>
      <w:szCs w:val="32"/>
    </w:rPr>
  </w:style>
  <w:style w:type="paragraph" w:styleId="6">
    <w:name w:val="Normal Indent"/>
    <w:basedOn w:val="1"/>
    <w:qFormat/>
    <w:uiPriority w:val="0"/>
    <w:pPr>
      <w:ind w:firstLine="420"/>
    </w:pPr>
    <w:rPr>
      <w:sz w:val="21"/>
      <w:szCs w:val="20"/>
    </w:rPr>
  </w:style>
  <w:style w:type="paragraph" w:styleId="8">
    <w:name w:val="annotation text"/>
    <w:basedOn w:val="1"/>
    <w:qFormat/>
    <w:uiPriority w:val="0"/>
    <w:pPr>
      <w:jc w:val="left"/>
    </w:pPr>
  </w:style>
  <w:style w:type="paragraph" w:styleId="9">
    <w:name w:val="Body Text"/>
    <w:basedOn w:val="1"/>
    <w:next w:val="1"/>
    <w:unhideWhenUsed/>
    <w:qFormat/>
    <w:uiPriority w:val="99"/>
    <w:rPr>
      <w:sz w:val="24"/>
    </w:rPr>
  </w:style>
  <w:style w:type="paragraph" w:styleId="10">
    <w:name w:val="Body Text Indent"/>
    <w:basedOn w:val="1"/>
    <w:next w:val="1"/>
    <w:qFormat/>
    <w:uiPriority w:val="0"/>
    <w:pPr>
      <w:spacing w:line="200" w:lineRule="atLeast"/>
      <w:ind w:firstLine="301"/>
    </w:pPr>
    <w:rPr>
      <w:rFonts w:ascii="宋体" w:hAnsi="Courier New"/>
      <w:spacing w:val="-4"/>
      <w:sz w:val="18"/>
      <w:szCs w:val="20"/>
    </w:rPr>
  </w:style>
  <w:style w:type="paragraph" w:styleId="11">
    <w:name w:val="Plain Text"/>
    <w:basedOn w:val="1"/>
    <w:qFormat/>
    <w:uiPriority w:val="0"/>
    <w:pPr>
      <w:spacing w:before="156" w:beforeLines="50" w:after="156" w:afterLines="50" w:line="400" w:lineRule="atLeast"/>
    </w:pPr>
    <w:rPr>
      <w:rFonts w:ascii="宋体" w:hAnsi="Courier New"/>
      <w:sz w:val="24"/>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qFormat/>
    <w:uiPriority w:val="0"/>
    <w:pPr>
      <w:tabs>
        <w:tab w:val="center" w:pos="4153"/>
        <w:tab w:val="right" w:pos="8306"/>
      </w:tabs>
      <w:snapToGrid w:val="0"/>
      <w:jc w:val="center"/>
    </w:pPr>
    <w:rPr>
      <w:sz w:val="18"/>
      <w:szCs w:val="18"/>
    </w:rPr>
  </w:style>
  <w:style w:type="paragraph" w:styleId="14">
    <w:name w:val="toc 1"/>
    <w:basedOn w:val="1"/>
    <w:next w:val="1"/>
    <w:qFormat/>
    <w:uiPriority w:val="39"/>
    <w:pPr>
      <w:tabs>
        <w:tab w:val="right" w:leader="dot" w:pos="8659"/>
      </w:tabs>
      <w:spacing w:before="0" w:beforeLines="0" w:after="0" w:afterLines="0" w:line="240" w:lineRule="auto"/>
      <w:jc w:val="center"/>
    </w:pPr>
    <w:rPr>
      <w:b/>
      <w:sz w:val="21"/>
    </w:rPr>
  </w:style>
  <w:style w:type="paragraph" w:styleId="15">
    <w:name w:val="List"/>
    <w:basedOn w:val="1"/>
    <w:qFormat/>
    <w:uiPriority w:val="0"/>
    <w:pPr>
      <w:ind w:left="200" w:hanging="200" w:hangingChars="200"/>
    </w:pPr>
  </w:style>
  <w:style w:type="paragraph" w:styleId="16">
    <w:name w:val="toc 6"/>
    <w:basedOn w:val="1"/>
    <w:next w:val="1"/>
    <w:unhideWhenUsed/>
    <w:qFormat/>
    <w:uiPriority w:val="39"/>
    <w:pPr>
      <w:ind w:left="1050"/>
      <w:jc w:val="left"/>
    </w:pPr>
    <w:rPr>
      <w:szCs w:val="21"/>
    </w:rPr>
  </w:style>
  <w:style w:type="paragraph" w:styleId="17">
    <w:name w:val="Normal (Web)"/>
    <w:basedOn w:val="1"/>
    <w:qFormat/>
    <w:uiPriority w:val="99"/>
    <w:pPr>
      <w:widowControl/>
      <w:spacing w:before="100" w:beforeAutospacing="1" w:after="100" w:afterAutospacing="1"/>
      <w:ind w:firstLine="420"/>
      <w:jc w:val="left"/>
    </w:pPr>
    <w:rPr>
      <w:rFonts w:ascii="宋体" w:hAnsi="宋体"/>
      <w:kern w:val="0"/>
      <w:sz w:val="20"/>
      <w:szCs w:val="20"/>
    </w:rPr>
  </w:style>
  <w:style w:type="paragraph" w:styleId="18">
    <w:name w:val="Body Text First Indent"/>
    <w:basedOn w:val="9"/>
    <w:next w:val="16"/>
    <w:unhideWhenUsed/>
    <w:qFormat/>
    <w:uiPriority w:val="99"/>
    <w:pPr>
      <w:adjustRightInd w:val="0"/>
      <w:spacing w:after="120" w:line="360" w:lineRule="auto"/>
      <w:ind w:firstLine="420"/>
      <w:textAlignment w:val="baseline"/>
    </w:pPr>
    <w:rPr>
      <w:rFonts w:ascii="Calibri" w:hAnsi="Calibri" w:eastAsia="楷体_GB2312"/>
    </w:rPr>
  </w:style>
  <w:style w:type="paragraph" w:styleId="19">
    <w:name w:val="Body Text First Indent 2"/>
    <w:basedOn w:val="10"/>
    <w:next w:val="20"/>
    <w:unhideWhenUsed/>
    <w:qFormat/>
    <w:uiPriority w:val="99"/>
    <w:pPr>
      <w:ind w:firstLine="420"/>
    </w:pPr>
  </w:style>
  <w:style w:type="paragraph" w:customStyle="1" w:styleId="20">
    <w:name w:val="xl53"/>
    <w:basedOn w:val="1"/>
    <w:next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
    <w:name w:val="正文段"/>
    <w:basedOn w:val="1"/>
    <w:qFormat/>
    <w:uiPriority w:val="0"/>
    <w:pPr>
      <w:widowControl/>
      <w:snapToGrid w:val="0"/>
      <w:spacing w:afterLines="50"/>
      <w:ind w:firstLine="200" w:firstLineChars="200"/>
    </w:pPr>
    <w:rPr>
      <w:kern w:val="0"/>
      <w:sz w:val="24"/>
      <w:szCs w:val="20"/>
    </w:rPr>
  </w:style>
  <w:style w:type="paragraph" w:customStyle="1" w:styleId="25">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26">
    <w:name w:val="正文2"/>
    <w:basedOn w:val="1"/>
    <w:qFormat/>
    <w:uiPriority w:val="0"/>
    <w:pPr>
      <w:spacing w:before="156" w:line="360" w:lineRule="auto"/>
      <w:ind w:firstLine="510" w:firstLineChars="200"/>
    </w:pPr>
    <w:rPr>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16592</Words>
  <Characters>17793</Characters>
  <Lines>1</Lines>
  <Paragraphs>1</Paragraphs>
  <TotalTime>18</TotalTime>
  <ScaleCrop>false</ScaleCrop>
  <LinksUpToDate>false</LinksUpToDate>
  <CharactersWithSpaces>18007</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2023-05-05T02:40:00Z</dcterms:created>
  <dc:creator>Administrator</dc:creator>
  <cp:lastModifiedBy>王汉</cp:lastModifiedBy>
  <dcterms:modified xsi:type="dcterms:W3CDTF">2025-10-28T01:50:43Z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65B103835A6B4828AC9B169257ABCB4F</vt:lpwstr>
  </property>
  <property fmtid="{D5CDD505-2E9C-101B-9397-08002B2CF9AE}" pid="4" name="KSOTemplateDocerSaveRecord">
    <vt:lpwstr>eyJoZGlkIjoiZmYwNTFkOWZlODJjNTljZjljYWFlYjdiMzk3YTdkY2UiLCJ1c2VySWQiOiIyNDE3MzkyMDkifQ==</vt:lpwstr>
  </property>
</Properties>
</file>