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D0A78">
      <w:pPr>
        <w:jc w:val="center"/>
        <w:rPr>
          <w:rFonts w:ascii="宋体" w:hAnsi="宋体"/>
          <w:b/>
        </w:rPr>
      </w:pPr>
      <w:r>
        <w:rPr>
          <w:rFonts w:hint="eastAsia" w:ascii="宋体" w:hAnsi="宋体"/>
          <w:b/>
          <w:bCs/>
          <w:color w:val="000000"/>
          <w:sz w:val="36"/>
          <w:szCs w:val="36"/>
        </w:rPr>
        <w:t>浙商银行惠州分行办公营业场所安保值守服务采购公开招标公告</w:t>
      </w:r>
    </w:p>
    <w:p w14:paraId="4267301F"/>
    <w:p w14:paraId="6717578A">
      <w:pPr>
        <w:pStyle w:val="13"/>
        <w:widowControl w:val="0"/>
        <w:snapToGrid/>
        <w:spacing w:afterLines="0" w:line="360" w:lineRule="auto"/>
        <w:ind w:firstLine="420"/>
        <w:rPr>
          <w:rFonts w:ascii="宋体" w:hAnsi="宋体" w:cs="宋体"/>
          <w:sz w:val="21"/>
          <w:szCs w:val="21"/>
        </w:rPr>
      </w:pPr>
      <w:r>
        <w:rPr>
          <w:rFonts w:hint="eastAsia" w:ascii="宋体" w:hAnsi="宋体" w:cs="宋体"/>
          <w:sz w:val="21"/>
          <w:szCs w:val="21"/>
        </w:rPr>
        <w:t>根据《中华人民共和国招标投标法》等有关法律规定，中信国际招标有限公司受浙商银行股份有限公司惠州分行的委托，就浙商银行惠州分行办公营业场所安保值守服务采购进行国内公开招标，欢迎有资格和服务能力的投标人前来投标。</w:t>
      </w:r>
    </w:p>
    <w:p w14:paraId="05863961">
      <w:pPr>
        <w:snapToGrid w:val="0"/>
        <w:spacing w:line="288" w:lineRule="auto"/>
        <w:ind w:left="-15" w:right="103" w:firstLine="447"/>
        <w:rPr>
          <w:rFonts w:ascii="宋体" w:hAnsi="宋体"/>
          <w:spacing w:val="-2"/>
          <w:sz w:val="24"/>
          <w:szCs w:val="20"/>
        </w:rPr>
      </w:pPr>
    </w:p>
    <w:p w14:paraId="0953F577">
      <w:pPr>
        <w:spacing w:line="360" w:lineRule="auto"/>
        <w:rPr>
          <w:rFonts w:ascii="宋体" w:hAnsi="宋体" w:cs="宋体"/>
          <w:b/>
          <w:szCs w:val="21"/>
        </w:rPr>
      </w:pPr>
      <w:r>
        <w:rPr>
          <w:rFonts w:hint="eastAsia" w:ascii="宋体" w:hAnsi="宋体" w:cs="宋体"/>
          <w:b/>
          <w:szCs w:val="21"/>
        </w:rPr>
        <w:t>一、</w:t>
      </w:r>
      <w:r>
        <w:rPr>
          <w:rFonts w:hint="eastAsia" w:ascii="宋体" w:hAnsi="宋体" w:cs="宋体"/>
          <w:b/>
          <w:bCs/>
          <w:szCs w:val="21"/>
        </w:rPr>
        <w:t>项目编号：</w:t>
      </w:r>
      <w:r>
        <w:rPr>
          <w:rFonts w:ascii="宋体" w:hAnsi="宋体" w:cs="宋体"/>
          <w:b/>
          <w:szCs w:val="21"/>
        </w:rPr>
        <w:t>0733-25202682/GZJC2025HQGKb008</w:t>
      </w:r>
    </w:p>
    <w:p w14:paraId="74FC84AF">
      <w:pPr>
        <w:spacing w:line="360" w:lineRule="auto"/>
        <w:rPr>
          <w:rFonts w:ascii="宋体" w:hAnsi="宋体" w:cs="宋体"/>
          <w:b/>
          <w:bCs/>
          <w:szCs w:val="21"/>
        </w:rPr>
      </w:pPr>
      <w:r>
        <w:rPr>
          <w:rFonts w:hint="eastAsia" w:ascii="宋体" w:hAnsi="宋体" w:cs="宋体"/>
          <w:b/>
          <w:szCs w:val="21"/>
        </w:rPr>
        <w:t>二、项目内容：</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977"/>
        <w:gridCol w:w="850"/>
        <w:gridCol w:w="896"/>
        <w:gridCol w:w="2982"/>
      </w:tblGrid>
      <w:tr w14:paraId="795A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6D20C1F1">
            <w:pPr>
              <w:spacing w:line="360" w:lineRule="auto"/>
              <w:jc w:val="center"/>
              <w:rPr>
                <w:rFonts w:ascii="宋体" w:hAnsi="宋体" w:cs="宋体"/>
                <w:b/>
                <w:bCs/>
                <w:sz w:val="21"/>
                <w:szCs w:val="21"/>
              </w:rPr>
            </w:pPr>
            <w:r>
              <w:rPr>
                <w:rFonts w:hint="eastAsia" w:ascii="宋体" w:hAnsi="宋体" w:cs="宋体"/>
                <w:b/>
                <w:bCs/>
                <w:sz w:val="21"/>
                <w:szCs w:val="21"/>
              </w:rPr>
              <w:t>序号</w:t>
            </w:r>
          </w:p>
        </w:tc>
        <w:tc>
          <w:tcPr>
            <w:tcW w:w="2977" w:type="dxa"/>
            <w:tcBorders>
              <w:top w:val="single" w:color="auto" w:sz="4" w:space="0"/>
              <w:left w:val="single" w:color="auto" w:sz="4" w:space="0"/>
              <w:bottom w:val="single" w:color="auto" w:sz="4" w:space="0"/>
              <w:right w:val="single" w:color="auto" w:sz="4" w:space="0"/>
            </w:tcBorders>
            <w:vAlign w:val="center"/>
          </w:tcPr>
          <w:p w14:paraId="1CBD2361">
            <w:pPr>
              <w:spacing w:line="360" w:lineRule="auto"/>
              <w:jc w:val="center"/>
              <w:rPr>
                <w:rFonts w:ascii="宋体" w:hAnsi="宋体" w:cs="宋体"/>
                <w:b/>
                <w:bCs/>
                <w:sz w:val="21"/>
                <w:szCs w:val="21"/>
              </w:rPr>
            </w:pPr>
            <w:r>
              <w:rPr>
                <w:rFonts w:hint="eastAsia" w:ascii="宋体" w:hAnsi="宋体" w:cs="宋体"/>
                <w:b/>
                <w:bCs/>
                <w:sz w:val="21"/>
                <w:szCs w:val="21"/>
              </w:rPr>
              <w:t>项目内容</w:t>
            </w:r>
          </w:p>
        </w:tc>
        <w:tc>
          <w:tcPr>
            <w:tcW w:w="850" w:type="dxa"/>
            <w:tcBorders>
              <w:top w:val="single" w:color="auto" w:sz="4" w:space="0"/>
              <w:left w:val="single" w:color="auto" w:sz="4" w:space="0"/>
              <w:bottom w:val="single" w:color="auto" w:sz="4" w:space="0"/>
              <w:right w:val="single" w:color="auto" w:sz="4" w:space="0"/>
            </w:tcBorders>
            <w:vAlign w:val="center"/>
          </w:tcPr>
          <w:p w14:paraId="1F02F836">
            <w:pPr>
              <w:spacing w:line="360" w:lineRule="auto"/>
              <w:jc w:val="center"/>
              <w:rPr>
                <w:rFonts w:ascii="宋体" w:hAnsi="宋体" w:cs="宋体"/>
                <w:b/>
                <w:bCs/>
                <w:sz w:val="21"/>
                <w:szCs w:val="21"/>
              </w:rPr>
            </w:pPr>
            <w:r>
              <w:rPr>
                <w:rFonts w:hint="eastAsia" w:ascii="宋体" w:hAnsi="宋体" w:cs="宋体"/>
                <w:b/>
                <w:bCs/>
                <w:sz w:val="21"/>
                <w:szCs w:val="21"/>
              </w:rPr>
              <w:t>数量</w:t>
            </w:r>
          </w:p>
        </w:tc>
        <w:tc>
          <w:tcPr>
            <w:tcW w:w="896" w:type="dxa"/>
            <w:tcBorders>
              <w:top w:val="single" w:color="auto" w:sz="4" w:space="0"/>
              <w:left w:val="single" w:color="auto" w:sz="4" w:space="0"/>
              <w:bottom w:val="single" w:color="auto" w:sz="4" w:space="0"/>
              <w:right w:val="single" w:color="auto" w:sz="4" w:space="0"/>
            </w:tcBorders>
            <w:vAlign w:val="center"/>
          </w:tcPr>
          <w:p w14:paraId="4FF8FD64">
            <w:pPr>
              <w:spacing w:line="360" w:lineRule="auto"/>
              <w:jc w:val="center"/>
              <w:rPr>
                <w:rFonts w:ascii="宋体" w:hAnsi="宋体" w:cs="宋体"/>
                <w:b/>
                <w:bCs/>
                <w:sz w:val="21"/>
                <w:szCs w:val="21"/>
              </w:rPr>
            </w:pPr>
            <w:r>
              <w:rPr>
                <w:rFonts w:hint="eastAsia" w:ascii="宋体" w:hAnsi="宋体" w:cs="宋体"/>
                <w:b/>
                <w:bCs/>
                <w:sz w:val="21"/>
                <w:szCs w:val="21"/>
              </w:rPr>
              <w:t>单位</w:t>
            </w:r>
          </w:p>
        </w:tc>
        <w:tc>
          <w:tcPr>
            <w:tcW w:w="2982" w:type="dxa"/>
            <w:tcBorders>
              <w:top w:val="single" w:color="auto" w:sz="4" w:space="0"/>
              <w:left w:val="single" w:color="auto" w:sz="4" w:space="0"/>
              <w:bottom w:val="single" w:color="auto" w:sz="4" w:space="0"/>
              <w:right w:val="single" w:color="auto" w:sz="4" w:space="0"/>
            </w:tcBorders>
            <w:vAlign w:val="center"/>
          </w:tcPr>
          <w:p w14:paraId="1E1DD400">
            <w:pPr>
              <w:spacing w:line="360" w:lineRule="auto"/>
              <w:jc w:val="center"/>
              <w:rPr>
                <w:rFonts w:ascii="宋体" w:hAnsi="宋体" w:cs="宋体"/>
                <w:b/>
                <w:bCs/>
                <w:sz w:val="21"/>
                <w:szCs w:val="21"/>
              </w:rPr>
            </w:pPr>
            <w:r>
              <w:rPr>
                <w:rFonts w:hint="eastAsia" w:ascii="宋体" w:hAnsi="宋体" w:cs="宋体"/>
                <w:b/>
                <w:bCs/>
                <w:sz w:val="21"/>
                <w:szCs w:val="21"/>
              </w:rPr>
              <w:t>合同期限</w:t>
            </w:r>
          </w:p>
        </w:tc>
      </w:tr>
      <w:tr w14:paraId="0285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7" w:type="dxa"/>
            <w:tcBorders>
              <w:top w:val="single" w:color="auto" w:sz="4" w:space="0"/>
              <w:left w:val="single" w:color="auto" w:sz="4" w:space="0"/>
              <w:right w:val="single" w:color="auto" w:sz="4" w:space="0"/>
            </w:tcBorders>
            <w:vAlign w:val="center"/>
          </w:tcPr>
          <w:p w14:paraId="29DE623E">
            <w:pPr>
              <w:spacing w:line="360" w:lineRule="auto"/>
              <w:jc w:val="center"/>
              <w:rPr>
                <w:rFonts w:ascii="宋体" w:hAnsi="宋体" w:cs="宋体"/>
                <w:bCs/>
                <w:sz w:val="21"/>
                <w:szCs w:val="21"/>
              </w:rPr>
            </w:pPr>
            <w:r>
              <w:rPr>
                <w:rFonts w:hint="eastAsia" w:ascii="宋体" w:hAnsi="宋体" w:cs="宋体"/>
                <w:bCs/>
                <w:sz w:val="21"/>
                <w:szCs w:val="21"/>
              </w:rPr>
              <w:t>1</w:t>
            </w:r>
          </w:p>
        </w:tc>
        <w:tc>
          <w:tcPr>
            <w:tcW w:w="2977" w:type="dxa"/>
            <w:tcBorders>
              <w:top w:val="single" w:color="auto" w:sz="4" w:space="0"/>
              <w:left w:val="single" w:color="auto" w:sz="4" w:space="0"/>
              <w:right w:val="single" w:color="auto" w:sz="4" w:space="0"/>
            </w:tcBorders>
            <w:vAlign w:val="center"/>
          </w:tcPr>
          <w:p w14:paraId="536BA7E2">
            <w:pPr>
              <w:spacing w:line="360" w:lineRule="auto"/>
              <w:rPr>
                <w:rFonts w:ascii="仿宋" w:hAnsi="仿宋" w:eastAsia="仿宋" w:cs="宋体"/>
                <w:sz w:val="21"/>
                <w:szCs w:val="21"/>
              </w:rPr>
            </w:pPr>
            <w:r>
              <w:rPr>
                <w:rFonts w:hint="eastAsia" w:ascii="宋体" w:hAnsi="宋体"/>
                <w:sz w:val="21"/>
                <w:szCs w:val="21"/>
              </w:rPr>
              <w:t>浙商银行惠州分行办公营业场所安保值守服务</w:t>
            </w:r>
          </w:p>
        </w:tc>
        <w:tc>
          <w:tcPr>
            <w:tcW w:w="850" w:type="dxa"/>
            <w:tcBorders>
              <w:top w:val="single" w:color="auto" w:sz="4" w:space="0"/>
              <w:left w:val="single" w:color="auto" w:sz="4" w:space="0"/>
              <w:right w:val="single" w:color="auto" w:sz="4" w:space="0"/>
            </w:tcBorders>
            <w:vAlign w:val="center"/>
          </w:tcPr>
          <w:p w14:paraId="64146E41">
            <w:pPr>
              <w:spacing w:line="360" w:lineRule="auto"/>
              <w:jc w:val="center"/>
              <w:rPr>
                <w:rFonts w:ascii="宋体" w:hAnsi="宋体"/>
                <w:sz w:val="21"/>
                <w:szCs w:val="21"/>
              </w:rPr>
            </w:pPr>
            <w:r>
              <w:rPr>
                <w:rFonts w:hint="eastAsia" w:ascii="宋体" w:hAnsi="宋体"/>
                <w:sz w:val="21"/>
                <w:szCs w:val="21"/>
              </w:rPr>
              <w:t>1</w:t>
            </w:r>
          </w:p>
        </w:tc>
        <w:tc>
          <w:tcPr>
            <w:tcW w:w="896" w:type="dxa"/>
            <w:tcBorders>
              <w:top w:val="single" w:color="auto" w:sz="4" w:space="0"/>
              <w:left w:val="single" w:color="auto" w:sz="4" w:space="0"/>
              <w:right w:val="single" w:color="auto" w:sz="4" w:space="0"/>
            </w:tcBorders>
            <w:vAlign w:val="center"/>
          </w:tcPr>
          <w:p w14:paraId="7ED695B1">
            <w:pPr>
              <w:spacing w:line="360" w:lineRule="auto"/>
              <w:jc w:val="center"/>
              <w:rPr>
                <w:rFonts w:ascii="宋体" w:hAnsi="宋体"/>
                <w:sz w:val="21"/>
                <w:szCs w:val="21"/>
              </w:rPr>
            </w:pPr>
            <w:r>
              <w:rPr>
                <w:rFonts w:hint="eastAsia" w:ascii="宋体" w:hAnsi="宋体"/>
                <w:sz w:val="21"/>
                <w:szCs w:val="21"/>
              </w:rPr>
              <w:t>项</w:t>
            </w:r>
          </w:p>
        </w:tc>
        <w:tc>
          <w:tcPr>
            <w:tcW w:w="2982" w:type="dxa"/>
            <w:tcBorders>
              <w:top w:val="single" w:color="auto" w:sz="4" w:space="0"/>
              <w:left w:val="single" w:color="auto" w:sz="4" w:space="0"/>
              <w:right w:val="single" w:color="auto" w:sz="4" w:space="0"/>
            </w:tcBorders>
            <w:vAlign w:val="center"/>
          </w:tcPr>
          <w:p w14:paraId="09399E97">
            <w:pPr>
              <w:spacing w:line="360" w:lineRule="auto"/>
              <w:rPr>
                <w:rFonts w:ascii="宋体" w:hAnsi="宋体"/>
                <w:sz w:val="21"/>
                <w:szCs w:val="21"/>
              </w:rPr>
            </w:pPr>
            <w:r>
              <w:rPr>
                <w:rFonts w:hint="eastAsia" w:ascii="宋体" w:hAnsi="宋体"/>
                <w:sz w:val="21"/>
                <w:szCs w:val="21"/>
              </w:rPr>
              <w:t>2年，自2025年7月至2027年7月（此日期区间为预计，具体以实际签订的合同为准）。</w:t>
            </w:r>
          </w:p>
        </w:tc>
      </w:tr>
    </w:tbl>
    <w:p w14:paraId="11509DBC">
      <w:pPr>
        <w:spacing w:line="360" w:lineRule="auto"/>
        <w:rPr>
          <w:rFonts w:ascii="宋体" w:hAnsi="宋体" w:cs="宋体"/>
          <w:szCs w:val="21"/>
        </w:rPr>
      </w:pPr>
      <w:r>
        <w:rPr>
          <w:rFonts w:hint="eastAsia" w:ascii="宋体" w:hAnsi="宋体" w:cs="宋体"/>
          <w:szCs w:val="21"/>
        </w:rPr>
        <w:t>三、</w:t>
      </w:r>
      <w:r>
        <w:rPr>
          <w:rFonts w:hint="eastAsia" w:ascii="宋体" w:hAnsi="宋体" w:cs="宋体"/>
          <w:b/>
          <w:szCs w:val="21"/>
        </w:rPr>
        <w:t>采购方式：公开招标</w:t>
      </w:r>
    </w:p>
    <w:p w14:paraId="5CBFDCEF">
      <w:pPr>
        <w:spacing w:before="156" w:beforeLines="50" w:line="360" w:lineRule="auto"/>
        <w:contextualSpacing/>
        <w:rPr>
          <w:rFonts w:ascii="宋体" w:hAnsi="宋体" w:cs="宋体"/>
          <w:b/>
          <w:bCs/>
          <w:szCs w:val="21"/>
        </w:rPr>
      </w:pPr>
      <w:r>
        <w:rPr>
          <w:rFonts w:hint="eastAsia" w:ascii="宋体" w:hAnsi="宋体" w:cs="宋体"/>
          <w:b/>
          <w:szCs w:val="21"/>
        </w:rPr>
        <w:t>四</w:t>
      </w:r>
      <w:r>
        <w:rPr>
          <w:rFonts w:hint="eastAsia" w:ascii="宋体" w:hAnsi="宋体" w:cs="宋体"/>
          <w:szCs w:val="21"/>
        </w:rPr>
        <w:t>、</w:t>
      </w:r>
      <w:r>
        <w:rPr>
          <w:rFonts w:hint="eastAsia" w:ascii="宋体" w:hAnsi="宋体" w:cs="宋体"/>
          <w:b/>
          <w:bCs/>
          <w:szCs w:val="21"/>
        </w:rPr>
        <w:t>投标人的资格条件</w:t>
      </w:r>
    </w:p>
    <w:p w14:paraId="04DD9686">
      <w:pPr>
        <w:spacing w:line="360" w:lineRule="auto"/>
        <w:ind w:firstLine="420" w:firstLineChars="200"/>
        <w:rPr>
          <w:rFonts w:ascii="宋体" w:hAnsi="宋体"/>
          <w:bCs/>
        </w:rPr>
      </w:pPr>
      <w:r>
        <w:rPr>
          <w:rFonts w:hint="eastAsia" w:ascii="宋体" w:hAnsi="宋体"/>
          <w:bCs/>
        </w:rPr>
        <w:t>（1）投标人在中华人民共和国境内注册、具有独立承担民事责任能力（需提供合法有效的营业执照复印件并加盖投标人单位公章，若为法人的分支机构，须提供经由法人授权的授权书）；</w:t>
      </w:r>
    </w:p>
    <w:p w14:paraId="43E43E70">
      <w:pPr>
        <w:spacing w:line="360" w:lineRule="auto"/>
        <w:ind w:firstLine="420" w:firstLineChars="200"/>
        <w:rPr>
          <w:rFonts w:ascii="宋体" w:hAnsi="宋体"/>
          <w:bCs/>
        </w:rPr>
      </w:pPr>
      <w:r>
        <w:rPr>
          <w:rFonts w:hint="eastAsia" w:ascii="宋体" w:hAnsi="宋体"/>
          <w:bCs/>
        </w:rPr>
        <w:t>（2）投标人①投标人未被“中国执行信息公开网”（https://zxgk.court.gov.cn/shixin/）列入失信被执行人；②未被“信用中国”（https://www.creditchina.gov.cn）列入重大税收违法失信主体；③未被“中国政府采购网”（https://www.ccgp.gov.cn）列入政府采购严重违法失信行为记录名单；④未被“国家企业信用信息公示系统”（https://www.gsxt.gov.cn/index.html）列入严重违法失信企业名单（须提供上述网站的查询截图，查询日期不得早于招标公告发布日期）；</w:t>
      </w:r>
    </w:p>
    <w:p w14:paraId="263C2B87">
      <w:pPr>
        <w:spacing w:line="360" w:lineRule="auto"/>
        <w:ind w:firstLine="420" w:firstLineChars="200"/>
        <w:rPr>
          <w:rFonts w:ascii="宋体" w:hAnsi="宋体"/>
          <w:bCs/>
        </w:rPr>
      </w:pPr>
      <w:r>
        <w:rPr>
          <w:rFonts w:hint="eastAsia" w:ascii="宋体" w:hAnsi="宋体"/>
          <w:bCs/>
        </w:rPr>
        <w:t>（3）参加招标活动前三年内（2022年6月至今，新成立不满三年的公司自成立之日起算）在经营活动中没有重大违法记录（提供《投标人资格承诺函》并加盖投标人单位公章）；</w:t>
      </w:r>
    </w:p>
    <w:p w14:paraId="6D5E8F8A">
      <w:pPr>
        <w:spacing w:line="360" w:lineRule="auto"/>
        <w:ind w:firstLine="420" w:firstLineChars="200"/>
        <w:rPr>
          <w:rFonts w:ascii="宋体" w:hAnsi="宋体"/>
          <w:bCs/>
        </w:rPr>
      </w:pPr>
      <w:r>
        <w:rPr>
          <w:rFonts w:hint="eastAsia" w:ascii="宋体" w:hAnsi="宋体"/>
          <w:bCs/>
        </w:rPr>
        <w:t>（4）单位负责人为同一人或者存在控股、管理关系的不同单位，不得同时参加本项目投标（投标人提交投标文件时须提供《投标人控股及管理关系情况申报表》）；</w:t>
      </w:r>
    </w:p>
    <w:p w14:paraId="5FB5957F">
      <w:pPr>
        <w:spacing w:line="360" w:lineRule="auto"/>
        <w:ind w:firstLine="420" w:firstLineChars="200"/>
        <w:rPr>
          <w:rFonts w:ascii="宋体" w:hAnsi="宋体"/>
          <w:bCs/>
        </w:rPr>
      </w:pPr>
      <w:r>
        <w:rPr>
          <w:rFonts w:hint="eastAsia" w:ascii="宋体" w:hAnsi="宋体"/>
          <w:bCs/>
        </w:rPr>
        <w:t>（5）投标人必须具备公安机关颁发的有效的《保安服务许可证》或《保安服务备案证明》（提供证书复印件并加盖投标人单位公章）。</w:t>
      </w:r>
    </w:p>
    <w:p w14:paraId="67C10B2D">
      <w:pPr>
        <w:spacing w:line="360" w:lineRule="auto"/>
        <w:ind w:firstLine="420" w:firstLineChars="200"/>
        <w:rPr>
          <w:rFonts w:ascii="宋体" w:hAnsi="宋体"/>
          <w:bCs/>
        </w:rPr>
      </w:pPr>
      <w:r>
        <w:rPr>
          <w:rFonts w:hint="eastAsia" w:ascii="宋体" w:hAnsi="宋体"/>
          <w:bCs/>
        </w:rPr>
        <w:t>（6）本项目不允许联合体投标，不允许转包、分包。（提供无联合体投标，无转包、分包等违规行为的承诺函并加盖投标人单位公章）</w:t>
      </w:r>
    </w:p>
    <w:p w14:paraId="73D6A5DF">
      <w:pPr>
        <w:spacing w:line="288" w:lineRule="auto"/>
        <w:rPr>
          <w:rFonts w:ascii="宋体" w:hAnsi="宋体"/>
          <w:b/>
        </w:rPr>
      </w:pPr>
      <w:r>
        <w:rPr>
          <w:rFonts w:hint="eastAsia" w:ascii="宋体" w:hAnsi="宋体"/>
          <w:b/>
        </w:rPr>
        <w:t>五、获取（下载）招标文件</w:t>
      </w:r>
    </w:p>
    <w:p w14:paraId="0CA644C4">
      <w:pPr>
        <w:spacing w:line="360" w:lineRule="auto"/>
        <w:ind w:firstLine="420" w:firstLineChars="200"/>
        <w:rPr>
          <w:rFonts w:ascii="宋体" w:hAnsi="宋体" w:cs="宋体"/>
          <w:szCs w:val="21"/>
        </w:rPr>
      </w:pPr>
      <w:r>
        <w:rPr>
          <w:rFonts w:hint="eastAsia" w:ascii="宋体" w:hAnsi="宋体" w:cs="宋体"/>
          <w:szCs w:val="21"/>
        </w:rPr>
        <w:t>1.时间：</w:t>
      </w:r>
      <w:r>
        <w:rPr>
          <w:rFonts w:hint="eastAsia" w:ascii="宋体" w:hAnsi="宋体" w:cs="宋体"/>
          <w:szCs w:val="21"/>
          <w:highlight w:val="none"/>
        </w:rPr>
        <w:t>2025年7月23日至2025年7月30日</w:t>
      </w:r>
      <w:r>
        <w:rPr>
          <w:rFonts w:hint="eastAsia" w:ascii="宋体" w:hAnsi="宋体" w:cs="宋体"/>
          <w:szCs w:val="21"/>
        </w:rPr>
        <w:t>，每天上午09:00至12:00，下午14:00至17:00（北京时间，法定节假日除外)</w:t>
      </w:r>
    </w:p>
    <w:p w14:paraId="61A8C448">
      <w:pPr>
        <w:spacing w:line="360" w:lineRule="auto"/>
        <w:ind w:firstLine="420" w:firstLineChars="200"/>
        <w:jc w:val="left"/>
        <w:rPr>
          <w:rFonts w:ascii="宋体" w:hAnsi="宋体" w:cs="宋体"/>
          <w:kern w:val="0"/>
          <w:szCs w:val="21"/>
          <w:shd w:val="clear" w:color="auto" w:fill="FFFFFF"/>
          <w:lang w:bidi="ar"/>
        </w:rPr>
      </w:pPr>
      <w:r>
        <w:rPr>
          <w:rFonts w:hint="eastAsia" w:ascii="宋体" w:hAnsi="宋体" w:cs="宋体"/>
          <w:szCs w:val="21"/>
        </w:rPr>
        <w:t>2.地点（网址）：</w:t>
      </w:r>
      <w:r>
        <w:rPr>
          <w:rFonts w:hint="eastAsia" w:ascii="宋体" w:hAnsi="宋体" w:cs="宋体"/>
          <w:kern w:val="0"/>
          <w:szCs w:val="21"/>
          <w:shd w:val="clear" w:color="auto" w:fill="FFFFFF"/>
          <w:lang w:bidi="ar"/>
        </w:rPr>
        <w:t>邮箱报名</w:t>
      </w:r>
    </w:p>
    <w:p w14:paraId="227ED706">
      <w:pPr>
        <w:spacing w:line="360" w:lineRule="auto"/>
        <w:ind w:firstLine="420" w:firstLineChars="200"/>
        <w:jc w:val="left"/>
        <w:rPr>
          <w:rFonts w:ascii="宋体" w:hAnsi="宋体" w:cs="宋体"/>
          <w:szCs w:val="21"/>
        </w:rPr>
      </w:pPr>
      <w:r>
        <w:rPr>
          <w:rFonts w:hint="eastAsia" w:ascii="宋体" w:hAnsi="宋体" w:cs="宋体"/>
          <w:szCs w:val="21"/>
        </w:rPr>
        <w:t>3.方式：</w:t>
      </w:r>
      <w:r>
        <w:rPr>
          <w:rFonts w:hint="eastAsia" w:ascii="宋体" w:hAnsi="宋体" w:cs="宋体"/>
          <w:kern w:val="0"/>
          <w:szCs w:val="21"/>
          <w:shd w:val="clear" w:color="auto" w:fill="FFFFFF"/>
          <w:lang w:bidi="ar"/>
        </w:rPr>
        <w:t>凡有意参加投标者，请于招标文件发售时间内，按招标公告附件准备报名资料并发送至招标代理机构接收报名资料指定邮箱：997834067@qq.com(报名邮件格式要求见招标公告附件一)，招标代理机构将安排专员处理报名资料，如资料齐全，该专员将邮件反馈报名状态并发送招标文件；若潜在投标人在购买招标文件时未按规定提供上述有效证件和材料，招标代理机构有权拒绝向其出售招标文件。</w:t>
      </w:r>
    </w:p>
    <w:p w14:paraId="770BC4FD">
      <w:pPr>
        <w:spacing w:line="360" w:lineRule="auto"/>
        <w:ind w:firstLine="420" w:firstLineChars="200"/>
        <w:rPr>
          <w:rFonts w:ascii="宋体" w:hAnsi="宋体" w:cs="宋体"/>
          <w:szCs w:val="21"/>
        </w:rPr>
      </w:pPr>
      <w:r>
        <w:rPr>
          <w:rFonts w:hint="eastAsia" w:ascii="宋体" w:hAnsi="宋体" w:cs="宋体"/>
          <w:szCs w:val="21"/>
        </w:rPr>
        <w:t>4.售价：人民币200元，若邮购纸质标书，邮费自理(到付)；招标文件售后不退。</w:t>
      </w:r>
    </w:p>
    <w:p w14:paraId="19910683">
      <w:pPr>
        <w:spacing w:line="360" w:lineRule="auto"/>
        <w:ind w:firstLine="420" w:firstLineChars="200"/>
        <w:rPr>
          <w:rFonts w:ascii="宋体" w:hAnsi="宋体" w:cs="宋体"/>
          <w:szCs w:val="21"/>
        </w:rPr>
      </w:pPr>
      <w:r>
        <w:rPr>
          <w:rFonts w:hint="eastAsia" w:ascii="宋体" w:hAnsi="宋体" w:cs="宋体"/>
          <w:szCs w:val="21"/>
        </w:rPr>
        <w:t>汇款信息如下：</w:t>
      </w:r>
    </w:p>
    <w:p w14:paraId="6BB398F1">
      <w:pPr>
        <w:spacing w:line="360" w:lineRule="auto"/>
        <w:ind w:firstLine="420" w:firstLineChars="200"/>
        <w:rPr>
          <w:rFonts w:ascii="宋体" w:hAnsi="宋体" w:cs="宋体"/>
          <w:szCs w:val="21"/>
        </w:rPr>
      </w:pPr>
      <w:r>
        <w:rPr>
          <w:rFonts w:hint="eastAsia" w:ascii="宋体" w:hAnsi="宋体" w:cs="宋体"/>
          <w:szCs w:val="21"/>
        </w:rPr>
        <w:t>开户名</w:t>
      </w:r>
      <w:r>
        <w:rPr>
          <w:rFonts w:ascii="宋体" w:hAnsi="宋体" w:cs="宋体"/>
          <w:szCs w:val="21"/>
        </w:rPr>
        <w:t>：中信国际招标有限公司</w:t>
      </w:r>
    </w:p>
    <w:p w14:paraId="63FF4F15">
      <w:pPr>
        <w:spacing w:line="360" w:lineRule="auto"/>
        <w:ind w:firstLine="420" w:firstLineChars="200"/>
        <w:rPr>
          <w:rFonts w:ascii="宋体" w:hAnsi="宋体" w:cs="宋体"/>
          <w:szCs w:val="21"/>
        </w:rPr>
      </w:pPr>
      <w:r>
        <w:rPr>
          <w:rFonts w:ascii="宋体" w:hAnsi="宋体" w:cs="宋体"/>
          <w:szCs w:val="21"/>
        </w:rPr>
        <w:t>开户</w:t>
      </w:r>
      <w:r>
        <w:rPr>
          <w:rFonts w:hint="eastAsia" w:ascii="宋体" w:hAnsi="宋体" w:cs="宋体"/>
          <w:szCs w:val="21"/>
        </w:rPr>
        <w:t>银行</w:t>
      </w:r>
      <w:r>
        <w:rPr>
          <w:rFonts w:ascii="宋体" w:hAnsi="宋体" w:cs="宋体"/>
          <w:szCs w:val="21"/>
        </w:rPr>
        <w:t>：中信银行北京京城大厦支行</w:t>
      </w:r>
    </w:p>
    <w:p w14:paraId="5489CA72">
      <w:pPr>
        <w:spacing w:line="360" w:lineRule="auto"/>
        <w:ind w:firstLine="420" w:firstLineChars="200"/>
        <w:rPr>
          <w:rFonts w:ascii="宋体" w:hAnsi="宋体" w:cs="宋体"/>
          <w:szCs w:val="21"/>
        </w:rPr>
      </w:pPr>
      <w:r>
        <w:rPr>
          <w:rFonts w:hint="eastAsia" w:ascii="宋体" w:hAnsi="宋体" w:cs="宋体"/>
          <w:szCs w:val="21"/>
        </w:rPr>
        <w:t>银行</w:t>
      </w:r>
      <w:r>
        <w:rPr>
          <w:rFonts w:ascii="宋体" w:hAnsi="宋体" w:cs="宋体"/>
          <w:szCs w:val="21"/>
        </w:rPr>
        <w:t>账号</w:t>
      </w:r>
      <w:r>
        <w:rPr>
          <w:rFonts w:hint="eastAsia" w:ascii="宋体" w:hAnsi="宋体" w:cs="宋体"/>
          <w:szCs w:val="21"/>
        </w:rPr>
        <w:t>：</w:t>
      </w:r>
      <w:r>
        <w:rPr>
          <w:rFonts w:ascii="宋体" w:hAnsi="宋体" w:cs="宋体"/>
          <w:szCs w:val="21"/>
        </w:rPr>
        <w:t>7110210182600030709</w:t>
      </w:r>
    </w:p>
    <w:p w14:paraId="45284DE2">
      <w:pPr>
        <w:spacing w:line="360" w:lineRule="auto"/>
        <w:ind w:firstLine="420" w:firstLineChars="200"/>
        <w:rPr>
          <w:rFonts w:ascii="宋体" w:hAnsi="宋体" w:cs="宋体"/>
          <w:szCs w:val="21"/>
        </w:rPr>
      </w:pPr>
      <w:r>
        <w:rPr>
          <w:rFonts w:hint="eastAsia" w:ascii="宋体" w:hAnsi="宋体" w:cs="宋体"/>
          <w:szCs w:val="21"/>
        </w:rPr>
        <w:t>5.未按上述方式获取招标文件的，其投标均视为无效，并不得对招标文件提起异议。</w:t>
      </w:r>
    </w:p>
    <w:p w14:paraId="3640A21B">
      <w:pPr>
        <w:spacing w:line="288" w:lineRule="auto"/>
        <w:ind w:right="-4" w:rightChars="-2"/>
        <w:jc w:val="left"/>
        <w:rPr>
          <w:rFonts w:ascii="宋体" w:hAnsi="宋体"/>
          <w:b/>
          <w:szCs w:val="21"/>
        </w:rPr>
      </w:pPr>
      <w:r>
        <w:rPr>
          <w:rFonts w:hint="eastAsia" w:ascii="宋体" w:hAnsi="宋体"/>
          <w:b/>
          <w:szCs w:val="21"/>
        </w:rPr>
        <w:t>六、</w:t>
      </w:r>
      <w:r>
        <w:rPr>
          <w:rFonts w:hint="eastAsia" w:ascii="宋体" w:hAnsi="宋体" w:cs="宋体"/>
          <w:b/>
          <w:kern w:val="0"/>
          <w:szCs w:val="21"/>
          <w:shd w:val="clear" w:color="auto" w:fill="FFFFFF"/>
          <w:lang w:bidi="ar"/>
        </w:rPr>
        <w:t>提交投标文件截止时间/开标时间、开标地点：</w:t>
      </w:r>
    </w:p>
    <w:p w14:paraId="6897B8D4">
      <w:pPr>
        <w:spacing w:line="360" w:lineRule="auto"/>
        <w:ind w:firstLine="420" w:firstLineChars="200"/>
        <w:rPr>
          <w:rFonts w:ascii="宋体" w:hAnsi="宋体" w:cs="宋体"/>
          <w:szCs w:val="21"/>
        </w:rPr>
      </w:pPr>
      <w:r>
        <w:rPr>
          <w:rFonts w:hint="eastAsia" w:ascii="宋体" w:hAnsi="宋体" w:cs="宋体"/>
          <w:szCs w:val="21"/>
        </w:rPr>
        <w:t>1.时间：</w:t>
      </w:r>
      <w:r>
        <w:rPr>
          <w:rFonts w:hint="eastAsia" w:ascii="宋体" w:hAnsi="宋体" w:cs="宋体"/>
          <w:szCs w:val="21"/>
          <w:highlight w:val="none"/>
        </w:rPr>
        <w:t>2025年8月8日</w:t>
      </w:r>
      <w:r>
        <w:rPr>
          <w:rFonts w:hint="eastAsia" w:ascii="宋体" w:hAnsi="宋体" w:cs="宋体"/>
          <w:szCs w:val="21"/>
        </w:rPr>
        <w:t>上午09:30（代理机构提前30分钟收取投标文件，逾期提交或不符合本招标文件相关规定的投标文件恕不接受)</w:t>
      </w:r>
    </w:p>
    <w:p w14:paraId="1F9A80BF">
      <w:pPr>
        <w:spacing w:line="360" w:lineRule="auto"/>
        <w:ind w:firstLine="420" w:firstLineChars="200"/>
        <w:jc w:val="left"/>
        <w:rPr>
          <w:rFonts w:ascii="宋体" w:hAnsi="宋体" w:cs="宋体"/>
          <w:kern w:val="0"/>
          <w:szCs w:val="21"/>
          <w:shd w:val="clear" w:color="auto" w:fill="FFFFFF"/>
          <w:lang w:bidi="ar"/>
        </w:rPr>
      </w:pPr>
      <w:r>
        <w:rPr>
          <w:rFonts w:hint="eastAsia" w:ascii="宋体" w:hAnsi="宋体" w:cs="宋体"/>
          <w:szCs w:val="21"/>
        </w:rPr>
        <w:t>2.地点：广东省广州市越秀区东风东路745号东山紫园商务大厦2003会议室</w:t>
      </w:r>
    </w:p>
    <w:p w14:paraId="0549F02A">
      <w:pPr>
        <w:pStyle w:val="14"/>
        <w:spacing w:line="360" w:lineRule="auto"/>
        <w:rPr>
          <w:rFonts w:ascii="宋体" w:hAnsi="宋体"/>
          <w:szCs w:val="21"/>
        </w:rPr>
      </w:pPr>
      <w:r>
        <w:rPr>
          <w:rFonts w:hint="eastAsia" w:ascii="宋体" w:hAnsi="宋体" w:eastAsia="宋体" w:cs="宋体"/>
          <w:b/>
          <w:bCs/>
          <w:sz w:val="21"/>
          <w:szCs w:val="21"/>
        </w:rPr>
        <w:t>七、投标保证金：</w:t>
      </w:r>
      <w:r>
        <w:rPr>
          <w:rFonts w:ascii="宋体" w:hAnsi="宋体"/>
          <w:szCs w:val="21"/>
        </w:rPr>
        <w:t xml:space="preserve"> </w:t>
      </w:r>
    </w:p>
    <w:p w14:paraId="008F2765">
      <w:pPr>
        <w:spacing w:line="360" w:lineRule="auto"/>
        <w:ind w:firstLine="420" w:firstLineChars="200"/>
        <w:rPr>
          <w:rFonts w:ascii="宋体" w:hAnsi="宋体" w:cs="宋体"/>
          <w:szCs w:val="21"/>
        </w:rPr>
      </w:pPr>
      <w:r>
        <w:rPr>
          <w:rFonts w:hint="eastAsia" w:ascii="宋体" w:hAnsi="宋体" w:cs="宋体"/>
          <w:szCs w:val="21"/>
        </w:rPr>
        <w:t>1.金额：人民币10,000.00元</w:t>
      </w:r>
    </w:p>
    <w:p w14:paraId="0EE700A5">
      <w:pPr>
        <w:spacing w:line="360" w:lineRule="auto"/>
        <w:ind w:firstLine="420" w:firstLineChars="200"/>
        <w:rPr>
          <w:rFonts w:ascii="宋体" w:hAnsi="宋体" w:cs="宋体"/>
          <w:szCs w:val="21"/>
        </w:rPr>
      </w:pPr>
      <w:r>
        <w:rPr>
          <w:rFonts w:hint="eastAsia" w:ascii="宋体" w:hAnsi="宋体" w:cs="宋体"/>
          <w:szCs w:val="21"/>
        </w:rPr>
        <w:t>2.投标人应于投标截止时间前将投标保证金以银行转账形式交至以下账户：</w:t>
      </w:r>
    </w:p>
    <w:p w14:paraId="4F108133">
      <w:pPr>
        <w:spacing w:line="360" w:lineRule="auto"/>
        <w:ind w:firstLine="420" w:firstLineChars="200"/>
        <w:rPr>
          <w:rFonts w:ascii="宋体" w:hAnsi="宋体" w:cs="宋体"/>
          <w:szCs w:val="21"/>
        </w:rPr>
      </w:pPr>
      <w:r>
        <w:rPr>
          <w:rFonts w:hint="eastAsia" w:ascii="宋体" w:hAnsi="宋体" w:cs="宋体"/>
          <w:szCs w:val="21"/>
        </w:rPr>
        <w:t>开户名</w:t>
      </w:r>
      <w:r>
        <w:rPr>
          <w:rFonts w:ascii="宋体" w:hAnsi="宋体" w:cs="宋体"/>
          <w:szCs w:val="21"/>
        </w:rPr>
        <w:t>：中信国际招标有限公司</w:t>
      </w:r>
    </w:p>
    <w:p w14:paraId="47395CE7">
      <w:pPr>
        <w:spacing w:line="360" w:lineRule="auto"/>
        <w:ind w:firstLine="420" w:firstLineChars="200"/>
        <w:rPr>
          <w:rFonts w:ascii="宋体" w:hAnsi="宋体" w:cs="宋体"/>
          <w:szCs w:val="21"/>
        </w:rPr>
      </w:pPr>
      <w:r>
        <w:rPr>
          <w:rFonts w:ascii="宋体" w:hAnsi="宋体" w:cs="宋体"/>
          <w:szCs w:val="21"/>
        </w:rPr>
        <w:t>开户</w:t>
      </w:r>
      <w:r>
        <w:rPr>
          <w:rFonts w:hint="eastAsia" w:ascii="宋体" w:hAnsi="宋体" w:cs="宋体"/>
          <w:szCs w:val="21"/>
        </w:rPr>
        <w:t>银行</w:t>
      </w:r>
      <w:r>
        <w:rPr>
          <w:rFonts w:ascii="宋体" w:hAnsi="宋体" w:cs="宋体"/>
          <w:szCs w:val="21"/>
        </w:rPr>
        <w:t>：中信银行北京京城大厦支行</w:t>
      </w:r>
    </w:p>
    <w:p w14:paraId="7EADE421">
      <w:pPr>
        <w:spacing w:line="360" w:lineRule="auto"/>
        <w:ind w:firstLine="420" w:firstLineChars="200"/>
        <w:rPr>
          <w:rFonts w:ascii="宋体" w:hAnsi="宋体" w:cs="宋体"/>
          <w:szCs w:val="21"/>
        </w:rPr>
      </w:pPr>
      <w:r>
        <w:rPr>
          <w:rFonts w:hint="eastAsia" w:ascii="宋体" w:hAnsi="宋体" w:cs="宋体"/>
          <w:szCs w:val="21"/>
        </w:rPr>
        <w:t>银行</w:t>
      </w:r>
      <w:r>
        <w:rPr>
          <w:rFonts w:ascii="宋体" w:hAnsi="宋体" w:cs="宋体"/>
          <w:szCs w:val="21"/>
        </w:rPr>
        <w:t>账号</w:t>
      </w:r>
      <w:r>
        <w:rPr>
          <w:rFonts w:hint="eastAsia" w:ascii="宋体" w:hAnsi="宋体" w:cs="宋体"/>
          <w:szCs w:val="21"/>
        </w:rPr>
        <w:t>：</w:t>
      </w:r>
      <w:r>
        <w:rPr>
          <w:rFonts w:ascii="宋体" w:hAnsi="宋体" w:cs="宋体"/>
          <w:szCs w:val="21"/>
        </w:rPr>
        <w:t>7110210182600030709</w:t>
      </w:r>
    </w:p>
    <w:p w14:paraId="7015BA80">
      <w:pPr>
        <w:snapToGrid w:val="0"/>
        <w:spacing w:line="360" w:lineRule="auto"/>
        <w:ind w:firstLine="420" w:firstLineChars="200"/>
        <w:rPr>
          <w:rFonts w:ascii="宋体" w:hAnsi="宋体"/>
          <w:szCs w:val="21"/>
        </w:rPr>
      </w:pPr>
      <w:r>
        <w:rPr>
          <w:rFonts w:hint="eastAsia" w:ascii="宋体" w:hAnsi="宋体" w:cs="宋体"/>
          <w:szCs w:val="21"/>
        </w:rPr>
        <w:t>特别提醒：投标人在缴纳投标保证金时，务必在用途栏中注明项目编号，未注明项目编号或备注错误的，造成投标保证金到账无法确认，后果自负；投标保证金必须从供应商账户转出，否则视为无效。</w:t>
      </w:r>
    </w:p>
    <w:p w14:paraId="0CA0ABBA">
      <w:pPr>
        <w:spacing w:line="288" w:lineRule="auto"/>
        <w:ind w:right="-4" w:rightChars="-2"/>
        <w:jc w:val="left"/>
        <w:rPr>
          <w:rFonts w:ascii="宋体" w:hAnsi="宋体"/>
          <w:b/>
          <w:szCs w:val="21"/>
        </w:rPr>
      </w:pPr>
      <w:r>
        <w:rPr>
          <w:rFonts w:hint="eastAsia" w:ascii="宋体" w:hAnsi="宋体"/>
          <w:b/>
          <w:szCs w:val="21"/>
        </w:rPr>
        <w:t>八、公告发布媒介</w:t>
      </w:r>
    </w:p>
    <w:p w14:paraId="0AE8AF5A">
      <w:pPr>
        <w:snapToGrid w:val="0"/>
        <w:spacing w:line="360" w:lineRule="auto"/>
        <w:ind w:firstLine="420" w:firstLineChars="200"/>
        <w:rPr>
          <w:rFonts w:ascii="宋体" w:hAnsi="宋体" w:cs="宋体"/>
          <w:szCs w:val="21"/>
        </w:rPr>
      </w:pPr>
      <w:r>
        <w:rPr>
          <w:rFonts w:hint="eastAsia" w:ascii="宋体" w:hAnsi="宋体" w:cs="宋体"/>
          <w:szCs w:val="21"/>
        </w:rPr>
        <w:t>本次招标公告在中国招标投标公共服务平台</w:t>
      </w:r>
      <w:r>
        <w:rPr>
          <w:rFonts w:ascii="宋体" w:hAnsi="宋体"/>
          <w:szCs w:val="21"/>
        </w:rPr>
        <w:t>（www</w:t>
      </w:r>
      <w:r>
        <w:rPr>
          <w:rFonts w:hint="eastAsia" w:ascii="宋体" w:hAnsi="宋体"/>
          <w:szCs w:val="21"/>
        </w:rPr>
        <w:t>.cebpubservice.com</w:t>
      </w:r>
      <w:r>
        <w:rPr>
          <w:rFonts w:ascii="宋体" w:hAnsi="宋体"/>
          <w:szCs w:val="21"/>
        </w:rPr>
        <w:t>）</w:t>
      </w:r>
      <w:r>
        <w:rPr>
          <w:rFonts w:hint="eastAsia" w:ascii="宋体" w:hAnsi="宋体" w:cs="宋体"/>
          <w:szCs w:val="21"/>
        </w:rPr>
        <w:t>、中信国际招标有限公司官网(</w:t>
      </w:r>
      <w:r>
        <w:rPr>
          <w:rFonts w:ascii="宋体" w:hAnsi="宋体" w:cs="宋体"/>
          <w:szCs w:val="21"/>
        </w:rPr>
        <w:t>www.bidding.citic</w:t>
      </w:r>
      <w:r>
        <w:rPr>
          <w:rFonts w:hint="eastAsia" w:ascii="宋体" w:hAnsi="宋体" w:cs="宋体"/>
          <w:szCs w:val="21"/>
        </w:rPr>
        <w:t>)、数智采购平台门户（https://ccgp.szcgpt.czbank.com）、</w:t>
      </w:r>
      <w:r>
        <w:rPr>
          <w:rFonts w:ascii="宋体" w:hAnsi="宋体" w:cs="宋体"/>
          <w:szCs w:val="21"/>
        </w:rPr>
        <w:t>金</w:t>
      </w:r>
      <w:r>
        <w:rPr>
          <w:rFonts w:hint="eastAsia" w:ascii="宋体" w:hAnsi="宋体" w:cs="宋体"/>
          <w:szCs w:val="21"/>
        </w:rPr>
        <w:t>采</w:t>
      </w:r>
      <w:r>
        <w:rPr>
          <w:rFonts w:ascii="宋体" w:hAnsi="宋体" w:cs="宋体"/>
          <w:szCs w:val="21"/>
        </w:rPr>
        <w:t>网</w:t>
      </w:r>
      <w:r>
        <w:rPr>
          <w:rFonts w:hint="eastAsia" w:ascii="宋体" w:hAnsi="宋体" w:cs="宋体"/>
          <w:szCs w:val="21"/>
        </w:rPr>
        <w:t>（www.</w:t>
      </w:r>
      <w:r>
        <w:rPr>
          <w:rFonts w:ascii="宋体" w:hAnsi="宋体" w:cs="宋体"/>
          <w:szCs w:val="21"/>
        </w:rPr>
        <w:t>cfcpn</w:t>
      </w:r>
      <w:r>
        <w:rPr>
          <w:rFonts w:hint="eastAsia" w:ascii="宋体" w:hAnsi="宋体" w:cs="宋体"/>
          <w:szCs w:val="21"/>
        </w:rPr>
        <w:t>.</w:t>
      </w:r>
      <w:r>
        <w:rPr>
          <w:rFonts w:ascii="宋体" w:hAnsi="宋体" w:cs="宋体"/>
          <w:szCs w:val="21"/>
        </w:rPr>
        <w:t>com）</w:t>
      </w:r>
      <w:r>
        <w:rPr>
          <w:rFonts w:hint="eastAsia" w:ascii="宋体" w:hAnsi="宋体" w:cs="宋体"/>
          <w:szCs w:val="21"/>
        </w:rPr>
        <w:t>发布，本公告在各媒体发布的文本如有不同之处，以在中国招标投际公共服务平台发布的文本为准。因轻信其他组织、个人或媒体提供的信息而造成损失的，招标人、代理机构概不负责。</w:t>
      </w:r>
    </w:p>
    <w:p w14:paraId="1B9BCCB1">
      <w:pPr>
        <w:spacing w:line="288" w:lineRule="auto"/>
        <w:rPr>
          <w:rFonts w:ascii="宋体" w:hAnsi="宋体"/>
          <w:b/>
        </w:rPr>
      </w:pPr>
      <w:r>
        <w:rPr>
          <w:rFonts w:hint="eastAsia" w:ascii="宋体" w:hAnsi="宋体"/>
          <w:b/>
        </w:rPr>
        <w:t>九、对本次采购提出询问、异议请按以下方式联系</w:t>
      </w:r>
    </w:p>
    <w:p w14:paraId="5FB85094">
      <w:pPr>
        <w:spacing w:line="288" w:lineRule="auto"/>
        <w:rPr>
          <w:rFonts w:ascii="宋体" w:hAnsi="宋体"/>
          <w:szCs w:val="21"/>
        </w:rPr>
      </w:pPr>
      <w:r>
        <w:rPr>
          <w:rFonts w:hint="eastAsia" w:ascii="宋体" w:hAnsi="宋体"/>
          <w:szCs w:val="21"/>
        </w:rPr>
        <w:t>招标人：浙商银行股份有限公司惠州分行</w:t>
      </w:r>
    </w:p>
    <w:p w14:paraId="3CF814C2">
      <w:pPr>
        <w:spacing w:line="288" w:lineRule="auto"/>
        <w:rPr>
          <w:rFonts w:ascii="宋体" w:hAnsi="宋体"/>
          <w:szCs w:val="21"/>
        </w:rPr>
      </w:pPr>
      <w:r>
        <w:rPr>
          <w:rFonts w:hint="eastAsia" w:ascii="宋体" w:hAnsi="宋体"/>
          <w:szCs w:val="21"/>
        </w:rPr>
        <w:t xml:space="preserve">地址： </w:t>
      </w:r>
      <w:bookmarkStart w:id="0" w:name="_GoBack"/>
      <w:r>
        <w:rPr>
          <w:rFonts w:hint="eastAsia" w:ascii="宋体" w:hAnsi="宋体"/>
          <w:szCs w:val="21"/>
        </w:rPr>
        <w:t>惠州市惠城区江北东江三路45号</w:t>
      </w:r>
      <w:bookmarkEnd w:id="0"/>
    </w:p>
    <w:p w14:paraId="20D23537">
      <w:pPr>
        <w:spacing w:line="288" w:lineRule="auto"/>
        <w:rPr>
          <w:rFonts w:ascii="宋体" w:hAnsi="宋体"/>
          <w:szCs w:val="21"/>
        </w:rPr>
      </w:pPr>
      <w:r>
        <w:rPr>
          <w:rFonts w:hint="eastAsia" w:ascii="宋体" w:hAnsi="宋体"/>
          <w:szCs w:val="21"/>
        </w:rPr>
        <w:t>联系人：高先生</w:t>
      </w:r>
    </w:p>
    <w:p w14:paraId="3B50317C">
      <w:pPr>
        <w:spacing w:line="288" w:lineRule="auto"/>
        <w:rPr>
          <w:rFonts w:ascii="宋体" w:hAnsi="宋体"/>
          <w:szCs w:val="21"/>
        </w:rPr>
      </w:pPr>
    </w:p>
    <w:p w14:paraId="0E8725DC">
      <w:pPr>
        <w:spacing w:line="288" w:lineRule="auto"/>
        <w:ind w:right="-4" w:rightChars="-2"/>
        <w:jc w:val="left"/>
        <w:rPr>
          <w:rFonts w:ascii="宋体" w:hAnsi="宋体" w:cs="宋体"/>
          <w:szCs w:val="21"/>
        </w:rPr>
      </w:pPr>
      <w:r>
        <w:rPr>
          <w:rFonts w:hint="eastAsia" w:ascii="宋体" w:hAnsi="宋体" w:cs="宋体"/>
          <w:szCs w:val="21"/>
        </w:rPr>
        <w:t>招标代理机构：中信国际招标有限公司</w:t>
      </w:r>
    </w:p>
    <w:p w14:paraId="71C42B28">
      <w:pPr>
        <w:spacing w:line="288" w:lineRule="auto"/>
        <w:ind w:right="-4" w:rightChars="-2"/>
        <w:jc w:val="left"/>
        <w:rPr>
          <w:rFonts w:ascii="宋体" w:hAnsi="宋体" w:cs="宋体"/>
          <w:szCs w:val="21"/>
        </w:rPr>
      </w:pPr>
      <w:r>
        <w:rPr>
          <w:rFonts w:hint="eastAsia" w:ascii="宋体" w:hAnsi="宋体" w:cs="宋体"/>
          <w:szCs w:val="21"/>
        </w:rPr>
        <w:t>地址：深圳市福田区深南中路2001号中信国际大厦（信云大厦）1栋39层01A单元</w:t>
      </w:r>
    </w:p>
    <w:p w14:paraId="0DB88D41">
      <w:pPr>
        <w:spacing w:line="288" w:lineRule="auto"/>
        <w:ind w:right="-4" w:rightChars="-2"/>
        <w:jc w:val="left"/>
        <w:rPr>
          <w:rFonts w:ascii="宋体" w:hAnsi="宋体" w:cs="宋体"/>
          <w:szCs w:val="21"/>
        </w:rPr>
      </w:pPr>
      <w:r>
        <w:rPr>
          <w:rFonts w:hint="eastAsia" w:ascii="宋体" w:hAnsi="宋体" w:cs="宋体"/>
          <w:szCs w:val="21"/>
        </w:rPr>
        <w:t>邮编：518000</w:t>
      </w:r>
    </w:p>
    <w:p w14:paraId="7C0FA37E">
      <w:pPr>
        <w:spacing w:line="288" w:lineRule="auto"/>
        <w:ind w:right="-4" w:rightChars="-2"/>
        <w:jc w:val="left"/>
        <w:rPr>
          <w:rFonts w:ascii="宋体" w:hAnsi="宋体"/>
          <w:szCs w:val="21"/>
        </w:rPr>
      </w:pPr>
      <w:r>
        <w:rPr>
          <w:rFonts w:hint="eastAsia" w:ascii="宋体" w:hAnsi="宋体"/>
          <w:szCs w:val="21"/>
        </w:rPr>
        <w:t>联系人：魏晓丹</w:t>
      </w:r>
    </w:p>
    <w:p w14:paraId="7F001168">
      <w:pPr>
        <w:spacing w:line="288" w:lineRule="auto"/>
        <w:ind w:right="-4" w:rightChars="-2"/>
        <w:jc w:val="left"/>
        <w:rPr>
          <w:rFonts w:ascii="宋体" w:hAnsi="宋体"/>
          <w:szCs w:val="21"/>
        </w:rPr>
      </w:pPr>
      <w:r>
        <w:rPr>
          <w:rFonts w:hint="eastAsia" w:ascii="宋体" w:hAnsi="宋体"/>
          <w:szCs w:val="21"/>
        </w:rPr>
        <w:t>电话：0755-88911788-8952</w:t>
      </w:r>
      <w:r>
        <w:rPr>
          <w:rFonts w:hint="eastAsia" w:ascii="宋体" w:hAnsi="宋体"/>
          <w:szCs w:val="21"/>
        </w:rPr>
        <w:tab/>
      </w:r>
    </w:p>
    <w:p w14:paraId="40A8ADB4">
      <w:pPr>
        <w:spacing w:line="288" w:lineRule="auto"/>
        <w:ind w:right="-4" w:rightChars="-2"/>
        <w:jc w:val="left"/>
        <w:rPr>
          <w:rFonts w:ascii="宋体" w:hAnsi="宋体"/>
          <w:szCs w:val="21"/>
        </w:rPr>
      </w:pPr>
      <w:r>
        <w:rPr>
          <w:rFonts w:hint="eastAsia" w:ascii="宋体" w:hAnsi="宋体"/>
          <w:szCs w:val="21"/>
        </w:rPr>
        <w:t>Email：997834067@qq.com</w:t>
      </w:r>
    </w:p>
    <w:p w14:paraId="1AD79093"/>
    <w:p w14:paraId="15540E47"/>
    <w:p w14:paraId="1D88BECA">
      <w:pPr>
        <w:jc w:val="right"/>
        <w:rPr>
          <w:rFonts w:ascii="宋体" w:hAnsi="宋体" w:cs="宋体"/>
          <w:szCs w:val="21"/>
        </w:rPr>
      </w:pPr>
    </w:p>
    <w:p w14:paraId="716519CD">
      <w:pPr>
        <w:jc w:val="right"/>
        <w:rPr>
          <w:rFonts w:ascii="宋体" w:hAnsi="宋体" w:cs="宋体"/>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E7E"/>
    <w:rsid w:val="000E01D0"/>
    <w:rsid w:val="000F4992"/>
    <w:rsid w:val="001544E2"/>
    <w:rsid w:val="00203033"/>
    <w:rsid w:val="004F27BB"/>
    <w:rsid w:val="00AB3DF4"/>
    <w:rsid w:val="00B75E7E"/>
    <w:rsid w:val="00D9407D"/>
    <w:rsid w:val="00F168E5"/>
    <w:rsid w:val="543515B4"/>
    <w:rsid w:val="65B23230"/>
    <w:rsid w:val="78F02B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rPr>
      <w:szCs w:val="24"/>
    </w:rPr>
  </w:style>
  <w:style w:type="paragraph" w:styleId="3">
    <w:name w:val="Body Text"/>
    <w:basedOn w:val="1"/>
    <w:next w:val="1"/>
    <w:link w:val="11"/>
    <w:qFormat/>
    <w:uiPriority w:val="0"/>
    <w:pPr>
      <w:spacing w:after="120"/>
    </w:pPr>
    <w:rPr>
      <w:szCs w:val="24"/>
    </w:rPr>
  </w:style>
  <w:style w:type="paragraph" w:styleId="4">
    <w:name w:val="Balloon Text"/>
    <w:basedOn w:val="1"/>
    <w:link w:val="15"/>
    <w:semiHidden/>
    <w:unhideWhenUsed/>
    <w:uiPriority w:val="99"/>
    <w:rPr>
      <w:sz w:val="18"/>
      <w:szCs w:val="18"/>
    </w:rPr>
  </w:style>
  <w:style w:type="paragraph" w:styleId="5">
    <w:name w:val="footer"/>
    <w:basedOn w:val="1"/>
    <w:link w:val="17"/>
    <w:unhideWhenUsed/>
    <w:uiPriority w:val="99"/>
    <w:pPr>
      <w:tabs>
        <w:tab w:val="center" w:pos="4153"/>
        <w:tab w:val="right" w:pos="8306"/>
      </w:tabs>
      <w:snapToGrid w:val="0"/>
      <w:jc w:val="left"/>
    </w:pPr>
    <w:rPr>
      <w:sz w:val="18"/>
      <w:szCs w:val="18"/>
    </w:rPr>
  </w:style>
  <w:style w:type="paragraph" w:styleId="6">
    <w:name w:val="header"/>
    <w:basedOn w:val="1"/>
    <w:link w:val="16"/>
    <w:unhideWhenUsed/>
    <w:uiPriority w:val="99"/>
    <w:pPr>
      <w:pBdr>
        <w:bottom w:val="single" w:color="auto" w:sz="6" w:space="1"/>
      </w:pBdr>
      <w:tabs>
        <w:tab w:val="center" w:pos="4153"/>
        <w:tab w:val="right" w:pos="8306"/>
      </w:tabs>
      <w:snapToGrid w:val="0"/>
      <w:jc w:val="center"/>
    </w:pPr>
    <w:rPr>
      <w:sz w:val="18"/>
      <w:szCs w:val="18"/>
    </w:rPr>
  </w:style>
  <w:style w:type="character" w:styleId="9">
    <w:name w:val="annotation reference"/>
    <w:qFormat/>
    <w:uiPriority w:val="0"/>
    <w:rPr>
      <w:sz w:val="21"/>
      <w:szCs w:val="21"/>
    </w:rPr>
  </w:style>
  <w:style w:type="character" w:customStyle="1" w:styleId="10">
    <w:name w:val="批注文字 Char"/>
    <w:basedOn w:val="8"/>
    <w:semiHidden/>
    <w:qFormat/>
    <w:uiPriority w:val="99"/>
    <w:rPr>
      <w:rFonts w:ascii="Times New Roman" w:hAnsi="Times New Roman" w:eastAsia="宋体" w:cs="Times New Roman"/>
    </w:rPr>
  </w:style>
  <w:style w:type="character" w:customStyle="1" w:styleId="11">
    <w:name w:val="正文文本 Char"/>
    <w:basedOn w:val="8"/>
    <w:link w:val="3"/>
    <w:qFormat/>
    <w:uiPriority w:val="0"/>
    <w:rPr>
      <w:rFonts w:ascii="Times New Roman" w:hAnsi="Times New Roman" w:eastAsia="宋体" w:cs="Times New Roman"/>
      <w:szCs w:val="24"/>
    </w:rPr>
  </w:style>
  <w:style w:type="character" w:customStyle="1" w:styleId="12">
    <w:name w:val="批注文字 Char1"/>
    <w:link w:val="2"/>
    <w:qFormat/>
    <w:uiPriority w:val="0"/>
    <w:rPr>
      <w:rFonts w:ascii="Times New Roman" w:hAnsi="Times New Roman" w:eastAsia="宋体" w:cs="Times New Roman"/>
      <w:szCs w:val="24"/>
    </w:rPr>
  </w:style>
  <w:style w:type="paragraph" w:customStyle="1" w:styleId="13">
    <w:name w:val="正文段"/>
    <w:basedOn w:val="1"/>
    <w:qFormat/>
    <w:uiPriority w:val="0"/>
    <w:pPr>
      <w:widowControl/>
      <w:snapToGrid w:val="0"/>
      <w:spacing w:after="50" w:afterLines="50"/>
      <w:ind w:firstLine="200" w:firstLineChars="200"/>
    </w:pPr>
    <w:rPr>
      <w:kern w:val="0"/>
      <w:sz w:val="24"/>
      <w:szCs w:val="20"/>
    </w:rPr>
  </w:style>
  <w:style w:type="paragraph" w:customStyle="1" w:styleId="14">
    <w:name w:val="无间距1"/>
    <w:qFormat/>
    <w:uiPriority w:val="1"/>
    <w:pPr>
      <w:widowControl w:val="0"/>
      <w:jc w:val="both"/>
    </w:pPr>
    <w:rPr>
      <w:rFonts w:ascii="Calibri" w:hAnsi="Calibri" w:eastAsia="微软雅黑 Light" w:cs="Times New Roman"/>
      <w:kern w:val="2"/>
      <w:sz w:val="24"/>
      <w:szCs w:val="22"/>
      <w:lang w:val="en-US" w:eastAsia="zh-CN" w:bidi="ar-SA"/>
    </w:rPr>
  </w:style>
  <w:style w:type="character" w:customStyle="1" w:styleId="15">
    <w:name w:val="批注框文本 Char"/>
    <w:basedOn w:val="8"/>
    <w:link w:val="4"/>
    <w:semiHidden/>
    <w:qFormat/>
    <w:uiPriority w:val="99"/>
    <w:rPr>
      <w:rFonts w:ascii="Times New Roman" w:hAnsi="Times New Roman" w:eastAsia="宋体" w:cs="Times New Roman"/>
      <w:sz w:val="18"/>
      <w:szCs w:val="18"/>
    </w:rPr>
  </w:style>
  <w:style w:type="character" w:customStyle="1" w:styleId="16">
    <w:name w:val="页眉 Char"/>
    <w:basedOn w:val="8"/>
    <w:link w:val="6"/>
    <w:uiPriority w:val="99"/>
    <w:rPr>
      <w:rFonts w:ascii="Times New Roman" w:hAnsi="Times New Roman" w:eastAsia="宋体" w:cs="Times New Roman"/>
      <w:kern w:val="2"/>
      <w:sz w:val="18"/>
      <w:szCs w:val="18"/>
    </w:rPr>
  </w:style>
  <w:style w:type="character" w:customStyle="1" w:styleId="17">
    <w:name w:val="页脚 Char"/>
    <w:basedOn w:val="8"/>
    <w:link w:val="5"/>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1691</Words>
  <Characters>2084</Characters>
  <Lines>15</Lines>
  <Paragraphs>4</Paragraphs>
  <TotalTime>5</TotalTime>
  <ScaleCrop>false</ScaleCrop>
  <LinksUpToDate>false</LinksUpToDate>
  <CharactersWithSpaces>2087</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2025-07-21T09:49:00Z</dcterms:created>
  <dc:creator>Z</dc:creator>
  <cp:lastModifiedBy>吕佩玲</cp:lastModifiedBy>
  <dcterms:modified xsi:type="dcterms:W3CDTF">2025-07-22T16:11:42Z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eyJoZGlkIjoiMmQ4MTBmMDE0ZTM2YmUyY2I5YzlmMTI5OTI1YTY3OTgiLCJ1c2VySWQiOiIyNTM0ODE1NzEifQ==</vt:lpwstr>
  </property>
  <property fmtid="{D5CDD505-2E9C-101B-9397-08002B2CF9AE}" pid="3" name="KSOProductBuildVer">
    <vt:lpwstr>2052-12.1.0.22175</vt:lpwstr>
  </property>
  <property fmtid="{D5CDD505-2E9C-101B-9397-08002B2CF9AE}" pid="4" name="ICV">
    <vt:lpwstr>7D6AEC5BE02E4089AAE51659E1912DEA_12</vt:lpwstr>
  </property>
</Properties>
</file>