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20" w:beforeLines="50"/>
        <w:rPr>
          <w:rFonts w:ascii="仿宋_GB2312" w:eastAsia="仿宋_GB2312"/>
          <w:b/>
          <w:color w:val="auto"/>
          <w:sz w:val="32"/>
        </w:rPr>
      </w:pPr>
    </w:p>
    <w:p>
      <w:pPr>
        <w:snapToGrid w:val="0"/>
        <w:spacing w:line="420" w:lineRule="auto"/>
        <w:jc w:val="center"/>
        <w:rPr>
          <w:rFonts w:ascii="宋体" w:hAnsi="宋体" w:cs="华文中宋"/>
          <w:b/>
          <w:color w:val="auto"/>
          <w:sz w:val="96"/>
          <w:szCs w:val="96"/>
        </w:rPr>
      </w:pPr>
      <w:r>
        <w:rPr>
          <w:rFonts w:hint="eastAsia" w:ascii="宋体" w:hAnsi="宋体"/>
          <w:b/>
          <w:color w:val="auto"/>
          <w:sz w:val="52"/>
          <w:szCs w:val="52"/>
        </w:rPr>
        <w:t>浙商银行广州分行2025年度押品外部资产评估机构采购项目</w:t>
      </w:r>
    </w:p>
    <w:p>
      <w:pPr>
        <w:snapToGrid w:val="0"/>
        <w:spacing w:before="120" w:beforeLines="50"/>
        <w:jc w:val="center"/>
        <w:rPr>
          <w:rFonts w:ascii="宋体" w:hAnsi="宋体" w:cs="华文中宋"/>
          <w:b/>
          <w:bCs/>
          <w:color w:val="auto"/>
          <w:sz w:val="72"/>
          <w:szCs w:val="72"/>
        </w:rPr>
      </w:pPr>
    </w:p>
    <w:p>
      <w:pPr>
        <w:snapToGrid w:val="0"/>
        <w:spacing w:before="120" w:beforeLines="50"/>
        <w:jc w:val="center"/>
        <w:rPr>
          <w:rFonts w:ascii="宋体" w:hAnsi="宋体"/>
          <w:b/>
          <w:color w:val="auto"/>
          <w:sz w:val="72"/>
          <w:szCs w:val="72"/>
        </w:rPr>
      </w:pPr>
      <w:r>
        <w:rPr>
          <w:rFonts w:hint="eastAsia" w:ascii="宋体" w:hAnsi="宋体"/>
          <w:b/>
          <w:color w:val="auto"/>
          <w:sz w:val="72"/>
          <w:szCs w:val="72"/>
        </w:rPr>
        <w:t>招 标 文 件</w:t>
      </w:r>
    </w:p>
    <w:p>
      <w:pPr>
        <w:spacing w:line="360" w:lineRule="auto"/>
        <w:rPr>
          <w:rFonts w:ascii="宋体" w:hAnsi="宋体"/>
          <w:color w:val="auto"/>
          <w:sz w:val="24"/>
        </w:rPr>
      </w:pPr>
    </w:p>
    <w:p>
      <w:pPr>
        <w:snapToGrid w:val="0"/>
        <w:spacing w:before="120" w:beforeLines="50"/>
        <w:ind w:firstLine="723" w:firstLineChars="200"/>
        <w:jc w:val="left"/>
        <w:rPr>
          <w:rFonts w:ascii="宋体" w:hAnsi="宋体"/>
          <w:b/>
          <w:color w:val="auto"/>
          <w:sz w:val="36"/>
          <w:szCs w:val="36"/>
          <w:u w:val="single"/>
        </w:rPr>
      </w:pPr>
    </w:p>
    <w:p>
      <w:pPr>
        <w:snapToGrid w:val="0"/>
        <w:spacing w:before="120" w:beforeLines="50"/>
        <w:jc w:val="center"/>
        <w:rPr>
          <w:rFonts w:hint="eastAsia" w:ascii="宋体" w:hAnsi="宋体" w:eastAsia="宋体"/>
          <w:b/>
          <w:color w:val="auto"/>
          <w:sz w:val="36"/>
          <w:szCs w:val="36"/>
          <w:lang w:eastAsia="zh-CN"/>
        </w:rPr>
      </w:pPr>
      <w:r>
        <w:rPr>
          <w:rFonts w:hint="eastAsia" w:ascii="宋体" w:hAnsi="宋体"/>
          <w:b/>
          <w:color w:val="auto"/>
          <w:sz w:val="36"/>
          <w:szCs w:val="36"/>
        </w:rPr>
        <w:t>项目编号：</w:t>
      </w:r>
      <w:r>
        <w:rPr>
          <w:rFonts w:hint="eastAsia" w:ascii="宋体" w:hAnsi="宋体"/>
          <w:b/>
          <w:color w:val="auto"/>
          <w:sz w:val="36"/>
          <w:szCs w:val="36"/>
          <w:lang w:eastAsia="zh-CN"/>
        </w:rPr>
        <w:t>GZJC2025FXGKb007</w:t>
      </w:r>
    </w:p>
    <w:p>
      <w:pPr>
        <w:spacing w:line="360" w:lineRule="auto"/>
        <w:rPr>
          <w:rFonts w:ascii="宋体" w:hAnsi="宋体"/>
          <w:color w:val="auto"/>
          <w:sz w:val="24"/>
          <w:szCs w:val="21"/>
        </w:rPr>
      </w:pPr>
    </w:p>
    <w:p>
      <w:pPr>
        <w:spacing w:line="360" w:lineRule="auto"/>
        <w:rPr>
          <w:rFonts w:ascii="宋体" w:hAnsi="宋体"/>
          <w:color w:val="auto"/>
          <w:sz w:val="24"/>
          <w:szCs w:val="21"/>
        </w:rPr>
      </w:pPr>
    </w:p>
    <w:p>
      <w:pPr>
        <w:spacing w:line="360" w:lineRule="auto"/>
        <w:rPr>
          <w:rFonts w:ascii="宋体" w:hAnsi="宋体"/>
          <w:color w:val="auto"/>
          <w:sz w:val="24"/>
          <w:szCs w:val="21"/>
        </w:rPr>
      </w:pPr>
    </w:p>
    <w:p>
      <w:pPr>
        <w:spacing w:line="360" w:lineRule="auto"/>
        <w:rPr>
          <w:rFonts w:ascii="宋体" w:hAnsi="宋体"/>
          <w:color w:val="auto"/>
          <w:sz w:val="24"/>
          <w:szCs w:val="21"/>
        </w:rPr>
      </w:pPr>
    </w:p>
    <w:p>
      <w:pPr>
        <w:spacing w:line="360" w:lineRule="auto"/>
        <w:rPr>
          <w:rFonts w:ascii="宋体" w:hAnsi="宋体"/>
          <w:color w:val="auto"/>
          <w:sz w:val="24"/>
          <w:szCs w:val="21"/>
        </w:rPr>
      </w:pPr>
    </w:p>
    <w:p>
      <w:pPr>
        <w:spacing w:line="360" w:lineRule="auto"/>
        <w:rPr>
          <w:rFonts w:ascii="宋体" w:hAnsi="宋体"/>
          <w:color w:val="auto"/>
          <w:sz w:val="24"/>
          <w:szCs w:val="21"/>
        </w:rPr>
      </w:pPr>
    </w:p>
    <w:p>
      <w:pPr>
        <w:snapToGrid w:val="0"/>
        <w:spacing w:before="120" w:beforeLines="50"/>
        <w:jc w:val="center"/>
        <w:rPr>
          <w:rFonts w:ascii="宋体" w:hAnsi="宋体"/>
          <w:b/>
          <w:color w:val="auto"/>
          <w:sz w:val="36"/>
          <w:szCs w:val="36"/>
        </w:rPr>
      </w:pPr>
      <w:r>
        <w:rPr>
          <w:rFonts w:hint="eastAsia" w:ascii="宋体" w:hAnsi="宋体"/>
          <w:b/>
          <w:color w:val="auto"/>
          <w:sz w:val="36"/>
          <w:szCs w:val="36"/>
        </w:rPr>
        <w:t>招标人：浙商银行股份有限公司广州分行</w:t>
      </w:r>
    </w:p>
    <w:p>
      <w:pPr>
        <w:snapToGrid w:val="0"/>
        <w:spacing w:before="120" w:beforeLines="50"/>
        <w:jc w:val="center"/>
        <w:rPr>
          <w:rFonts w:ascii="宋体" w:hAnsi="宋体"/>
          <w:b/>
          <w:color w:val="auto"/>
          <w:sz w:val="36"/>
          <w:szCs w:val="36"/>
        </w:rPr>
      </w:pPr>
      <w:r>
        <w:rPr>
          <w:rFonts w:hint="eastAsia" w:ascii="宋体" w:hAnsi="宋体"/>
          <w:b/>
          <w:color w:val="auto"/>
          <w:sz w:val="36"/>
          <w:szCs w:val="36"/>
        </w:rPr>
        <w:t>招标代理机构：广东泽福管理咨询有限公司</w:t>
      </w:r>
    </w:p>
    <w:p>
      <w:pPr>
        <w:snapToGrid w:val="0"/>
        <w:spacing w:before="120" w:beforeLines="50"/>
        <w:jc w:val="center"/>
        <w:rPr>
          <w:rFonts w:ascii="宋体" w:hAnsi="宋体"/>
          <w:b/>
          <w:color w:val="auto"/>
          <w:sz w:val="36"/>
          <w:szCs w:val="36"/>
        </w:rPr>
      </w:pPr>
    </w:p>
    <w:p>
      <w:pPr>
        <w:snapToGrid w:val="0"/>
        <w:spacing w:before="120" w:beforeLines="50"/>
        <w:jc w:val="center"/>
        <w:rPr>
          <w:rFonts w:ascii="宋体" w:hAnsi="宋体"/>
          <w:b/>
          <w:color w:val="auto"/>
          <w:sz w:val="40"/>
          <w:szCs w:val="40"/>
        </w:rPr>
      </w:pPr>
      <w:r>
        <w:rPr>
          <w:rFonts w:hint="eastAsia" w:ascii="宋体" w:hAnsi="宋体"/>
          <w:b/>
          <w:color w:val="auto"/>
          <w:sz w:val="36"/>
          <w:szCs w:val="36"/>
        </w:rPr>
        <w:t>二○二五年六月</w:t>
      </w:r>
    </w:p>
    <w:p>
      <w:pPr>
        <w:widowControl/>
        <w:jc w:val="left"/>
        <w:rPr>
          <w:rFonts w:ascii="仿宋_GB2312" w:eastAsia="仿宋_GB2312"/>
          <w:b/>
          <w:color w:val="auto"/>
          <w:sz w:val="40"/>
          <w:szCs w:val="40"/>
        </w:rPr>
        <w:sectPr>
          <w:headerReference r:id="rId3" w:type="default"/>
          <w:pgSz w:w="11906" w:h="16838"/>
          <w:pgMar w:top="1440" w:right="1797" w:bottom="1440" w:left="1797" w:header="567" w:footer="992" w:gutter="0"/>
          <w:cols w:space="720" w:num="1"/>
          <w:docGrid w:linePitch="312" w:charSpace="0"/>
        </w:sectPr>
      </w:pPr>
    </w:p>
    <w:p>
      <w:pPr>
        <w:spacing w:before="120" w:line="360" w:lineRule="auto"/>
        <w:ind w:left="1545" w:hanging="1545"/>
        <w:jc w:val="center"/>
        <w:outlineLvl w:val="0"/>
        <w:rPr>
          <w:rFonts w:ascii="宋体" w:hAnsi="宋体"/>
          <w:color w:val="auto"/>
          <w:sz w:val="32"/>
          <w:szCs w:val="32"/>
        </w:rPr>
      </w:pPr>
      <w:bookmarkStart w:id="0" w:name="_Toc16247930"/>
      <w:bookmarkStart w:id="1" w:name="_Toc482046232"/>
      <w:bookmarkStart w:id="2" w:name="_Toc183451103"/>
      <w:bookmarkStart w:id="3" w:name="_Toc184197207"/>
      <w:bookmarkStart w:id="4" w:name="_Toc184037343"/>
      <w:bookmarkStart w:id="5" w:name="_Toc184028347"/>
      <w:bookmarkStart w:id="6" w:name="_Toc183513673"/>
      <w:bookmarkStart w:id="7" w:name="_Toc184197305"/>
      <w:r>
        <w:rPr>
          <w:rFonts w:hint="eastAsia" w:ascii="宋体" w:hAnsi="宋体"/>
          <w:b/>
          <w:color w:val="auto"/>
          <w:sz w:val="32"/>
          <w:szCs w:val="32"/>
          <w:lang w:val="zh-CN"/>
        </w:rPr>
        <w:t xml:space="preserve">第一章 </w:t>
      </w:r>
      <w:bookmarkEnd w:id="0"/>
      <w:bookmarkEnd w:id="1"/>
      <w:r>
        <w:rPr>
          <w:rFonts w:hint="eastAsia" w:ascii="宋体" w:hAnsi="宋体"/>
          <w:b/>
          <w:color w:val="auto"/>
          <w:sz w:val="32"/>
          <w:szCs w:val="32"/>
        </w:rPr>
        <w:t>招标公告</w:t>
      </w:r>
      <w:bookmarkEnd w:id="2"/>
      <w:bookmarkEnd w:id="3"/>
      <w:bookmarkEnd w:id="4"/>
      <w:bookmarkEnd w:id="5"/>
      <w:bookmarkEnd w:id="6"/>
      <w:bookmarkEnd w:id="7"/>
    </w:p>
    <w:p>
      <w:pPr>
        <w:spacing w:before="120" w:line="360" w:lineRule="auto"/>
        <w:ind w:firstLine="420" w:firstLineChars="200"/>
        <w:rPr>
          <w:rFonts w:ascii="宋体" w:hAnsi="宋体"/>
          <w:color w:val="auto"/>
          <w:szCs w:val="21"/>
        </w:rPr>
      </w:pPr>
      <w:r>
        <w:rPr>
          <w:rFonts w:hint="eastAsia" w:ascii="宋体" w:hAnsi="宋体"/>
          <w:color w:val="auto"/>
          <w:szCs w:val="21"/>
        </w:rPr>
        <w:t>浙商银行股份有限公司就</w:t>
      </w:r>
      <w:r>
        <w:rPr>
          <w:rFonts w:hint="eastAsia" w:ascii="宋体" w:hAnsi="宋体"/>
          <w:color w:val="auto"/>
          <w:szCs w:val="21"/>
          <w:u w:val="single"/>
        </w:rPr>
        <w:t>浙商银行广州分行2025年度押品外部资产评估机构采购项目</w:t>
      </w:r>
      <w:r>
        <w:rPr>
          <w:rFonts w:hint="eastAsia" w:ascii="宋体" w:hAnsi="宋体"/>
          <w:color w:val="auto"/>
          <w:szCs w:val="21"/>
        </w:rPr>
        <w:t>进行公开招标采购，欢迎国内合格供应商积极参加。</w:t>
      </w:r>
    </w:p>
    <w:p>
      <w:pPr>
        <w:widowControl/>
        <w:spacing w:line="360" w:lineRule="auto"/>
        <w:ind w:firstLine="422" w:firstLineChars="200"/>
        <w:rPr>
          <w:rFonts w:hint="eastAsia" w:ascii="宋体" w:hAnsi="宋体" w:eastAsia="宋体" w:cs="宋体"/>
          <w:color w:val="auto"/>
          <w:kern w:val="0"/>
          <w:szCs w:val="21"/>
          <w:lang w:eastAsia="zh-CN"/>
        </w:rPr>
      </w:pPr>
      <w:r>
        <w:rPr>
          <w:rFonts w:hint="eastAsia" w:ascii="宋体" w:hAnsi="宋体" w:cs="宋体"/>
          <w:b/>
          <w:bCs/>
          <w:color w:val="auto"/>
          <w:kern w:val="0"/>
          <w:szCs w:val="21"/>
        </w:rPr>
        <w:t>一、项目编号：</w:t>
      </w:r>
      <w:r>
        <w:rPr>
          <w:rFonts w:hint="eastAsia" w:ascii="宋体" w:hAnsi="宋体" w:cs="宋体"/>
          <w:color w:val="auto"/>
          <w:kern w:val="0"/>
          <w:szCs w:val="21"/>
          <w:lang w:eastAsia="zh-CN"/>
        </w:rPr>
        <w:t>GZJC2025FXGKb007</w:t>
      </w:r>
    </w:p>
    <w:p>
      <w:pPr>
        <w:widowControl/>
        <w:spacing w:line="360" w:lineRule="auto"/>
        <w:ind w:firstLine="422" w:firstLineChars="200"/>
        <w:rPr>
          <w:rFonts w:ascii="宋体" w:hAnsi="宋体" w:cs="宋体"/>
          <w:color w:val="auto"/>
          <w:kern w:val="0"/>
          <w:szCs w:val="21"/>
        </w:rPr>
      </w:pPr>
      <w:r>
        <w:rPr>
          <w:rFonts w:hint="eastAsia" w:ascii="宋体" w:hAnsi="宋体" w:cs="宋体"/>
          <w:b/>
          <w:bCs/>
          <w:color w:val="auto"/>
          <w:kern w:val="0"/>
          <w:szCs w:val="21"/>
        </w:rPr>
        <w:t>二、项目内容：</w:t>
      </w:r>
      <w:r>
        <w:rPr>
          <w:rFonts w:hint="eastAsia" w:ascii="宋体" w:hAnsi="宋体" w:cs="宋体"/>
          <w:color w:val="auto"/>
          <w:kern w:val="0"/>
          <w:szCs w:val="21"/>
        </w:rPr>
        <w:t>本项目划分6个标段，拟通过招标每标段确定1-</w:t>
      </w:r>
      <w:r>
        <w:rPr>
          <w:rFonts w:ascii="宋体" w:hAnsi="宋体" w:cs="宋体"/>
          <w:color w:val="auto"/>
          <w:kern w:val="0"/>
          <w:szCs w:val="21"/>
        </w:rPr>
        <w:t>4</w:t>
      </w:r>
      <w:r>
        <w:rPr>
          <w:rFonts w:hint="eastAsia" w:ascii="宋体" w:hAnsi="宋体" w:cs="宋体"/>
          <w:color w:val="auto"/>
          <w:kern w:val="0"/>
          <w:szCs w:val="21"/>
        </w:rPr>
        <w:t>家中标单位，为招标人提供</w:t>
      </w:r>
      <w:r>
        <w:rPr>
          <w:rFonts w:ascii="宋体" w:hAnsi="宋体" w:cs="宋体"/>
          <w:color w:val="auto"/>
          <w:kern w:val="0"/>
          <w:szCs w:val="21"/>
        </w:rPr>
        <w:t>2025</w:t>
      </w:r>
      <w:r>
        <w:rPr>
          <w:rFonts w:hint="eastAsia" w:ascii="宋体" w:hAnsi="宋体" w:cs="宋体"/>
          <w:color w:val="auto"/>
          <w:kern w:val="0"/>
          <w:szCs w:val="21"/>
        </w:rPr>
        <w:t>年度押品外部资产评估服务，服务期限</w:t>
      </w:r>
      <w:r>
        <w:rPr>
          <w:rFonts w:ascii="宋体" w:hAnsi="宋体" w:cs="宋体"/>
          <w:color w:val="auto"/>
          <w:kern w:val="0"/>
          <w:szCs w:val="21"/>
        </w:rPr>
        <w:t>1</w:t>
      </w:r>
      <w:r>
        <w:rPr>
          <w:rFonts w:hint="eastAsia" w:ascii="宋体" w:hAnsi="宋体" w:cs="宋体"/>
          <w:color w:val="auto"/>
          <w:kern w:val="0"/>
          <w:szCs w:val="21"/>
        </w:rPr>
        <w:t>年。详细内容见招标文件《第五章 采购需求》。</w:t>
      </w:r>
    </w:p>
    <w:tbl>
      <w:tblPr>
        <w:tblStyle w:val="8"/>
        <w:tblW w:w="47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5279"/>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631" w:type="pct"/>
            <w:vAlign w:val="center"/>
          </w:tcPr>
          <w:p>
            <w:pPr>
              <w:spacing w:after="80"/>
              <w:contextualSpacing/>
              <w:jc w:val="center"/>
              <w:outlineLvl w:val="1"/>
              <w:rPr>
                <w:rFonts w:ascii="宋体" w:hAnsi="宋体"/>
                <w:color w:val="auto"/>
                <w:kern w:val="0"/>
                <w:szCs w:val="21"/>
              </w:rPr>
            </w:pPr>
            <w:r>
              <w:rPr>
                <w:rFonts w:hint="eastAsia" w:ascii="宋体" w:hAnsi="宋体"/>
                <w:color w:val="auto"/>
                <w:kern w:val="0"/>
                <w:szCs w:val="21"/>
              </w:rPr>
              <w:t>标段号</w:t>
            </w:r>
          </w:p>
        </w:tc>
        <w:tc>
          <w:tcPr>
            <w:tcW w:w="3285" w:type="pct"/>
            <w:vAlign w:val="center"/>
          </w:tcPr>
          <w:p>
            <w:pPr>
              <w:spacing w:after="80"/>
              <w:contextualSpacing/>
              <w:jc w:val="center"/>
              <w:outlineLvl w:val="1"/>
              <w:rPr>
                <w:rFonts w:ascii="宋体" w:hAnsi="宋体"/>
                <w:color w:val="auto"/>
                <w:kern w:val="0"/>
                <w:szCs w:val="21"/>
              </w:rPr>
            </w:pPr>
            <w:r>
              <w:rPr>
                <w:rFonts w:hint="eastAsia" w:ascii="宋体" w:hAnsi="宋体"/>
                <w:color w:val="auto"/>
                <w:kern w:val="0"/>
                <w:szCs w:val="21"/>
              </w:rPr>
              <w:t>项目内容</w:t>
            </w:r>
          </w:p>
        </w:tc>
        <w:tc>
          <w:tcPr>
            <w:tcW w:w="1084" w:type="pct"/>
            <w:vAlign w:val="center"/>
          </w:tcPr>
          <w:p>
            <w:pPr>
              <w:spacing w:after="80"/>
              <w:contextualSpacing/>
              <w:jc w:val="center"/>
              <w:outlineLvl w:val="1"/>
              <w:rPr>
                <w:rFonts w:ascii="宋体" w:hAnsi="宋体"/>
                <w:color w:val="auto"/>
                <w:kern w:val="0"/>
                <w:szCs w:val="21"/>
              </w:rPr>
            </w:pPr>
            <w:r>
              <w:rPr>
                <w:rFonts w:hint="eastAsia" w:ascii="宋体" w:hAnsi="宋体"/>
                <w:color w:val="auto"/>
                <w:kern w:val="0"/>
                <w:szCs w:val="21"/>
              </w:rPr>
              <w:t>中标供应商数量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31" w:type="pct"/>
            <w:vAlign w:val="center"/>
          </w:tcPr>
          <w:p>
            <w:pPr>
              <w:spacing w:after="80"/>
              <w:contextualSpacing/>
              <w:jc w:val="center"/>
              <w:outlineLvl w:val="1"/>
              <w:rPr>
                <w:rFonts w:ascii="宋体" w:hAnsi="宋体"/>
                <w:color w:val="auto"/>
                <w:szCs w:val="21"/>
              </w:rPr>
            </w:pPr>
            <w:r>
              <w:rPr>
                <w:rFonts w:hint="eastAsia" w:ascii="宋体" w:hAnsi="宋体"/>
                <w:color w:val="auto"/>
                <w:szCs w:val="21"/>
              </w:rPr>
              <w:t>1</w:t>
            </w:r>
          </w:p>
        </w:tc>
        <w:tc>
          <w:tcPr>
            <w:tcW w:w="3285" w:type="pct"/>
            <w:vAlign w:val="center"/>
          </w:tcPr>
          <w:p>
            <w:pPr>
              <w:spacing w:after="80"/>
              <w:contextualSpacing/>
              <w:jc w:val="center"/>
              <w:outlineLvl w:val="1"/>
              <w:rPr>
                <w:rFonts w:ascii="宋体" w:hAnsi="宋体"/>
                <w:color w:val="auto"/>
                <w:kern w:val="0"/>
                <w:szCs w:val="21"/>
              </w:rPr>
            </w:pPr>
            <w:r>
              <w:rPr>
                <w:rFonts w:hint="eastAsia" w:ascii="宋体" w:hAnsi="宋体"/>
                <w:color w:val="auto"/>
                <w:szCs w:val="21"/>
              </w:rPr>
              <w:t>广州地区对公业务房地产、土地、资产等抵押物评估</w:t>
            </w:r>
          </w:p>
        </w:tc>
        <w:tc>
          <w:tcPr>
            <w:tcW w:w="1084" w:type="pct"/>
            <w:vAlign w:val="center"/>
          </w:tcPr>
          <w:p>
            <w:pPr>
              <w:spacing w:after="80"/>
              <w:contextualSpacing/>
              <w:jc w:val="center"/>
              <w:outlineLvl w:val="1"/>
              <w:rPr>
                <w:rFonts w:ascii="宋体" w:hAnsi="宋体"/>
                <w:color w:val="auto"/>
                <w:kern w:val="0"/>
                <w:szCs w:val="21"/>
              </w:rPr>
            </w:pPr>
            <w:r>
              <w:rPr>
                <w:rFonts w:ascii="宋体" w:hAnsi="宋体"/>
                <w:color w:val="auto"/>
                <w:kern w:val="0"/>
                <w:szCs w:val="21"/>
              </w:rPr>
              <w:t>1-4</w:t>
            </w:r>
            <w:r>
              <w:rPr>
                <w:rFonts w:hint="eastAsia" w:ascii="宋体" w:hAnsi="宋体"/>
                <w:color w:val="auto"/>
                <w:kern w:val="0"/>
                <w:szCs w:val="21"/>
              </w:rPr>
              <w:t>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31" w:type="pct"/>
            <w:vAlign w:val="center"/>
          </w:tcPr>
          <w:p>
            <w:pPr>
              <w:spacing w:after="80"/>
              <w:contextualSpacing/>
              <w:jc w:val="center"/>
              <w:outlineLvl w:val="1"/>
              <w:rPr>
                <w:rFonts w:ascii="宋体" w:hAnsi="宋体"/>
                <w:color w:val="auto"/>
                <w:szCs w:val="21"/>
              </w:rPr>
            </w:pPr>
            <w:r>
              <w:rPr>
                <w:rFonts w:hint="eastAsia" w:ascii="宋体" w:hAnsi="宋体"/>
                <w:color w:val="auto"/>
                <w:szCs w:val="21"/>
              </w:rPr>
              <w:t>2</w:t>
            </w:r>
          </w:p>
        </w:tc>
        <w:tc>
          <w:tcPr>
            <w:tcW w:w="3285" w:type="pct"/>
            <w:vAlign w:val="center"/>
          </w:tcPr>
          <w:p>
            <w:pPr>
              <w:spacing w:after="80"/>
              <w:contextualSpacing/>
              <w:jc w:val="center"/>
              <w:outlineLvl w:val="1"/>
              <w:rPr>
                <w:rFonts w:ascii="宋体" w:hAnsi="宋体"/>
                <w:color w:val="auto"/>
                <w:szCs w:val="21"/>
              </w:rPr>
            </w:pPr>
            <w:r>
              <w:rPr>
                <w:rFonts w:hint="eastAsia" w:ascii="宋体" w:hAnsi="宋体" w:cs="方正仿宋_GBK"/>
                <w:color w:val="auto"/>
                <w:szCs w:val="21"/>
              </w:rPr>
              <w:t>佛山</w:t>
            </w:r>
            <w:r>
              <w:rPr>
                <w:rFonts w:hint="eastAsia" w:ascii="宋体" w:hAnsi="宋体"/>
                <w:color w:val="auto"/>
                <w:szCs w:val="21"/>
              </w:rPr>
              <w:t>地区对公业务房地产、土地、资产等抵押物评估</w:t>
            </w:r>
          </w:p>
        </w:tc>
        <w:tc>
          <w:tcPr>
            <w:tcW w:w="1084" w:type="pct"/>
            <w:vAlign w:val="center"/>
          </w:tcPr>
          <w:p>
            <w:pPr>
              <w:spacing w:after="80"/>
              <w:contextualSpacing/>
              <w:jc w:val="center"/>
              <w:outlineLvl w:val="1"/>
              <w:rPr>
                <w:rFonts w:ascii="宋体" w:hAnsi="宋体"/>
                <w:color w:val="auto"/>
                <w:kern w:val="0"/>
                <w:szCs w:val="21"/>
              </w:rPr>
            </w:pPr>
            <w:r>
              <w:rPr>
                <w:rFonts w:ascii="宋体" w:hAnsi="宋体"/>
                <w:color w:val="auto"/>
                <w:kern w:val="0"/>
                <w:szCs w:val="21"/>
              </w:rPr>
              <w:t>1-4</w:t>
            </w:r>
            <w:r>
              <w:rPr>
                <w:rFonts w:hint="eastAsia" w:ascii="宋体" w:hAnsi="宋体"/>
                <w:color w:val="auto"/>
                <w:kern w:val="0"/>
                <w:szCs w:val="21"/>
              </w:rPr>
              <w:t>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31" w:type="pct"/>
            <w:vAlign w:val="center"/>
          </w:tcPr>
          <w:p>
            <w:pPr>
              <w:spacing w:after="80"/>
              <w:contextualSpacing/>
              <w:jc w:val="center"/>
              <w:outlineLvl w:val="1"/>
              <w:rPr>
                <w:rFonts w:ascii="宋体" w:hAnsi="宋体"/>
                <w:color w:val="auto"/>
                <w:szCs w:val="21"/>
              </w:rPr>
            </w:pPr>
            <w:r>
              <w:rPr>
                <w:rFonts w:hint="eastAsia" w:ascii="宋体" w:hAnsi="宋体"/>
                <w:color w:val="auto"/>
                <w:szCs w:val="21"/>
              </w:rPr>
              <w:t>3</w:t>
            </w:r>
          </w:p>
        </w:tc>
        <w:tc>
          <w:tcPr>
            <w:tcW w:w="3285" w:type="pct"/>
            <w:vAlign w:val="center"/>
          </w:tcPr>
          <w:p>
            <w:pPr>
              <w:spacing w:after="80"/>
              <w:contextualSpacing/>
              <w:jc w:val="center"/>
              <w:outlineLvl w:val="1"/>
              <w:rPr>
                <w:rFonts w:ascii="宋体" w:hAnsi="宋体"/>
                <w:color w:val="auto"/>
                <w:szCs w:val="21"/>
              </w:rPr>
            </w:pPr>
            <w:r>
              <w:rPr>
                <w:rFonts w:hint="eastAsia" w:ascii="宋体" w:hAnsi="宋体" w:cs="方正仿宋_GBK"/>
                <w:color w:val="auto"/>
                <w:szCs w:val="21"/>
              </w:rPr>
              <w:t>珠海</w:t>
            </w:r>
            <w:r>
              <w:rPr>
                <w:rFonts w:hint="eastAsia" w:ascii="宋体" w:hAnsi="宋体"/>
                <w:color w:val="auto"/>
                <w:szCs w:val="21"/>
              </w:rPr>
              <w:t>地区对公业务房地产、土地、资产等抵押物评估</w:t>
            </w:r>
          </w:p>
        </w:tc>
        <w:tc>
          <w:tcPr>
            <w:tcW w:w="1084" w:type="pct"/>
            <w:vAlign w:val="center"/>
          </w:tcPr>
          <w:p>
            <w:pPr>
              <w:spacing w:after="80"/>
              <w:contextualSpacing/>
              <w:jc w:val="center"/>
              <w:outlineLvl w:val="1"/>
              <w:rPr>
                <w:rFonts w:ascii="宋体" w:hAnsi="宋体"/>
                <w:color w:val="auto"/>
                <w:kern w:val="0"/>
                <w:szCs w:val="21"/>
              </w:rPr>
            </w:pPr>
            <w:r>
              <w:rPr>
                <w:rFonts w:ascii="宋体" w:hAnsi="宋体"/>
                <w:color w:val="auto"/>
                <w:kern w:val="0"/>
                <w:szCs w:val="21"/>
              </w:rPr>
              <w:t>1-4</w:t>
            </w:r>
            <w:r>
              <w:rPr>
                <w:rFonts w:hint="eastAsia" w:ascii="宋体" w:hAnsi="宋体"/>
                <w:color w:val="auto"/>
                <w:kern w:val="0"/>
                <w:szCs w:val="21"/>
              </w:rPr>
              <w:t>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31" w:type="pct"/>
            <w:vAlign w:val="center"/>
          </w:tcPr>
          <w:p>
            <w:pPr>
              <w:spacing w:after="80"/>
              <w:contextualSpacing/>
              <w:jc w:val="center"/>
              <w:outlineLvl w:val="1"/>
              <w:rPr>
                <w:rFonts w:ascii="宋体" w:hAnsi="宋体"/>
                <w:color w:val="auto"/>
                <w:szCs w:val="21"/>
              </w:rPr>
            </w:pPr>
            <w:r>
              <w:rPr>
                <w:rFonts w:ascii="宋体" w:hAnsi="宋体"/>
                <w:color w:val="auto"/>
                <w:szCs w:val="21"/>
              </w:rPr>
              <w:t>4</w:t>
            </w:r>
          </w:p>
        </w:tc>
        <w:tc>
          <w:tcPr>
            <w:tcW w:w="3285" w:type="pct"/>
            <w:vAlign w:val="center"/>
          </w:tcPr>
          <w:p>
            <w:pPr>
              <w:spacing w:after="80"/>
              <w:contextualSpacing/>
              <w:jc w:val="center"/>
              <w:outlineLvl w:val="1"/>
              <w:rPr>
                <w:rFonts w:ascii="宋体" w:hAnsi="宋体"/>
                <w:color w:val="auto"/>
                <w:szCs w:val="21"/>
              </w:rPr>
            </w:pPr>
            <w:r>
              <w:rPr>
                <w:rFonts w:hint="eastAsia" w:ascii="宋体" w:hAnsi="宋体" w:cs="方正仿宋_GBK"/>
                <w:color w:val="auto"/>
                <w:szCs w:val="21"/>
              </w:rPr>
              <w:t>东莞</w:t>
            </w:r>
            <w:r>
              <w:rPr>
                <w:rFonts w:hint="eastAsia" w:ascii="宋体" w:hAnsi="宋体"/>
                <w:color w:val="auto"/>
                <w:szCs w:val="21"/>
              </w:rPr>
              <w:t>地区对公业务房地产、土地、资产等抵押物评估</w:t>
            </w:r>
          </w:p>
        </w:tc>
        <w:tc>
          <w:tcPr>
            <w:tcW w:w="1084" w:type="pct"/>
            <w:vAlign w:val="center"/>
          </w:tcPr>
          <w:p>
            <w:pPr>
              <w:spacing w:after="80"/>
              <w:contextualSpacing/>
              <w:jc w:val="center"/>
              <w:outlineLvl w:val="1"/>
              <w:rPr>
                <w:rFonts w:ascii="宋体" w:hAnsi="宋体"/>
                <w:color w:val="auto"/>
                <w:kern w:val="0"/>
                <w:szCs w:val="21"/>
              </w:rPr>
            </w:pPr>
            <w:r>
              <w:rPr>
                <w:rFonts w:ascii="宋体" w:hAnsi="宋体"/>
                <w:color w:val="auto"/>
                <w:kern w:val="0"/>
                <w:szCs w:val="21"/>
              </w:rPr>
              <w:t>1-4</w:t>
            </w:r>
            <w:r>
              <w:rPr>
                <w:rFonts w:hint="eastAsia" w:ascii="宋体" w:hAnsi="宋体"/>
                <w:color w:val="auto"/>
                <w:kern w:val="0"/>
                <w:szCs w:val="21"/>
              </w:rPr>
              <w:t>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31" w:type="pct"/>
            <w:vAlign w:val="center"/>
          </w:tcPr>
          <w:p>
            <w:pPr>
              <w:spacing w:after="80"/>
              <w:contextualSpacing/>
              <w:jc w:val="center"/>
              <w:outlineLvl w:val="1"/>
              <w:rPr>
                <w:rFonts w:ascii="宋体" w:hAnsi="宋体"/>
                <w:color w:val="auto"/>
                <w:szCs w:val="21"/>
              </w:rPr>
            </w:pPr>
            <w:r>
              <w:rPr>
                <w:rFonts w:ascii="宋体" w:hAnsi="宋体"/>
                <w:color w:val="auto"/>
                <w:szCs w:val="21"/>
              </w:rPr>
              <w:t>5</w:t>
            </w:r>
          </w:p>
        </w:tc>
        <w:tc>
          <w:tcPr>
            <w:tcW w:w="3285" w:type="pct"/>
            <w:vAlign w:val="center"/>
          </w:tcPr>
          <w:p>
            <w:pPr>
              <w:spacing w:after="80"/>
              <w:contextualSpacing/>
              <w:jc w:val="center"/>
              <w:outlineLvl w:val="1"/>
              <w:rPr>
                <w:rFonts w:ascii="宋体" w:hAnsi="宋体"/>
                <w:color w:val="auto"/>
                <w:szCs w:val="21"/>
              </w:rPr>
            </w:pPr>
            <w:r>
              <w:rPr>
                <w:rFonts w:hint="eastAsia" w:ascii="宋体" w:hAnsi="宋体" w:cs="方正仿宋_GBK"/>
                <w:color w:val="auto"/>
                <w:szCs w:val="21"/>
              </w:rPr>
              <w:t>江门</w:t>
            </w:r>
            <w:r>
              <w:rPr>
                <w:rFonts w:hint="eastAsia" w:ascii="宋体" w:hAnsi="宋体"/>
                <w:color w:val="auto"/>
                <w:szCs w:val="21"/>
              </w:rPr>
              <w:t>地区对公业务房地产、土地、资产等抵押物评估</w:t>
            </w:r>
          </w:p>
        </w:tc>
        <w:tc>
          <w:tcPr>
            <w:tcW w:w="1084" w:type="pct"/>
            <w:vAlign w:val="center"/>
          </w:tcPr>
          <w:p>
            <w:pPr>
              <w:spacing w:after="80"/>
              <w:contextualSpacing/>
              <w:jc w:val="center"/>
              <w:outlineLvl w:val="1"/>
              <w:rPr>
                <w:rFonts w:ascii="宋体" w:hAnsi="宋体"/>
                <w:color w:val="auto"/>
                <w:kern w:val="0"/>
                <w:szCs w:val="21"/>
              </w:rPr>
            </w:pPr>
            <w:r>
              <w:rPr>
                <w:rFonts w:ascii="宋体" w:hAnsi="宋体"/>
                <w:color w:val="auto"/>
                <w:kern w:val="0"/>
                <w:szCs w:val="21"/>
              </w:rPr>
              <w:t>1-4</w:t>
            </w:r>
            <w:r>
              <w:rPr>
                <w:rFonts w:hint="eastAsia" w:ascii="宋体" w:hAnsi="宋体"/>
                <w:color w:val="auto"/>
                <w:kern w:val="0"/>
                <w:szCs w:val="21"/>
              </w:rPr>
              <w:t>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31" w:type="pct"/>
            <w:vAlign w:val="center"/>
          </w:tcPr>
          <w:p>
            <w:pPr>
              <w:spacing w:after="80"/>
              <w:contextualSpacing/>
              <w:jc w:val="center"/>
              <w:outlineLvl w:val="1"/>
              <w:rPr>
                <w:rFonts w:ascii="宋体" w:hAnsi="宋体"/>
                <w:color w:val="auto"/>
                <w:szCs w:val="21"/>
              </w:rPr>
            </w:pPr>
            <w:r>
              <w:rPr>
                <w:rFonts w:ascii="宋体" w:hAnsi="宋体"/>
                <w:color w:val="auto"/>
                <w:szCs w:val="21"/>
              </w:rPr>
              <w:t>6</w:t>
            </w:r>
          </w:p>
        </w:tc>
        <w:tc>
          <w:tcPr>
            <w:tcW w:w="3285" w:type="pct"/>
            <w:vAlign w:val="center"/>
          </w:tcPr>
          <w:p>
            <w:pPr>
              <w:spacing w:after="80"/>
              <w:contextualSpacing/>
              <w:jc w:val="center"/>
              <w:outlineLvl w:val="1"/>
              <w:rPr>
                <w:rFonts w:ascii="宋体" w:hAnsi="宋体"/>
                <w:color w:val="auto"/>
                <w:szCs w:val="21"/>
              </w:rPr>
            </w:pPr>
            <w:r>
              <w:rPr>
                <w:rFonts w:hint="eastAsia" w:ascii="宋体" w:hAnsi="宋体" w:cs="方正仿宋_GBK"/>
                <w:color w:val="auto"/>
                <w:szCs w:val="21"/>
              </w:rPr>
              <w:t>惠州</w:t>
            </w:r>
            <w:r>
              <w:rPr>
                <w:rFonts w:hint="eastAsia" w:ascii="宋体" w:hAnsi="宋体"/>
                <w:color w:val="auto"/>
                <w:szCs w:val="21"/>
              </w:rPr>
              <w:t>地区对公业务房地产、土地、资产等抵押物评估</w:t>
            </w:r>
          </w:p>
        </w:tc>
        <w:tc>
          <w:tcPr>
            <w:tcW w:w="1084" w:type="pct"/>
            <w:vAlign w:val="center"/>
          </w:tcPr>
          <w:p>
            <w:pPr>
              <w:spacing w:after="80"/>
              <w:contextualSpacing/>
              <w:jc w:val="center"/>
              <w:outlineLvl w:val="1"/>
              <w:rPr>
                <w:rFonts w:ascii="宋体" w:hAnsi="宋体"/>
                <w:color w:val="auto"/>
                <w:kern w:val="0"/>
                <w:szCs w:val="21"/>
              </w:rPr>
            </w:pPr>
            <w:r>
              <w:rPr>
                <w:rFonts w:ascii="宋体" w:hAnsi="宋体"/>
                <w:color w:val="auto"/>
                <w:kern w:val="0"/>
                <w:szCs w:val="21"/>
              </w:rPr>
              <w:t>1-4</w:t>
            </w:r>
            <w:r>
              <w:rPr>
                <w:rFonts w:hint="eastAsia" w:ascii="宋体" w:hAnsi="宋体"/>
                <w:color w:val="auto"/>
                <w:kern w:val="0"/>
                <w:szCs w:val="21"/>
              </w:rPr>
              <w:t>家</w:t>
            </w:r>
          </w:p>
        </w:tc>
      </w:tr>
    </w:tbl>
    <w:p>
      <w:pPr>
        <w:widowControl/>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注：各标段可以兼投。供应商若投标多个标段的，则按标段顺序中标，全部标段最多中标3个标段。若已按照标段顺序中标3个标段，则不再选用，由得分排名的下一名替补。</w:t>
      </w:r>
    </w:p>
    <w:p>
      <w:pPr>
        <w:widowControl/>
        <w:spacing w:before="240" w:beforeLines="100" w:line="360" w:lineRule="auto"/>
        <w:ind w:firstLine="422" w:firstLineChars="200"/>
        <w:rPr>
          <w:rFonts w:ascii="宋体" w:hAnsi="宋体" w:cs="宋体"/>
          <w:b/>
          <w:bCs/>
          <w:color w:val="auto"/>
          <w:kern w:val="0"/>
          <w:szCs w:val="21"/>
        </w:rPr>
      </w:pPr>
      <w:r>
        <w:rPr>
          <w:rFonts w:hint="eastAsia" w:ascii="宋体" w:hAnsi="宋体" w:cs="宋体"/>
          <w:b/>
          <w:bCs/>
          <w:color w:val="auto"/>
          <w:kern w:val="0"/>
          <w:szCs w:val="21"/>
        </w:rPr>
        <w:t>三、采购方式：公开招标</w:t>
      </w:r>
    </w:p>
    <w:p>
      <w:pPr>
        <w:widowControl/>
        <w:spacing w:line="360" w:lineRule="auto"/>
        <w:ind w:firstLine="422" w:firstLineChars="200"/>
        <w:rPr>
          <w:rFonts w:ascii="宋体" w:hAnsi="宋体" w:cs="宋体"/>
          <w:b/>
          <w:bCs/>
          <w:color w:val="auto"/>
          <w:kern w:val="0"/>
          <w:szCs w:val="21"/>
        </w:rPr>
      </w:pPr>
      <w:r>
        <w:rPr>
          <w:rFonts w:hint="eastAsia" w:ascii="宋体" w:hAnsi="宋体" w:cs="宋体"/>
          <w:b/>
          <w:bCs/>
          <w:color w:val="auto"/>
          <w:kern w:val="0"/>
          <w:szCs w:val="21"/>
        </w:rPr>
        <w:t>四、投标人的资格条件</w:t>
      </w:r>
    </w:p>
    <w:p>
      <w:pPr>
        <w:pStyle w:val="11"/>
        <w:tabs>
          <w:tab w:val="left" w:pos="851"/>
          <w:tab w:val="left" w:pos="1276"/>
        </w:tabs>
        <w:spacing w:before="120" w:line="360" w:lineRule="auto"/>
        <w:ind w:firstLine="420" w:firstLineChars="200"/>
        <w:rPr>
          <w:color w:val="auto"/>
        </w:rPr>
      </w:pPr>
      <w:r>
        <w:rPr>
          <w:rFonts w:hint="eastAsia"/>
          <w:color w:val="auto"/>
        </w:rPr>
        <w:t>1</w:t>
      </w:r>
      <w:r>
        <w:rPr>
          <w:color w:val="auto"/>
        </w:rPr>
        <w:t xml:space="preserve">. </w:t>
      </w:r>
      <w:r>
        <w:rPr>
          <w:rFonts w:hint="eastAsia"/>
          <w:color w:val="auto"/>
        </w:rPr>
        <w:t>供应商在中华人民共和国境内注册，具有独立法人资格【提供营业执照扫描件】；</w:t>
      </w:r>
    </w:p>
    <w:p>
      <w:pPr>
        <w:pStyle w:val="11"/>
        <w:tabs>
          <w:tab w:val="left" w:pos="851"/>
          <w:tab w:val="left" w:pos="1276"/>
        </w:tabs>
        <w:spacing w:before="120" w:line="360" w:lineRule="auto"/>
        <w:ind w:firstLine="420" w:firstLineChars="200"/>
        <w:rPr>
          <w:color w:val="auto"/>
        </w:rPr>
      </w:pPr>
      <w:r>
        <w:rPr>
          <w:rFonts w:hint="eastAsia"/>
          <w:color w:val="auto"/>
        </w:rPr>
        <w:t>2</w:t>
      </w:r>
      <w:r>
        <w:rPr>
          <w:color w:val="auto"/>
        </w:rPr>
        <w:t>.</w:t>
      </w:r>
      <w:r>
        <w:rPr>
          <w:rFonts w:hint="eastAsia"/>
          <w:color w:val="auto"/>
        </w:rPr>
        <w:t xml:space="preserve"> 投标人未被“中国执行信息公开网”（https://zxgk.court.gov.cn/shixin/）列入失信被执行人、未被“信用中国”（https://www.creditchina.gov.cn）列入重大税收违法失信主体、未被“中国政府采购网”（https://www.ccgp.gov.cn）列入政府采购严重违法失信行为记录名单、未被“国家企业信用信息公示系统”（https://www.gsxt.gov.cn/index.html）列入严重违法失信企业名单。（以招标代理机构于投标（响应）截止时间当天在上述网站查询结果为准，如相关失信记录已失效，供应商须提供相关证明资料）；</w:t>
      </w:r>
    </w:p>
    <w:p>
      <w:pPr>
        <w:pStyle w:val="11"/>
        <w:tabs>
          <w:tab w:val="left" w:pos="851"/>
          <w:tab w:val="left" w:pos="1276"/>
        </w:tabs>
        <w:spacing w:before="120" w:line="360" w:lineRule="auto"/>
        <w:ind w:firstLine="420" w:firstLineChars="200"/>
        <w:rPr>
          <w:color w:val="auto"/>
        </w:rPr>
      </w:pPr>
      <w:r>
        <w:rPr>
          <w:rFonts w:hint="eastAsia"/>
          <w:color w:val="auto"/>
        </w:rPr>
        <w:t>3</w:t>
      </w:r>
      <w:r>
        <w:rPr>
          <w:color w:val="auto"/>
        </w:rPr>
        <w:t>.</w:t>
      </w:r>
      <w:r>
        <w:rPr>
          <w:rFonts w:hint="eastAsia"/>
          <w:color w:val="auto"/>
        </w:rPr>
        <w:t xml:space="preserve"> 供应商参加招标活动前三年内（新成立不满三年的公司自成立之日起算）在经营活动中没有重大违法记录；【提供没有重大违法记录承诺函】；</w:t>
      </w:r>
    </w:p>
    <w:p>
      <w:pPr>
        <w:pStyle w:val="11"/>
        <w:tabs>
          <w:tab w:val="left" w:pos="851"/>
          <w:tab w:val="left" w:pos="1276"/>
        </w:tabs>
        <w:spacing w:before="120" w:line="360" w:lineRule="auto"/>
        <w:ind w:firstLine="420" w:firstLineChars="200"/>
        <w:rPr>
          <w:color w:val="auto"/>
        </w:rPr>
      </w:pPr>
      <w:r>
        <w:rPr>
          <w:rFonts w:hint="eastAsia"/>
          <w:color w:val="auto"/>
        </w:rPr>
        <w:t>4</w:t>
      </w:r>
      <w:r>
        <w:rPr>
          <w:color w:val="auto"/>
        </w:rPr>
        <w:t xml:space="preserve">. </w:t>
      </w:r>
      <w:r>
        <w:rPr>
          <w:rFonts w:hint="eastAsia"/>
          <w:color w:val="auto"/>
        </w:rPr>
        <w:t>单位负责人为同一人或者存在控股、管理关系的不同供应商，不得参加同一项目标段项下的投标活动；</w:t>
      </w:r>
    </w:p>
    <w:p>
      <w:pPr>
        <w:pStyle w:val="11"/>
        <w:tabs>
          <w:tab w:val="left" w:pos="851"/>
          <w:tab w:val="left" w:pos="1276"/>
        </w:tabs>
        <w:spacing w:before="120" w:line="360" w:lineRule="auto"/>
        <w:ind w:firstLine="420" w:firstLineChars="200"/>
        <w:rPr>
          <w:color w:val="auto"/>
        </w:rPr>
      </w:pPr>
      <w:r>
        <w:rPr>
          <w:rFonts w:hint="eastAsia"/>
          <w:color w:val="auto"/>
        </w:rPr>
        <w:t>5.</w:t>
      </w:r>
      <w:r>
        <w:rPr>
          <w:color w:val="auto"/>
        </w:rPr>
        <w:t xml:space="preserve"> </w:t>
      </w:r>
      <w:r>
        <w:rPr>
          <w:rFonts w:hint="eastAsia"/>
          <w:color w:val="auto"/>
        </w:rPr>
        <w:t>本项目的特定资格条件；</w:t>
      </w:r>
    </w:p>
    <w:p>
      <w:pPr>
        <w:pStyle w:val="11"/>
        <w:tabs>
          <w:tab w:val="left" w:pos="851"/>
          <w:tab w:val="left" w:pos="1276"/>
        </w:tabs>
        <w:spacing w:before="120" w:line="360" w:lineRule="auto"/>
        <w:ind w:firstLine="420" w:firstLineChars="200"/>
        <w:rPr>
          <w:color w:val="auto"/>
        </w:rPr>
      </w:pPr>
      <w:r>
        <w:rPr>
          <w:rFonts w:hint="eastAsia"/>
          <w:color w:val="auto"/>
        </w:rPr>
        <w:t>投标人须同时具备有效的以下资格证明：</w:t>
      </w:r>
    </w:p>
    <w:p>
      <w:pPr>
        <w:pStyle w:val="11"/>
        <w:tabs>
          <w:tab w:val="left" w:pos="851"/>
          <w:tab w:val="left" w:pos="1276"/>
        </w:tabs>
        <w:spacing w:before="120" w:line="360" w:lineRule="auto"/>
        <w:ind w:firstLine="420" w:firstLineChars="200"/>
        <w:rPr>
          <w:color w:val="auto"/>
        </w:rPr>
      </w:pPr>
      <w:r>
        <w:rPr>
          <w:rFonts w:hint="eastAsia"/>
          <w:color w:val="auto"/>
        </w:rPr>
        <w:t>1）住房和城乡建设部门出具的房地产估价机构备案证书二级或以上；</w:t>
      </w:r>
    </w:p>
    <w:p>
      <w:pPr>
        <w:pStyle w:val="11"/>
        <w:tabs>
          <w:tab w:val="left" w:pos="851"/>
          <w:tab w:val="left" w:pos="1276"/>
        </w:tabs>
        <w:spacing w:before="120" w:line="360" w:lineRule="auto"/>
        <w:ind w:firstLine="420" w:firstLineChars="200"/>
        <w:rPr>
          <w:color w:val="auto"/>
        </w:rPr>
      </w:pPr>
      <w:r>
        <w:rPr>
          <w:rFonts w:hint="eastAsia"/>
          <w:color w:val="auto"/>
        </w:rPr>
        <w:t>2）自然资源管理部门出具的土地估价机构备案函或备案证明；</w:t>
      </w:r>
    </w:p>
    <w:p>
      <w:pPr>
        <w:pStyle w:val="11"/>
        <w:tabs>
          <w:tab w:val="left" w:pos="851"/>
          <w:tab w:val="left" w:pos="1276"/>
        </w:tabs>
        <w:spacing w:before="120" w:line="360" w:lineRule="auto"/>
        <w:ind w:firstLine="420" w:firstLineChars="200"/>
        <w:rPr>
          <w:color w:val="auto"/>
        </w:rPr>
      </w:pPr>
      <w:r>
        <w:rPr>
          <w:rFonts w:hint="eastAsia"/>
          <w:color w:val="auto"/>
        </w:rPr>
        <w:t>3）财政管理部门出具的资产评估机构的登记备案公告。</w:t>
      </w:r>
    </w:p>
    <w:p>
      <w:pPr>
        <w:pStyle w:val="11"/>
        <w:tabs>
          <w:tab w:val="left" w:pos="851"/>
          <w:tab w:val="left" w:pos="1276"/>
        </w:tabs>
        <w:spacing w:before="120" w:line="360" w:lineRule="auto"/>
        <w:ind w:firstLine="420" w:firstLineChars="200"/>
        <w:rPr>
          <w:color w:val="auto"/>
        </w:rPr>
      </w:pPr>
      <w:r>
        <w:rPr>
          <w:rFonts w:hint="eastAsia"/>
          <w:color w:val="auto"/>
        </w:rPr>
        <w:t>6. 本次招标不接受联合体投标。</w:t>
      </w:r>
    </w:p>
    <w:p>
      <w:pPr>
        <w:widowControl/>
        <w:spacing w:line="360" w:lineRule="auto"/>
        <w:ind w:firstLine="422" w:firstLineChars="200"/>
        <w:rPr>
          <w:rFonts w:ascii="宋体" w:hAnsi="宋体" w:cs="宋体"/>
          <w:b/>
          <w:bCs/>
          <w:color w:val="auto"/>
          <w:kern w:val="0"/>
          <w:szCs w:val="21"/>
        </w:rPr>
      </w:pPr>
      <w:r>
        <w:rPr>
          <w:rFonts w:hint="eastAsia" w:ascii="宋体" w:hAnsi="宋体" w:cs="宋体"/>
          <w:b/>
          <w:bCs/>
          <w:color w:val="auto"/>
          <w:kern w:val="0"/>
          <w:szCs w:val="21"/>
        </w:rPr>
        <w:t>五、获取（下载）招标文件</w:t>
      </w:r>
    </w:p>
    <w:p>
      <w:pPr>
        <w:widowControl/>
        <w:spacing w:line="360" w:lineRule="auto"/>
        <w:ind w:firstLine="422" w:firstLineChars="200"/>
        <w:rPr>
          <w:rFonts w:ascii="宋体" w:hAnsi="宋体" w:cs="宋体"/>
          <w:bCs/>
          <w:color w:val="auto"/>
          <w:kern w:val="0"/>
          <w:szCs w:val="21"/>
        </w:rPr>
      </w:pPr>
      <w:r>
        <w:rPr>
          <w:rFonts w:hint="eastAsia" w:ascii="宋体" w:hAnsi="宋体" w:cs="宋体"/>
          <w:b/>
          <w:bCs/>
          <w:color w:val="auto"/>
          <w:kern w:val="0"/>
          <w:szCs w:val="21"/>
        </w:rPr>
        <w:t>1.时间：</w:t>
      </w:r>
      <w:r>
        <w:rPr>
          <w:rFonts w:hint="eastAsia" w:ascii="宋体" w:hAnsi="宋体" w:cs="宋体"/>
          <w:color w:val="auto"/>
          <w:kern w:val="0"/>
          <w:szCs w:val="21"/>
        </w:rPr>
        <w:t>202</w:t>
      </w:r>
      <w:r>
        <w:rPr>
          <w:rFonts w:ascii="宋体" w:hAnsi="宋体" w:cs="宋体"/>
          <w:color w:val="auto"/>
          <w:kern w:val="0"/>
          <w:szCs w:val="21"/>
        </w:rPr>
        <w:t>5</w:t>
      </w:r>
      <w:r>
        <w:rPr>
          <w:rFonts w:hint="eastAsia" w:ascii="宋体" w:hAnsi="宋体" w:cs="宋体"/>
          <w:color w:val="auto"/>
          <w:kern w:val="0"/>
          <w:szCs w:val="21"/>
        </w:rPr>
        <w:t>年6月</w:t>
      </w:r>
      <w:r>
        <w:rPr>
          <w:rFonts w:hint="eastAsia" w:ascii="宋体" w:hAnsi="宋体" w:cs="宋体"/>
          <w:color w:val="auto"/>
          <w:kern w:val="0"/>
          <w:szCs w:val="21"/>
          <w:lang w:val="en-US" w:eastAsia="zh-CN"/>
        </w:rPr>
        <w:t>12</w:t>
      </w:r>
      <w:r>
        <w:rPr>
          <w:rFonts w:hint="eastAsia" w:ascii="宋体" w:hAnsi="宋体" w:cs="宋体"/>
          <w:color w:val="auto"/>
          <w:kern w:val="0"/>
          <w:szCs w:val="21"/>
        </w:rPr>
        <w:t>日至202</w:t>
      </w:r>
      <w:r>
        <w:rPr>
          <w:rFonts w:ascii="宋体" w:hAnsi="宋体" w:cs="宋体"/>
          <w:color w:val="auto"/>
          <w:kern w:val="0"/>
          <w:szCs w:val="21"/>
        </w:rPr>
        <w:t>5</w:t>
      </w:r>
      <w:r>
        <w:rPr>
          <w:rFonts w:hint="eastAsia" w:ascii="宋体" w:hAnsi="宋体" w:cs="宋体"/>
          <w:color w:val="auto"/>
          <w:kern w:val="0"/>
          <w:szCs w:val="21"/>
        </w:rPr>
        <w:t>年6月</w:t>
      </w:r>
      <w:r>
        <w:rPr>
          <w:rFonts w:hint="eastAsia" w:ascii="宋体" w:hAnsi="宋体" w:cs="宋体"/>
          <w:color w:val="auto"/>
          <w:kern w:val="0"/>
          <w:szCs w:val="21"/>
          <w:lang w:val="en-US" w:eastAsia="zh-CN"/>
        </w:rPr>
        <w:t>18</w:t>
      </w:r>
      <w:r>
        <w:rPr>
          <w:rFonts w:hint="eastAsia" w:ascii="宋体" w:hAnsi="宋体" w:cs="宋体"/>
          <w:color w:val="auto"/>
          <w:kern w:val="0"/>
          <w:szCs w:val="21"/>
        </w:rPr>
        <w:t>日，每天上午</w:t>
      </w:r>
      <w:r>
        <w:rPr>
          <w:rFonts w:ascii="宋体" w:hAnsi="宋体" w:cs="宋体"/>
          <w:color w:val="auto"/>
          <w:kern w:val="0"/>
          <w:szCs w:val="21"/>
        </w:rPr>
        <w:t>9</w:t>
      </w:r>
      <w:r>
        <w:rPr>
          <w:rFonts w:hint="eastAsia" w:ascii="宋体" w:hAnsi="宋体" w:cs="宋体"/>
          <w:color w:val="auto"/>
          <w:kern w:val="0"/>
          <w:szCs w:val="21"/>
        </w:rPr>
        <w:t>:00至12:00 ，下午</w:t>
      </w:r>
      <w:r>
        <w:rPr>
          <w:rFonts w:ascii="宋体" w:hAnsi="宋体" w:cs="宋体"/>
          <w:color w:val="auto"/>
          <w:kern w:val="0"/>
          <w:szCs w:val="21"/>
        </w:rPr>
        <w:t>14</w:t>
      </w:r>
      <w:r>
        <w:rPr>
          <w:rFonts w:hint="eastAsia" w:ascii="宋体" w:hAnsi="宋体" w:cs="宋体"/>
          <w:color w:val="auto"/>
          <w:kern w:val="0"/>
          <w:szCs w:val="21"/>
        </w:rPr>
        <w:t>:</w:t>
      </w:r>
      <w:r>
        <w:rPr>
          <w:rFonts w:ascii="宋体" w:hAnsi="宋体" w:cs="宋体"/>
          <w:color w:val="auto"/>
          <w:kern w:val="0"/>
          <w:szCs w:val="21"/>
        </w:rPr>
        <w:t>0</w:t>
      </w:r>
      <w:r>
        <w:rPr>
          <w:rFonts w:hint="eastAsia" w:ascii="宋体" w:hAnsi="宋体" w:cs="宋体"/>
          <w:color w:val="auto"/>
          <w:kern w:val="0"/>
          <w:szCs w:val="21"/>
        </w:rPr>
        <w:t>0至</w:t>
      </w:r>
      <w:r>
        <w:rPr>
          <w:rFonts w:ascii="宋体" w:hAnsi="宋体" w:cs="宋体"/>
          <w:color w:val="auto"/>
          <w:kern w:val="0"/>
          <w:szCs w:val="21"/>
        </w:rPr>
        <w:t>17</w:t>
      </w:r>
      <w:r>
        <w:rPr>
          <w:rFonts w:hint="eastAsia" w:ascii="宋体" w:hAnsi="宋体" w:cs="宋体"/>
          <w:color w:val="auto"/>
          <w:kern w:val="0"/>
          <w:szCs w:val="21"/>
        </w:rPr>
        <w:t>:</w:t>
      </w:r>
      <w:r>
        <w:rPr>
          <w:rFonts w:ascii="宋体" w:hAnsi="宋体" w:cs="宋体"/>
          <w:color w:val="auto"/>
          <w:kern w:val="0"/>
          <w:szCs w:val="21"/>
        </w:rPr>
        <w:t>30</w:t>
      </w:r>
      <w:r>
        <w:rPr>
          <w:rFonts w:hint="eastAsia" w:ascii="宋体" w:hAnsi="宋体" w:cs="宋体"/>
          <w:color w:val="auto"/>
          <w:kern w:val="0"/>
          <w:szCs w:val="21"/>
        </w:rPr>
        <w:t>（北京时间，线上审核后获取）</w:t>
      </w:r>
      <w:bookmarkStart w:id="8" w:name="_GoBack"/>
      <w:bookmarkEnd w:id="8"/>
    </w:p>
    <w:p>
      <w:pPr>
        <w:pStyle w:val="11"/>
        <w:tabs>
          <w:tab w:val="left" w:pos="851"/>
          <w:tab w:val="left" w:pos="1276"/>
        </w:tabs>
        <w:spacing w:before="120" w:line="360" w:lineRule="auto"/>
        <w:ind w:firstLine="422" w:firstLineChars="200"/>
        <w:rPr>
          <w:color w:val="auto"/>
        </w:rPr>
      </w:pPr>
      <w:r>
        <w:rPr>
          <w:rFonts w:ascii="宋体" w:hAnsi="宋体" w:cs="宋体"/>
          <w:b/>
          <w:bCs/>
          <w:color w:val="auto"/>
          <w:kern w:val="0"/>
          <w:szCs w:val="21"/>
        </w:rPr>
        <w:t>2</w:t>
      </w:r>
      <w:r>
        <w:rPr>
          <w:rFonts w:hint="eastAsia" w:ascii="宋体" w:hAnsi="宋体" w:cs="宋体"/>
          <w:b/>
          <w:bCs/>
          <w:color w:val="auto"/>
          <w:kern w:val="0"/>
          <w:szCs w:val="21"/>
        </w:rPr>
        <w:t>.方式：</w:t>
      </w:r>
      <w:r>
        <w:rPr>
          <w:rFonts w:hint="eastAsia"/>
          <w:color w:val="auto"/>
        </w:rPr>
        <w:t>投标人将填写好的《领取采购文件供应商登记表》及营业执照复印件、法定代表人证明书或法定代表人授权委托书盖章扫描后发送至电子邮箱（williamlee@gdzefu.com）并缴纳标书款，缴费审核通过后即为报名成功。</w:t>
      </w:r>
    </w:p>
    <w:p>
      <w:pPr>
        <w:pStyle w:val="11"/>
        <w:tabs>
          <w:tab w:val="left" w:pos="851"/>
          <w:tab w:val="left" w:pos="1276"/>
        </w:tabs>
        <w:spacing w:before="120" w:line="360" w:lineRule="auto"/>
        <w:ind w:firstLine="420" w:firstLineChars="200"/>
        <w:rPr>
          <w:color w:val="auto"/>
        </w:rPr>
      </w:pPr>
      <w:r>
        <w:rPr>
          <w:rFonts w:hint="eastAsia"/>
          <w:color w:val="auto"/>
        </w:rPr>
        <w:t>（1）领取采购文件供应商登记表（加盖公章，下载地址：https://www.gdzefu.com/download）；</w:t>
      </w:r>
    </w:p>
    <w:p>
      <w:pPr>
        <w:pStyle w:val="11"/>
        <w:tabs>
          <w:tab w:val="left" w:pos="851"/>
          <w:tab w:val="left" w:pos="1276"/>
        </w:tabs>
        <w:spacing w:before="120" w:line="360" w:lineRule="auto"/>
        <w:ind w:firstLine="420" w:firstLineChars="200"/>
        <w:rPr>
          <w:color w:val="auto"/>
        </w:rPr>
      </w:pPr>
      <w:r>
        <w:rPr>
          <w:rFonts w:hint="eastAsia"/>
          <w:color w:val="auto"/>
        </w:rPr>
        <w:t>（2）营业执照复印件（加盖公章）；</w:t>
      </w:r>
    </w:p>
    <w:p>
      <w:pPr>
        <w:pStyle w:val="11"/>
        <w:tabs>
          <w:tab w:val="left" w:pos="851"/>
          <w:tab w:val="left" w:pos="1276"/>
        </w:tabs>
        <w:spacing w:before="120" w:line="360" w:lineRule="auto"/>
        <w:ind w:firstLine="420" w:firstLineChars="200"/>
        <w:rPr>
          <w:color w:val="auto"/>
        </w:rPr>
      </w:pPr>
      <w:r>
        <w:rPr>
          <w:rFonts w:hint="eastAsia"/>
          <w:color w:val="auto"/>
        </w:rPr>
        <w:t>（3）法定代表人证明书或法定代表人授权委托书（加盖公章）；</w:t>
      </w:r>
    </w:p>
    <w:p>
      <w:pPr>
        <w:pStyle w:val="11"/>
        <w:tabs>
          <w:tab w:val="left" w:pos="851"/>
          <w:tab w:val="left" w:pos="1276"/>
        </w:tabs>
        <w:spacing w:before="120" w:line="360" w:lineRule="auto"/>
        <w:ind w:firstLine="420" w:firstLineChars="200"/>
        <w:rPr>
          <w:color w:val="auto"/>
        </w:rPr>
      </w:pPr>
      <w:r>
        <w:rPr>
          <w:rFonts w:hint="eastAsia"/>
          <w:color w:val="auto"/>
        </w:rPr>
        <w:t>（</w:t>
      </w:r>
      <w:r>
        <w:rPr>
          <w:color w:val="auto"/>
        </w:rPr>
        <w:t>4</w:t>
      </w:r>
      <w:r>
        <w:rPr>
          <w:rFonts w:hint="eastAsia"/>
          <w:color w:val="auto"/>
        </w:rPr>
        <w:t>）缴费完成的电汇底单。</w:t>
      </w:r>
    </w:p>
    <w:p>
      <w:pPr>
        <w:pStyle w:val="11"/>
        <w:tabs>
          <w:tab w:val="left" w:pos="851"/>
          <w:tab w:val="left" w:pos="1276"/>
        </w:tabs>
        <w:spacing w:before="120" w:line="360" w:lineRule="auto"/>
        <w:ind w:firstLine="422" w:firstLineChars="200"/>
        <w:rPr>
          <w:color w:val="auto"/>
        </w:rPr>
      </w:pPr>
      <w:r>
        <w:rPr>
          <w:b/>
          <w:bCs/>
          <w:color w:val="auto"/>
        </w:rPr>
        <w:t>3.</w:t>
      </w:r>
      <w:r>
        <w:rPr>
          <w:rFonts w:hint="eastAsia"/>
          <w:b/>
          <w:bCs/>
          <w:color w:val="auto"/>
        </w:rPr>
        <w:t>售价：人民币</w:t>
      </w:r>
      <w:r>
        <w:rPr>
          <w:b/>
          <w:bCs/>
          <w:color w:val="auto"/>
        </w:rPr>
        <w:t>500</w:t>
      </w:r>
      <w:r>
        <w:rPr>
          <w:rFonts w:hint="eastAsia"/>
          <w:b/>
          <w:bCs/>
          <w:color w:val="auto"/>
        </w:rPr>
        <w:t>元/标段（售后不退）。</w:t>
      </w:r>
    </w:p>
    <w:p>
      <w:pPr>
        <w:pStyle w:val="11"/>
        <w:tabs>
          <w:tab w:val="left" w:pos="851"/>
          <w:tab w:val="left" w:pos="1276"/>
        </w:tabs>
        <w:spacing w:before="120" w:line="360" w:lineRule="auto"/>
        <w:ind w:firstLine="422" w:firstLineChars="200"/>
        <w:rPr>
          <w:b/>
          <w:bCs/>
          <w:color w:val="auto"/>
        </w:rPr>
      </w:pPr>
      <w:r>
        <w:rPr>
          <w:b/>
          <w:bCs/>
          <w:color w:val="auto"/>
        </w:rPr>
        <w:t>4.</w:t>
      </w:r>
      <w:r>
        <w:rPr>
          <w:rFonts w:hint="eastAsia"/>
          <w:b/>
          <w:bCs/>
          <w:color w:val="auto"/>
        </w:rPr>
        <w:t>获取招标文件请汇款至以下账户：</w:t>
      </w:r>
    </w:p>
    <w:p>
      <w:pPr>
        <w:pStyle w:val="11"/>
        <w:tabs>
          <w:tab w:val="left" w:pos="851"/>
          <w:tab w:val="left" w:pos="1276"/>
        </w:tabs>
        <w:spacing w:before="120" w:line="360" w:lineRule="auto"/>
        <w:ind w:firstLine="420" w:firstLineChars="200"/>
        <w:rPr>
          <w:color w:val="auto"/>
        </w:rPr>
      </w:pPr>
      <w:r>
        <w:rPr>
          <w:rFonts w:hint="eastAsia"/>
          <w:color w:val="auto"/>
        </w:rPr>
        <w:t>户  名：广东泽福管理咨询有限公司</w:t>
      </w:r>
    </w:p>
    <w:p>
      <w:pPr>
        <w:pStyle w:val="11"/>
        <w:tabs>
          <w:tab w:val="left" w:pos="851"/>
          <w:tab w:val="left" w:pos="1276"/>
        </w:tabs>
        <w:spacing w:before="120" w:line="360" w:lineRule="auto"/>
        <w:ind w:firstLine="420" w:firstLineChars="200"/>
        <w:rPr>
          <w:color w:val="auto"/>
        </w:rPr>
      </w:pPr>
      <w:r>
        <w:rPr>
          <w:rFonts w:hint="eastAsia"/>
          <w:color w:val="auto"/>
        </w:rPr>
        <w:t>开户行：兴业银行股份有限公司广州天河北支行</w:t>
      </w:r>
    </w:p>
    <w:p>
      <w:pPr>
        <w:pStyle w:val="11"/>
        <w:tabs>
          <w:tab w:val="left" w:pos="851"/>
          <w:tab w:val="left" w:pos="1276"/>
        </w:tabs>
        <w:spacing w:before="120" w:line="360" w:lineRule="auto"/>
        <w:ind w:firstLine="420" w:firstLineChars="200"/>
        <w:rPr>
          <w:color w:val="auto"/>
        </w:rPr>
      </w:pPr>
      <w:r>
        <w:rPr>
          <w:rFonts w:hint="eastAsia"/>
          <w:color w:val="auto"/>
        </w:rPr>
        <w:t>账  号：391040100100339356</w:t>
      </w:r>
    </w:p>
    <w:p>
      <w:pPr>
        <w:pStyle w:val="11"/>
        <w:tabs>
          <w:tab w:val="left" w:pos="851"/>
          <w:tab w:val="left" w:pos="1276"/>
        </w:tabs>
        <w:spacing w:before="120" w:line="360" w:lineRule="auto"/>
        <w:ind w:firstLine="420" w:firstLineChars="200"/>
        <w:rPr>
          <w:color w:val="auto"/>
        </w:rPr>
      </w:pPr>
      <w:r>
        <w:rPr>
          <w:rFonts w:hint="eastAsia"/>
          <w:color w:val="auto"/>
        </w:rPr>
        <w:t>注：汇款时并请备注项目简称。</w:t>
      </w:r>
    </w:p>
    <w:p>
      <w:pPr>
        <w:widowControl/>
        <w:spacing w:line="360" w:lineRule="auto"/>
        <w:ind w:firstLine="422" w:firstLineChars="200"/>
        <w:rPr>
          <w:rFonts w:ascii="宋体" w:hAnsi="宋体" w:cs="宋体"/>
          <w:b/>
          <w:bCs/>
          <w:color w:val="auto"/>
          <w:kern w:val="0"/>
          <w:szCs w:val="21"/>
        </w:rPr>
      </w:pPr>
      <w:r>
        <w:rPr>
          <w:rFonts w:hint="eastAsia" w:ascii="宋体" w:hAnsi="宋体" w:cs="宋体"/>
          <w:b/>
          <w:bCs/>
          <w:color w:val="auto"/>
          <w:kern w:val="0"/>
          <w:szCs w:val="21"/>
        </w:rPr>
        <w:t>六、投标截止时间和地点</w:t>
      </w:r>
    </w:p>
    <w:p>
      <w:pPr>
        <w:widowControl/>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1.时间：202</w:t>
      </w:r>
      <w:r>
        <w:rPr>
          <w:rFonts w:ascii="宋体" w:hAnsi="宋体" w:cs="宋体"/>
          <w:color w:val="auto"/>
          <w:kern w:val="0"/>
          <w:szCs w:val="21"/>
        </w:rPr>
        <w:t>5</w:t>
      </w:r>
      <w:r>
        <w:rPr>
          <w:rFonts w:hint="eastAsia" w:ascii="宋体" w:hAnsi="宋体" w:cs="宋体"/>
          <w:color w:val="auto"/>
          <w:kern w:val="0"/>
          <w:szCs w:val="21"/>
        </w:rPr>
        <w:t>年6月</w:t>
      </w:r>
      <w:r>
        <w:rPr>
          <w:rFonts w:hint="eastAsia" w:ascii="宋体" w:hAnsi="宋体" w:cs="宋体"/>
          <w:color w:val="auto"/>
          <w:kern w:val="0"/>
          <w:szCs w:val="21"/>
          <w:lang w:val="en-US" w:eastAsia="zh-CN"/>
        </w:rPr>
        <w:t>24</w:t>
      </w:r>
      <w:r>
        <w:rPr>
          <w:rFonts w:hint="eastAsia" w:ascii="宋体" w:hAnsi="宋体" w:cs="宋体"/>
          <w:color w:val="auto"/>
          <w:kern w:val="0"/>
          <w:szCs w:val="21"/>
        </w:rPr>
        <w:t>日</w:t>
      </w:r>
      <w:r>
        <w:rPr>
          <w:rFonts w:ascii="宋体" w:hAnsi="宋体" w:cs="宋体"/>
          <w:color w:val="auto"/>
          <w:kern w:val="0"/>
          <w:szCs w:val="21"/>
        </w:rPr>
        <w:t>09</w:t>
      </w:r>
      <w:r>
        <w:rPr>
          <w:rFonts w:hint="eastAsia" w:ascii="宋体" w:hAnsi="宋体" w:cs="宋体"/>
          <w:color w:val="auto"/>
          <w:kern w:val="0"/>
          <w:szCs w:val="21"/>
        </w:rPr>
        <w:t>:</w:t>
      </w:r>
      <w:r>
        <w:rPr>
          <w:rFonts w:ascii="宋体" w:hAnsi="宋体" w:cs="宋体"/>
          <w:color w:val="auto"/>
          <w:kern w:val="0"/>
          <w:szCs w:val="21"/>
        </w:rPr>
        <w:t>30</w:t>
      </w:r>
      <w:r>
        <w:rPr>
          <w:rFonts w:hint="eastAsia" w:ascii="宋体" w:hAnsi="宋体" w:cs="宋体"/>
          <w:color w:val="auto"/>
          <w:kern w:val="0"/>
          <w:szCs w:val="21"/>
        </w:rPr>
        <w:t>:</w:t>
      </w:r>
      <w:r>
        <w:rPr>
          <w:rFonts w:ascii="宋体" w:hAnsi="宋体" w:cs="宋体"/>
          <w:color w:val="auto"/>
          <w:kern w:val="0"/>
          <w:szCs w:val="21"/>
        </w:rPr>
        <w:t>00</w:t>
      </w:r>
      <w:r>
        <w:rPr>
          <w:rFonts w:hint="eastAsia" w:ascii="宋体" w:hAnsi="宋体" w:cs="宋体"/>
          <w:color w:val="auto"/>
          <w:kern w:val="0"/>
          <w:szCs w:val="21"/>
        </w:rPr>
        <w:t>（北京时间）</w:t>
      </w:r>
    </w:p>
    <w:p>
      <w:pPr>
        <w:widowControl/>
        <w:spacing w:line="360" w:lineRule="auto"/>
        <w:ind w:firstLine="420" w:firstLineChars="200"/>
        <w:rPr>
          <w:rStyle w:val="10"/>
          <w:rFonts w:ascii="宋体" w:hAnsi="宋体" w:cs="宋体"/>
          <w:color w:val="auto"/>
          <w:kern w:val="0"/>
          <w:szCs w:val="21"/>
        </w:rPr>
      </w:pPr>
      <w:r>
        <w:rPr>
          <w:rFonts w:hint="eastAsia" w:ascii="宋体" w:hAnsi="宋体" w:cs="宋体"/>
          <w:color w:val="auto"/>
          <w:kern w:val="0"/>
          <w:szCs w:val="21"/>
        </w:rPr>
        <w:t>2.地点：广州市天河区天河北路663号大院6号楼1楼会议室</w:t>
      </w:r>
    </w:p>
    <w:p>
      <w:pPr>
        <w:widowControl/>
        <w:spacing w:line="360" w:lineRule="auto"/>
        <w:ind w:firstLine="422" w:firstLineChars="200"/>
        <w:rPr>
          <w:rFonts w:ascii="宋体" w:hAnsi="宋体" w:cs="宋体"/>
          <w:b/>
          <w:bCs/>
          <w:color w:val="auto"/>
          <w:kern w:val="0"/>
          <w:szCs w:val="21"/>
        </w:rPr>
      </w:pPr>
      <w:r>
        <w:rPr>
          <w:rFonts w:hint="eastAsia" w:ascii="宋体" w:hAnsi="宋体" w:cs="宋体"/>
          <w:b/>
          <w:bCs/>
          <w:color w:val="auto"/>
          <w:kern w:val="0"/>
          <w:szCs w:val="21"/>
        </w:rPr>
        <w:t>七、开标时间和地点</w:t>
      </w:r>
    </w:p>
    <w:p>
      <w:pPr>
        <w:widowControl/>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1.时间：202</w:t>
      </w:r>
      <w:r>
        <w:rPr>
          <w:rFonts w:ascii="宋体" w:hAnsi="宋体" w:cs="宋体"/>
          <w:color w:val="auto"/>
          <w:kern w:val="0"/>
          <w:szCs w:val="21"/>
        </w:rPr>
        <w:t>5</w:t>
      </w:r>
      <w:r>
        <w:rPr>
          <w:rFonts w:hint="eastAsia" w:ascii="宋体" w:hAnsi="宋体" w:cs="宋体"/>
          <w:color w:val="auto"/>
          <w:kern w:val="0"/>
          <w:szCs w:val="21"/>
        </w:rPr>
        <w:t>年6月</w:t>
      </w:r>
      <w:r>
        <w:rPr>
          <w:rFonts w:hint="eastAsia" w:ascii="宋体" w:hAnsi="宋体" w:cs="宋体"/>
          <w:color w:val="auto"/>
          <w:kern w:val="0"/>
          <w:szCs w:val="21"/>
          <w:lang w:val="en-US" w:eastAsia="zh-CN"/>
        </w:rPr>
        <w:t>24</w:t>
      </w:r>
      <w:r>
        <w:rPr>
          <w:rFonts w:hint="eastAsia" w:ascii="宋体" w:hAnsi="宋体" w:cs="宋体"/>
          <w:color w:val="auto"/>
          <w:kern w:val="0"/>
          <w:szCs w:val="21"/>
        </w:rPr>
        <w:t>日</w:t>
      </w:r>
      <w:r>
        <w:rPr>
          <w:rFonts w:ascii="宋体" w:hAnsi="宋体" w:cs="宋体"/>
          <w:color w:val="auto"/>
          <w:kern w:val="0"/>
          <w:szCs w:val="21"/>
        </w:rPr>
        <w:t>09</w:t>
      </w:r>
      <w:r>
        <w:rPr>
          <w:rFonts w:hint="eastAsia" w:ascii="宋体" w:hAnsi="宋体" w:cs="宋体"/>
          <w:color w:val="auto"/>
          <w:kern w:val="0"/>
          <w:szCs w:val="21"/>
        </w:rPr>
        <w:t>:</w:t>
      </w:r>
      <w:r>
        <w:rPr>
          <w:rFonts w:ascii="宋体" w:hAnsi="宋体" w:cs="宋体"/>
          <w:color w:val="auto"/>
          <w:kern w:val="0"/>
          <w:szCs w:val="21"/>
        </w:rPr>
        <w:t>30</w:t>
      </w:r>
      <w:r>
        <w:rPr>
          <w:rFonts w:hint="eastAsia" w:ascii="宋体" w:hAnsi="宋体" w:cs="宋体"/>
          <w:color w:val="auto"/>
          <w:kern w:val="0"/>
          <w:szCs w:val="21"/>
        </w:rPr>
        <w:t>:</w:t>
      </w:r>
      <w:r>
        <w:rPr>
          <w:rFonts w:ascii="宋体" w:hAnsi="宋体" w:cs="宋体"/>
          <w:color w:val="auto"/>
          <w:kern w:val="0"/>
          <w:szCs w:val="21"/>
        </w:rPr>
        <w:t>00</w:t>
      </w:r>
      <w:r>
        <w:rPr>
          <w:rFonts w:hint="eastAsia" w:ascii="宋体" w:hAnsi="宋体" w:cs="宋体"/>
          <w:color w:val="auto"/>
          <w:kern w:val="0"/>
          <w:szCs w:val="21"/>
        </w:rPr>
        <w:t>（北京时间）</w:t>
      </w:r>
    </w:p>
    <w:p>
      <w:pPr>
        <w:widowControl/>
        <w:spacing w:line="360" w:lineRule="auto"/>
        <w:ind w:firstLine="420" w:firstLineChars="200"/>
        <w:rPr>
          <w:rStyle w:val="10"/>
          <w:rFonts w:ascii="宋体" w:hAnsi="宋体" w:cs="宋体"/>
          <w:color w:val="auto"/>
          <w:kern w:val="0"/>
          <w:szCs w:val="21"/>
        </w:rPr>
      </w:pPr>
      <w:r>
        <w:rPr>
          <w:rFonts w:hint="eastAsia" w:ascii="宋体" w:hAnsi="宋体" w:cs="宋体"/>
          <w:color w:val="auto"/>
          <w:kern w:val="0"/>
          <w:szCs w:val="21"/>
        </w:rPr>
        <w:t>2.地点：广州市天河区天河北路663号大院6号楼1楼会议室</w:t>
      </w:r>
    </w:p>
    <w:p>
      <w:pPr>
        <w:widowControl/>
        <w:spacing w:line="360" w:lineRule="auto"/>
        <w:ind w:firstLine="422" w:firstLineChars="200"/>
        <w:rPr>
          <w:rFonts w:ascii="宋体" w:hAnsi="宋体" w:cs="宋体"/>
          <w:bCs/>
          <w:color w:val="auto"/>
          <w:kern w:val="0"/>
          <w:szCs w:val="21"/>
        </w:rPr>
      </w:pPr>
      <w:r>
        <w:rPr>
          <w:rFonts w:hint="eastAsia" w:ascii="宋体" w:hAnsi="宋体" w:cs="宋体"/>
          <w:b/>
          <w:bCs/>
          <w:color w:val="auto"/>
          <w:kern w:val="0"/>
          <w:szCs w:val="21"/>
        </w:rPr>
        <w:t>八、投标保证金</w:t>
      </w:r>
    </w:p>
    <w:p>
      <w:pPr>
        <w:spacing w:before="120" w:line="360" w:lineRule="auto"/>
        <w:ind w:firstLine="420" w:firstLineChars="200"/>
        <w:rPr>
          <w:rFonts w:ascii="宋体" w:hAnsi="宋体"/>
          <w:color w:val="auto"/>
          <w:szCs w:val="21"/>
        </w:rPr>
      </w:pPr>
      <w:r>
        <w:rPr>
          <w:rFonts w:hint="eastAsia" w:ascii="宋体" w:hAnsi="宋体"/>
          <w:color w:val="auto"/>
          <w:szCs w:val="21"/>
        </w:rPr>
        <w:t>投标保证金：【人民币壹万元整】/标段</w:t>
      </w:r>
    </w:p>
    <w:p>
      <w:pPr>
        <w:widowControl/>
        <w:spacing w:line="360" w:lineRule="auto"/>
        <w:ind w:firstLine="422" w:firstLineChars="200"/>
        <w:rPr>
          <w:rFonts w:ascii="宋体" w:hAnsi="宋体" w:cs="宋体"/>
          <w:b/>
          <w:bCs/>
          <w:color w:val="auto"/>
          <w:kern w:val="0"/>
          <w:szCs w:val="21"/>
        </w:rPr>
      </w:pPr>
      <w:r>
        <w:rPr>
          <w:rFonts w:hint="eastAsia" w:ascii="宋体" w:hAnsi="宋体" w:cs="宋体"/>
          <w:b/>
          <w:bCs/>
          <w:color w:val="auto"/>
          <w:kern w:val="0"/>
          <w:szCs w:val="21"/>
        </w:rPr>
        <w:t>九、公告发布媒介</w:t>
      </w:r>
    </w:p>
    <w:p>
      <w:pPr>
        <w:widowControl/>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本次招标公告在中国招标投标公共服务平台（www.cebpubservice.com），广东泽福管理咨询有限公司官网（www.gdzefu.com），数智采购平台门户(https://ccgp.szcgpt.czbank.com/)，金采网(https://www.cfcpn.com)发布，</w:t>
      </w:r>
      <w:r>
        <w:rPr>
          <w:rFonts w:hint="eastAsia"/>
          <w:color w:val="auto"/>
          <w:szCs w:val="21"/>
          <w:shd w:val="clear" w:color="auto" w:fill="FFFFFF"/>
        </w:rPr>
        <w:t>本公告在各媒体发布的文本如有不同之处，以在中国招标投标公共服务平台发布的文本为准。</w:t>
      </w:r>
      <w:r>
        <w:rPr>
          <w:rFonts w:hint="eastAsia" w:ascii="宋体" w:hAnsi="宋体" w:cs="宋体"/>
          <w:color w:val="auto"/>
          <w:kern w:val="0"/>
          <w:szCs w:val="21"/>
        </w:rPr>
        <w:t>因轻信其他组织、个人或媒体提供的信息而造成损失的，招标人、代理机构概不负责。</w:t>
      </w:r>
    </w:p>
    <w:p>
      <w:pPr>
        <w:widowControl/>
        <w:spacing w:line="360" w:lineRule="auto"/>
        <w:ind w:firstLine="422" w:firstLineChars="200"/>
        <w:rPr>
          <w:rFonts w:ascii="宋体" w:hAnsi="宋体" w:cs="宋体"/>
          <w:color w:val="auto"/>
          <w:kern w:val="0"/>
          <w:szCs w:val="21"/>
        </w:rPr>
      </w:pPr>
      <w:r>
        <w:rPr>
          <w:rFonts w:hint="eastAsia" w:ascii="宋体" w:hAnsi="宋体" w:cs="宋体"/>
          <w:b/>
          <w:bCs/>
          <w:color w:val="auto"/>
          <w:kern w:val="0"/>
          <w:szCs w:val="21"/>
        </w:rPr>
        <w:t>十、对本次采购提出询问、质疑、投诉，请按以下方式联系</w:t>
      </w:r>
    </w:p>
    <w:p>
      <w:pPr>
        <w:widowControl/>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1.采购人名称：浙商银行股份有限公司广州分行</w:t>
      </w:r>
    </w:p>
    <w:p>
      <w:pPr>
        <w:spacing w:before="120" w:line="360" w:lineRule="auto"/>
        <w:ind w:firstLine="420" w:firstLineChars="200"/>
        <w:rPr>
          <w:rFonts w:ascii="宋体" w:hAnsi="宋体" w:cs="宋体"/>
          <w:color w:val="auto"/>
          <w:kern w:val="0"/>
          <w:szCs w:val="21"/>
        </w:rPr>
      </w:pPr>
      <w:r>
        <w:rPr>
          <w:rFonts w:hint="eastAsia" w:ascii="宋体" w:hAnsi="宋体" w:cs="宋体"/>
          <w:color w:val="auto"/>
          <w:kern w:val="0"/>
          <w:szCs w:val="21"/>
        </w:rPr>
        <w:t>地址：广州市海珠区广州大道南921号浙商银行广州分行</w:t>
      </w:r>
    </w:p>
    <w:p>
      <w:pPr>
        <w:spacing w:before="120" w:line="360" w:lineRule="auto"/>
        <w:ind w:firstLine="420" w:firstLineChars="200"/>
        <w:rPr>
          <w:rFonts w:ascii="宋体" w:hAnsi="宋体" w:cs="宋体"/>
          <w:color w:val="auto"/>
          <w:kern w:val="0"/>
          <w:szCs w:val="21"/>
        </w:rPr>
      </w:pPr>
      <w:r>
        <w:rPr>
          <w:rFonts w:hint="eastAsia" w:ascii="宋体" w:hAnsi="宋体" w:cs="宋体"/>
          <w:color w:val="auto"/>
          <w:kern w:val="0"/>
          <w:szCs w:val="21"/>
        </w:rPr>
        <w:t>联系人：黄小姐</w:t>
      </w:r>
    </w:p>
    <w:p>
      <w:pPr>
        <w:spacing w:before="120" w:line="360" w:lineRule="auto"/>
        <w:ind w:firstLine="420" w:firstLineChars="200"/>
        <w:rPr>
          <w:rFonts w:ascii="宋体" w:hAnsi="宋体" w:cs="宋体"/>
          <w:color w:val="auto"/>
          <w:kern w:val="0"/>
          <w:szCs w:val="21"/>
        </w:rPr>
      </w:pPr>
      <w:r>
        <w:rPr>
          <w:rFonts w:hint="eastAsia" w:ascii="宋体" w:hAnsi="宋体" w:cs="宋体"/>
          <w:color w:val="auto"/>
          <w:kern w:val="0"/>
          <w:szCs w:val="21"/>
        </w:rPr>
        <w:t>2.采购代理机构名称：广东泽福管理咨询有限公司</w:t>
      </w:r>
    </w:p>
    <w:p>
      <w:pPr>
        <w:spacing w:before="120" w:line="360" w:lineRule="auto"/>
        <w:ind w:firstLine="420" w:firstLineChars="200"/>
        <w:rPr>
          <w:rFonts w:ascii="宋体" w:hAnsi="宋体" w:cs="宋体"/>
          <w:color w:val="auto"/>
          <w:kern w:val="0"/>
          <w:szCs w:val="21"/>
        </w:rPr>
      </w:pPr>
      <w:r>
        <w:rPr>
          <w:rFonts w:hint="eastAsia" w:ascii="宋体" w:hAnsi="宋体" w:cs="宋体"/>
          <w:color w:val="auto"/>
          <w:kern w:val="0"/>
          <w:szCs w:val="21"/>
        </w:rPr>
        <w:t>地址：广州市天河区天河北路663号大院8栋6楼</w:t>
      </w:r>
    </w:p>
    <w:p>
      <w:pPr>
        <w:spacing w:before="120" w:line="360" w:lineRule="auto"/>
        <w:ind w:firstLine="420" w:firstLineChars="200"/>
        <w:rPr>
          <w:rFonts w:ascii="宋体" w:hAnsi="宋体" w:cs="宋体"/>
          <w:color w:val="auto"/>
          <w:kern w:val="0"/>
          <w:szCs w:val="21"/>
        </w:rPr>
      </w:pPr>
      <w:r>
        <w:rPr>
          <w:rFonts w:hint="eastAsia" w:ascii="宋体" w:hAnsi="宋体" w:cs="宋体"/>
          <w:color w:val="auto"/>
          <w:kern w:val="0"/>
          <w:szCs w:val="21"/>
        </w:rPr>
        <w:t>代理机构联系人：李镇宇</w:t>
      </w:r>
    </w:p>
    <w:p>
      <w:pPr>
        <w:spacing w:before="120" w:line="360" w:lineRule="auto"/>
        <w:ind w:firstLine="420" w:firstLineChars="200"/>
        <w:rPr>
          <w:rFonts w:ascii="宋体" w:hAnsi="宋体" w:cs="宋体"/>
          <w:color w:val="auto"/>
          <w:kern w:val="0"/>
          <w:szCs w:val="21"/>
        </w:rPr>
      </w:pPr>
      <w:r>
        <w:rPr>
          <w:rFonts w:hint="eastAsia" w:ascii="宋体" w:hAnsi="宋体" w:cs="宋体"/>
          <w:color w:val="auto"/>
          <w:kern w:val="0"/>
          <w:szCs w:val="21"/>
        </w:rPr>
        <w:t>联系电话：</w:t>
      </w:r>
      <w:r>
        <w:rPr>
          <w:rFonts w:ascii="宋体" w:hAnsi="宋体" w:cs="宋体"/>
          <w:color w:val="auto"/>
          <w:kern w:val="0"/>
          <w:szCs w:val="21"/>
        </w:rPr>
        <w:t>18680285672</w:t>
      </w:r>
    </w:p>
    <w:p>
      <w:pPr>
        <w:spacing w:before="120" w:line="360" w:lineRule="auto"/>
        <w:ind w:firstLine="420" w:firstLineChars="200"/>
        <w:rPr>
          <w:rFonts w:ascii="宋体" w:hAnsi="宋体" w:cs="宋体"/>
          <w:color w:val="auto"/>
          <w:kern w:val="0"/>
          <w:szCs w:val="21"/>
        </w:rPr>
      </w:pPr>
      <w:r>
        <w:rPr>
          <w:rFonts w:hint="eastAsia"/>
          <w:color w:val="auto"/>
        </w:rPr>
        <w:t>电子邮箱：williamlee@gdzefu.com（如电话临时无人接听，请将咨询事项发送邮件至本邮箱，我方收到将及时回复）</w:t>
      </w:r>
    </w:p>
    <w:p>
      <w:pPr>
        <w:spacing w:before="120" w:line="360" w:lineRule="auto"/>
        <w:ind w:firstLine="420" w:firstLineChars="200"/>
        <w:rPr>
          <w:rFonts w:ascii="宋体" w:hAnsi="宋体" w:cs="宋体"/>
          <w:color w:val="auto"/>
          <w:kern w:val="0"/>
          <w:szCs w:val="21"/>
        </w:rPr>
      </w:pPr>
      <w:r>
        <w:rPr>
          <w:rFonts w:hint="eastAsia" w:ascii="宋体" w:hAnsi="宋体" w:cs="宋体"/>
          <w:color w:val="auto"/>
          <w:kern w:val="0"/>
          <w:szCs w:val="21"/>
        </w:rPr>
        <w:t>代理机构异议联系人：李镇宇</w:t>
      </w:r>
    </w:p>
    <w:p>
      <w:pPr>
        <w:spacing w:before="120" w:line="360" w:lineRule="auto"/>
        <w:ind w:firstLine="420" w:firstLineChars="200"/>
        <w:rPr>
          <w:rFonts w:ascii="宋体" w:hAnsi="宋体" w:cs="宋体"/>
          <w:color w:val="auto"/>
          <w:kern w:val="0"/>
          <w:szCs w:val="21"/>
        </w:rPr>
      </w:pPr>
      <w:r>
        <w:rPr>
          <w:rFonts w:hint="eastAsia" w:ascii="宋体" w:hAnsi="宋体" w:cs="宋体"/>
          <w:color w:val="auto"/>
          <w:kern w:val="0"/>
          <w:szCs w:val="21"/>
        </w:rPr>
        <w:t>代理机构联系方法：</w:t>
      </w:r>
      <w:r>
        <w:rPr>
          <w:rFonts w:ascii="宋体" w:hAnsi="宋体" w:cs="宋体"/>
          <w:color w:val="auto"/>
          <w:kern w:val="0"/>
          <w:szCs w:val="21"/>
        </w:rPr>
        <w:t>18680285672</w:t>
      </w:r>
    </w:p>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left"/>
    </w:pPr>
    <w:r>
      <w:rPr>
        <w:rFonts w:ascii="黑体" w:eastAsia="黑体"/>
      </w:rPr>
      <w:drawing>
        <wp:inline distT="0" distB="0" distL="0" distR="0">
          <wp:extent cx="2186305" cy="292735"/>
          <wp:effectExtent l="0" t="0" r="4445" b="1206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186305" cy="29273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DC78C0"/>
    <w:rsid w:val="558E34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toc 3"/>
    <w:basedOn w:val="1"/>
    <w:next w:val="1"/>
    <w:qFormat/>
    <w:uiPriority w:val="39"/>
    <w:pPr>
      <w:ind w:left="420"/>
      <w:jc w:val="left"/>
    </w:pPr>
    <w:rPr>
      <w:i/>
      <w:iCs/>
      <w:sz w:val="20"/>
      <w:szCs w:val="20"/>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39"/>
    <w:pPr>
      <w:spacing w:before="120" w:after="120"/>
      <w:jc w:val="left"/>
    </w:pPr>
    <w:rPr>
      <w:b/>
      <w:bCs/>
      <w:caps/>
      <w:sz w:val="20"/>
      <w:szCs w:val="20"/>
    </w:rPr>
  </w:style>
  <w:style w:type="paragraph" w:styleId="6">
    <w:name w:val="toc 2"/>
    <w:basedOn w:val="1"/>
    <w:next w:val="1"/>
    <w:qFormat/>
    <w:uiPriority w:val="39"/>
    <w:pPr>
      <w:ind w:left="210"/>
      <w:jc w:val="left"/>
    </w:pPr>
    <w:rPr>
      <w:smallCaps/>
      <w:sz w:val="20"/>
      <w:szCs w:val="20"/>
    </w:rPr>
  </w:style>
  <w:style w:type="table" w:styleId="8">
    <w:name w:val="Table Grid"/>
    <w:basedOn w:val="7"/>
    <w:qFormat/>
    <w:uiPriority w:val="59"/>
    <w:pPr>
      <w:spacing w:after="80"/>
    </w:pPr>
    <w:rPr>
      <w:rFonts w:ascii="Times New Roman" w:hAnsi="Times New Roman" w:eastAsia="宋体" w:cs="Times New Roman"/>
    </w:rPr>
    <w:tblP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Pr>
  </w:style>
  <w:style w:type="character" w:styleId="10">
    <w:name w:val="Hyperlink"/>
    <w:qFormat/>
    <w:uiPriority w:val="99"/>
    <w:rPr>
      <w:color w:val="0000FF"/>
      <w:u w:val="single"/>
    </w:rPr>
  </w:style>
  <w:style w:type="paragraph" w:styleId="11">
    <w:name w:val="List Paragraph"/>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2025-06-10T10:39:00Z</dcterms:created>
  <dc:creator>czbank</dc:creator>
  <cp:lastModifiedBy>黄小川</cp:lastModifiedBy>
  <dcterms:modified xsi:type="dcterms:W3CDTF">2025-06-11T02:15:39Z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2138BE2E3FC34CD2A1EABA8EDA8034B9</vt:lpwstr>
  </property>
</Properties>
</file>