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after="240"/>
        <w:jc w:val="center"/>
        <w:rPr>
          <w:rFonts w:hint="eastAsia" w:ascii="方正小标宋简体" w:hAnsi="宋体" w:eastAsia="微软雅黑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如东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支行保安值守服务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供应商寻源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报名表</w:t>
      </w:r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拟报名项目名称：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3195"/>
        <w:gridCol w:w="1935"/>
        <w:gridCol w:w="1305"/>
        <w:gridCol w:w="199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  <w:t>企业资质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B73E92"/>
    <w:rsid w:val="00D537D0"/>
    <w:rsid w:val="011C6FE1"/>
    <w:rsid w:val="01330797"/>
    <w:rsid w:val="0197763E"/>
    <w:rsid w:val="01B71B59"/>
    <w:rsid w:val="020C7940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8831F8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5632B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760EF5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8F0349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517756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7F094F"/>
    <w:rsid w:val="42982D70"/>
    <w:rsid w:val="429E2636"/>
    <w:rsid w:val="42D639B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6C52E0B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930F38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5B2058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葛刘娟</cp:lastModifiedBy>
  <dcterms:modified xsi:type="dcterms:W3CDTF">2025-12-22T02:20:18Z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FB287B91CFE146A9B4F2E4FD33DE5C36</vt:lpwstr>
  </property>
</Properties>
</file>