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lang w:val="en-US" w:eastAsia="zh-CN"/>
        </w:rPr>
        <w:t>关于</w:t>
      </w:r>
      <w:r>
        <w:rPr>
          <w:rFonts w:hint="eastAsia" w:ascii="宋体" w:hAnsi="宋体" w:eastAsia="宋体" w:cs="宋体"/>
          <w:b/>
          <w:bCs w:val="0"/>
          <w:color w:val="auto"/>
          <w:sz w:val="36"/>
          <w:szCs w:val="36"/>
          <w:lang w:val="en-US" w:eastAsia="zh-CN"/>
        </w:rPr>
        <w:t>总行同城双活机房物理巡检机器人试点应用项目</w:t>
      </w:r>
      <w:r>
        <w:rPr>
          <w:rFonts w:hint="eastAsia" w:ascii="宋体" w:hAnsi="宋体" w:eastAsia="宋体" w:cs="宋体"/>
          <w:b/>
          <w:bCs w:val="0"/>
          <w:color w:val="auto"/>
          <w:sz w:val="36"/>
          <w:szCs w:val="36"/>
          <w:lang w:val="en-US" w:eastAsia="zh-CN"/>
        </w:rPr>
        <w:t>供应商</w:t>
      </w:r>
      <w:r>
        <w:rPr>
          <w:rFonts w:hint="eastAsia" w:ascii="宋体" w:hAnsi="宋体" w:eastAsia="宋体" w:cs="宋体"/>
          <w:b/>
          <w:bCs w:val="0"/>
          <w:color w:val="auto"/>
          <w:sz w:val="36"/>
          <w:szCs w:val="36"/>
        </w:rPr>
        <w:t>征集公告</w:t>
      </w:r>
    </w:p>
    <w:p>
      <w:pPr>
        <w:pStyle w:val="11"/>
        <w:spacing w:before="0" w:beforeAutospacing="0" w:after="0" w:afterAutospacing="0" w:line="360" w:lineRule="auto"/>
        <w:ind w:firstLine="562" w:firstLineChars="200"/>
        <w:rPr>
          <w:rStyle w:val="15"/>
          <w:rFonts w:hint="eastAsia" w:ascii="宋体" w:hAnsi="宋体" w:eastAsia="宋体" w:cs="宋体"/>
          <w:b w:val="0"/>
          <w:color w:val="auto"/>
          <w:sz w:val="28"/>
          <w:szCs w:val="28"/>
        </w:rPr>
      </w:pPr>
      <w:r>
        <w:rPr>
          <w:rStyle w:val="15"/>
          <w:rFonts w:hint="eastAsia" w:ascii="宋体" w:hAnsi="宋体" w:eastAsia="宋体" w:cs="宋体"/>
          <w:color w:val="auto"/>
          <w:sz w:val="28"/>
          <w:szCs w:val="28"/>
        </w:rPr>
        <w:t>公</w:t>
      </w:r>
      <w:r>
        <w:rPr>
          <w:rStyle w:val="15"/>
          <w:rFonts w:hint="eastAsia" w:ascii="宋体" w:hAnsi="宋体" w:eastAsia="宋体" w:cs="宋体"/>
          <w:color w:val="auto"/>
          <w:sz w:val="28"/>
          <w:szCs w:val="28"/>
          <w:lang w:val="en-US" w:eastAsia="zh-CN"/>
        </w:rPr>
        <w:t>告</w:t>
      </w:r>
      <w:r>
        <w:rPr>
          <w:rStyle w:val="15"/>
          <w:rFonts w:hint="eastAsia" w:ascii="宋体" w:hAnsi="宋体" w:eastAsia="宋体" w:cs="宋体"/>
          <w:color w:val="auto"/>
          <w:sz w:val="28"/>
          <w:szCs w:val="28"/>
        </w:rPr>
        <w:t>简要情况说明：</w:t>
      </w:r>
      <w:r>
        <w:rPr>
          <w:rStyle w:val="15"/>
          <w:rFonts w:hint="eastAsia" w:ascii="宋体" w:hAnsi="宋体" w:eastAsia="宋体" w:cs="宋体"/>
          <w:b w:val="0"/>
          <w:color w:val="auto"/>
          <w:sz w:val="28"/>
          <w:szCs w:val="28"/>
        </w:rPr>
        <w:t>浙商银行股份有限公司将于近期就</w:t>
      </w:r>
      <w:r>
        <w:rPr>
          <w:rStyle w:val="15"/>
          <w:rFonts w:hint="eastAsia" w:ascii="宋体" w:hAnsi="宋体" w:eastAsia="宋体" w:cs="宋体"/>
          <w:b w:val="0"/>
          <w:color w:val="auto"/>
          <w:sz w:val="28"/>
          <w:szCs w:val="28"/>
          <w:lang w:val="en-US" w:eastAsia="zh-CN"/>
        </w:rPr>
        <w:t>总行同城双活机房物理巡检机器人试点应用项目</w:t>
      </w:r>
      <w:r>
        <w:rPr>
          <w:rStyle w:val="15"/>
          <w:rFonts w:hint="eastAsia" w:ascii="宋体" w:hAnsi="宋体" w:eastAsia="宋体" w:cs="宋体"/>
          <w:b w:val="0"/>
          <w:color w:val="auto"/>
          <w:sz w:val="28"/>
          <w:szCs w:val="28"/>
        </w:rPr>
        <w:t>进行潜在供应商寻源，有关事宜如下：</w:t>
      </w:r>
    </w:p>
    <w:p>
      <w:pPr>
        <w:keepNext w:val="0"/>
        <w:keepLines w:val="0"/>
        <w:widowControl/>
        <w:suppressLineNumbers w:val="0"/>
        <w:jc w:val="left"/>
        <w:rPr>
          <w:rStyle w:val="15"/>
          <w:rFonts w:hint="eastAsia" w:ascii="宋体" w:hAnsi="宋体" w:eastAsia="宋体" w:cs="宋体"/>
          <w:b w:val="0"/>
          <w:color w:val="auto"/>
          <w:sz w:val="28"/>
          <w:szCs w:val="28"/>
          <w:lang w:val="en-US" w:eastAsia="zh-CN"/>
        </w:rPr>
      </w:pPr>
      <w:r>
        <w:rPr>
          <w:rStyle w:val="15"/>
          <w:rFonts w:hint="eastAsia" w:ascii="宋体" w:hAnsi="宋体" w:eastAsia="宋体" w:cs="宋体"/>
          <w:b w:val="0"/>
          <w:color w:val="auto"/>
          <w:sz w:val="28"/>
          <w:szCs w:val="28"/>
        </w:rPr>
        <w:t>一、</w:t>
      </w:r>
      <w:r>
        <w:rPr>
          <w:rStyle w:val="15"/>
          <w:rFonts w:hint="eastAsia" w:ascii="宋体" w:hAnsi="宋体" w:eastAsia="宋体" w:cs="宋体"/>
          <w:color w:val="auto"/>
          <w:sz w:val="28"/>
          <w:szCs w:val="28"/>
        </w:rPr>
        <w:t>项目名称：</w:t>
      </w:r>
      <w:r>
        <w:rPr>
          <w:rStyle w:val="15"/>
          <w:rFonts w:hint="eastAsia" w:ascii="宋体" w:hAnsi="宋体" w:eastAsia="宋体" w:cs="宋体"/>
          <w:b w:val="0"/>
          <w:color w:val="auto"/>
          <w:kern w:val="0"/>
          <w:sz w:val="28"/>
          <w:szCs w:val="28"/>
          <w:lang w:val="en-US" w:eastAsia="zh-CN" w:bidi="ar-SA"/>
        </w:rPr>
        <w:t>总行同城双活机房物理巡检机器人试点应用</w:t>
      </w:r>
    </w:p>
    <w:p>
      <w:pPr>
        <w:pStyle w:val="11"/>
        <w:spacing w:before="0" w:beforeAutospacing="0" w:after="0" w:afterAutospacing="0" w:line="360" w:lineRule="auto"/>
        <w:rPr>
          <w:rFonts w:hint="eastAsia" w:ascii="宋体" w:hAnsi="宋体" w:eastAsia="宋体" w:cs="宋体"/>
          <w:i w:val="0"/>
          <w:iCs w:val="0"/>
          <w:caps w:val="0"/>
          <w:color w:val="000000"/>
          <w:spacing w:val="0"/>
          <w:sz w:val="24"/>
          <w:szCs w:val="24"/>
          <w:lang w:val="en-US" w:eastAsia="zh-CN"/>
        </w:rPr>
      </w:pPr>
      <w:r>
        <w:rPr>
          <w:rStyle w:val="15"/>
          <w:rFonts w:hint="eastAsia" w:ascii="宋体" w:hAnsi="宋体" w:eastAsia="宋体" w:cs="宋体"/>
          <w:color w:val="auto"/>
          <w:sz w:val="28"/>
          <w:szCs w:val="28"/>
        </w:rPr>
        <w:t>二、内容</w:t>
      </w:r>
    </w:p>
    <w:p>
      <w:pPr>
        <w:pStyle w:val="11"/>
        <w:spacing w:before="0" w:beforeAutospacing="0" w:after="0" w:afterAutospacing="0" w:line="360" w:lineRule="auto"/>
        <w:ind w:firstLine="560" w:firstLineChars="200"/>
        <w:rPr>
          <w:rStyle w:val="15"/>
          <w:rFonts w:hint="eastAsia" w:ascii="宋体" w:hAnsi="宋体" w:eastAsia="宋体" w:cs="宋体"/>
          <w:b w:val="0"/>
          <w:i w:val="0"/>
          <w:iCs/>
          <w:color w:val="auto"/>
          <w:sz w:val="28"/>
          <w:szCs w:val="28"/>
        </w:rPr>
      </w:pPr>
      <w:r>
        <w:rPr>
          <w:rStyle w:val="15"/>
          <w:rFonts w:hint="eastAsia" w:ascii="宋体" w:hAnsi="宋体" w:eastAsia="宋体" w:cs="宋体"/>
          <w:b w:val="0"/>
          <w:i w:val="0"/>
          <w:iCs/>
          <w:color w:val="auto"/>
          <w:sz w:val="28"/>
          <w:szCs w:val="28"/>
          <w:lang w:val="en-US" w:eastAsia="zh-CN"/>
        </w:rPr>
        <w:t>（</w:t>
      </w:r>
      <w:r>
        <w:rPr>
          <w:rStyle w:val="15"/>
          <w:rFonts w:hint="eastAsia" w:cs="宋体"/>
          <w:b w:val="0"/>
          <w:i w:val="0"/>
          <w:iCs/>
          <w:color w:val="auto"/>
          <w:sz w:val="28"/>
          <w:szCs w:val="28"/>
          <w:lang w:val="en-US" w:eastAsia="zh-CN"/>
        </w:rPr>
        <w:t>一</w:t>
      </w:r>
      <w:r>
        <w:rPr>
          <w:rStyle w:val="15"/>
          <w:rFonts w:hint="eastAsia" w:ascii="宋体" w:hAnsi="宋体" w:eastAsia="宋体" w:cs="宋体"/>
          <w:b w:val="0"/>
          <w:i w:val="0"/>
          <w:iCs/>
          <w:color w:val="auto"/>
          <w:sz w:val="28"/>
          <w:szCs w:val="28"/>
          <w:lang w:val="en-US" w:eastAsia="zh-CN"/>
        </w:rPr>
        <w:t>）</w:t>
      </w:r>
      <w:r>
        <w:rPr>
          <w:rStyle w:val="15"/>
          <w:rFonts w:hint="eastAsia" w:ascii="宋体" w:hAnsi="宋体" w:eastAsia="宋体" w:cs="宋体"/>
          <w:b w:val="0"/>
          <w:i w:val="0"/>
          <w:iCs/>
          <w:color w:val="auto"/>
          <w:sz w:val="28"/>
          <w:szCs w:val="28"/>
        </w:rPr>
        <w:t>项目基本内容</w:t>
      </w:r>
    </w:p>
    <w:tbl>
      <w:tblPr>
        <w:tblStyle w:val="13"/>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33" w:type="dxa"/>
            <w:vAlign w:val="center"/>
          </w:tcPr>
          <w:p>
            <w:pPr>
              <w:contextualSpacing/>
              <w:jc w:val="center"/>
              <w:outlineLvl w:val="1"/>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33" w:type="dxa"/>
            <w:vAlign w:val="center"/>
          </w:tcPr>
          <w:p>
            <w:pPr>
              <w:autoSpaceDE w:val="0"/>
              <w:autoSpaceDN w:val="0"/>
              <w:adjustRightInd w:val="0"/>
              <w:spacing w:line="360" w:lineRule="auto"/>
              <w:ind w:firstLine="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1、机房巡检机器人（含充电桩等配套设备）；</w:t>
            </w:r>
          </w:p>
          <w:p>
            <w:pPr>
              <w:autoSpaceDE w:val="0"/>
              <w:autoSpaceDN w:val="0"/>
              <w:adjustRightInd w:val="0"/>
              <w:spacing w:line="360" w:lineRule="auto"/>
              <w:ind w:firstLine="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2、机器人运行环境的网络组网设备；</w:t>
            </w:r>
          </w:p>
          <w:p>
            <w:pPr>
              <w:autoSpaceDE w:val="0"/>
              <w:autoSpaceDN w:val="0"/>
              <w:adjustRightInd w:val="0"/>
              <w:spacing w:line="360" w:lineRule="auto"/>
              <w:ind w:firstLine="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3、机器人后台管理软件；</w:t>
            </w:r>
          </w:p>
          <w:p>
            <w:pPr>
              <w:autoSpaceDE w:val="0"/>
              <w:autoSpaceDN w:val="0"/>
              <w:adjustRightInd w:val="0"/>
              <w:spacing w:line="360" w:lineRule="auto"/>
              <w:ind w:firstLine="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4、6套通道门及电源等改造；</w:t>
            </w:r>
          </w:p>
          <w:p>
            <w:pPr>
              <w:autoSpaceDE w:val="0"/>
              <w:autoSpaceDN w:val="0"/>
              <w:adjustRightInd w:val="0"/>
              <w:spacing w:line="360" w:lineRule="auto"/>
              <w:ind w:firstLine="4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5、施工及软件实施服务，包括下游系统的对接适配及改造工作;</w:t>
            </w:r>
          </w:p>
          <w:p>
            <w:pPr>
              <w:autoSpaceDE w:val="0"/>
              <w:autoSpaceDN w:val="0"/>
              <w:adjustRightInd w:val="0"/>
              <w:spacing w:line="360" w:lineRule="auto"/>
              <w:ind w:firstLine="42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eastAsia="zh-CN"/>
              </w:rPr>
              <w:t>6、软硬件维保服务2年。</w:t>
            </w:r>
          </w:p>
        </w:tc>
      </w:tr>
    </w:tbl>
    <w:p>
      <w:pPr>
        <w:pStyle w:val="11"/>
        <w:keepNext w:val="0"/>
        <w:keepLines w:val="0"/>
        <w:widowControl/>
        <w:suppressLineNumbers w:val="0"/>
        <w:spacing w:before="0" w:beforeAutospacing="0" w:after="0" w:afterAutospacing="0" w:line="288" w:lineRule="atLeast"/>
        <w:ind w:left="0" w:right="0" w:firstLine="64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（二）技术要求</w:t>
      </w:r>
    </w:p>
    <w:p>
      <w:pPr>
        <w:numPr>
          <w:ilvl w:val="0"/>
          <w:numId w:val="0"/>
        </w:numPr>
        <w:ind w:left="709" w:leftChars="0"/>
        <w:contextualSpacing/>
        <w:outlineLvl w:val="2"/>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1.基本配置要求</w:t>
      </w:r>
    </w:p>
    <w:p>
      <w:pPr>
        <w:numPr>
          <w:ilvl w:val="0"/>
          <w:numId w:val="0"/>
        </w:numPr>
        <w:ind w:left="709" w:leftChars="0"/>
        <w:contextualSpacing/>
        <w:outlineLvl w:val="3"/>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1.1设备外观要求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（1）机器人主机外壳采用防腐、阻燃设计，涂有保护涂层，外表光洁、均匀，无伤痕、毛刺等缺陷。</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（2）机器人主机外壳具有防静电和防电磁干扰功能。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（3）机器人主机外壳和电气部件外壳均不带电。</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（4）所有电器线路须排列整齐、固定牢靠、走线合理，便于安装、维护，并用醒目的颜色和标识加以区分，电气系统不得有漏电现象。</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（5）设备外观需经采购人评估符合采购人企业价值观。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（6）设备外形体积需适用于一般数据中心数据机房环境。</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（7）可根据要求在外观上增加企业LOGO。</w:t>
      </w:r>
    </w:p>
    <w:p>
      <w:pPr>
        <w:numPr>
          <w:ilvl w:val="0"/>
          <w:numId w:val="0"/>
        </w:numPr>
        <w:ind w:left="709" w:leftChars="0"/>
        <w:contextualSpacing/>
        <w:outlineLvl w:val="3"/>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1.2设备工作环境要求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温湿度：工作温度：0℃至50℃；工作湿度：5%至90%RH。</w:t>
      </w:r>
    </w:p>
    <w:p>
      <w:pPr>
        <w:spacing w:line="560" w:lineRule="exact"/>
        <w:ind w:firstLine="560" w:firstLineChars="200"/>
        <w:outlineLvl w:val="2"/>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2.产品功能指标及相关要求</w:t>
      </w:r>
    </w:p>
    <w:p>
      <w:pPr>
        <w:spacing w:line="560" w:lineRule="exact"/>
        <w:ind w:firstLine="560" w:firstLineChars="200"/>
        <w:outlineLvl w:val="3"/>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2.1 机器人及配套组件参数要求</w:t>
      </w:r>
    </w:p>
    <w:tbl>
      <w:tblPr>
        <w:tblStyle w:val="12"/>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30"/>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0" w:type="auto"/>
            <w:shd w:val="clear" w:color="000000" w:fill="D7D7D7"/>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类别</w:t>
            </w:r>
          </w:p>
        </w:tc>
        <w:tc>
          <w:tcPr>
            <w:tcW w:w="1330" w:type="dxa"/>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功能模块</w:t>
            </w:r>
          </w:p>
        </w:tc>
        <w:tc>
          <w:tcPr>
            <w:tcW w:w="8235" w:type="dxa"/>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详细设备参数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0" w:type="auto"/>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巡检机器人</w:t>
            </w: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外观材质</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外壳材质使用ABS或铁铝材质等阻燃材料</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运动能力</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最大运行速度：不小于1m/s；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最大旋转角度：360°(原地旋转)；</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最小离地间隙：≥35mm；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直行通道宽度：≤</w:t>
            </w:r>
            <w:r>
              <w:rPr>
                <w:rFonts w:hint="eastAsia" w:ascii="仿宋_GB2312" w:hAnsi="仿宋_GB2312" w:eastAsia="仿宋_GB2312" w:cs="仿宋_GB2312"/>
                <w:color w:val="000000"/>
                <w:kern w:val="0"/>
                <w:sz w:val="24"/>
                <w:szCs w:val="24"/>
                <w:lang w:val="en-US" w:eastAsia="zh-CN"/>
              </w:rPr>
              <w:t>900</w:t>
            </w:r>
            <w:r>
              <w:rPr>
                <w:rFonts w:hint="eastAsia" w:ascii="仿宋_GB2312" w:hAnsi="仿宋_GB2312" w:eastAsia="仿宋_GB2312" w:cs="仿宋_GB2312"/>
                <w:color w:val="000000"/>
                <w:kern w:val="0"/>
                <w:sz w:val="24"/>
                <w:szCs w:val="24"/>
              </w:rPr>
              <w:t>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回转通道宽度：≤950mm；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爬坡能力：≥5°；</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最大越障高度：≥10mm；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rPr>
              <w:t>最大越沟宽度：≥20mm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定位及导航方式</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基于SLAM激光导航，根据场地需要可以部署辅助材料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定位精度：重复定位精度±5cm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对接精度：±5mm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旋转精度：±1°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制动距离：≤18cm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导航系统</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配置激光雷达传感器，激光雷达传感性不弱于：扫描角度270°最大扫描距离不低于20m</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t>配置防跌落传感器：≥</w:t>
            </w: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升降系统</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配置电机驱动升降系统，伸展后总高度≥2m，升降速度：≥0.15m/s；升降精度：≤±5mm</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防撞系统</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配置防撞传感器系统，支持防撞触发机器人急停，确保机器人安全行走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通信模块</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WLAN标准：802.11a/b/g/n,802.11i无线安全；调制类型：DSSS, OFDM, MIMO-OFDM；传输速率：802.11b:1至11Mbps；802.11a/g：6至54Mbps；802.11n:6.5至300Mbps</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电源电池模块</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充电时长：≤3.5H；循环寿命：≥2000次，2000次后保有容量80%；电池容量：≥24Ah；充电方式：充电桩充电/手动充电；充电续航：充电2小时续航4小时；具有短路保护及电源管理装置；非三元锂电池等热稳定性较差的电池</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自动充电</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机器人会自动返回充电桩或以其他形式自动进行电力补充，无需人员干预，7</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kern w:val="0"/>
                <w:sz w:val="24"/>
                <w:szCs w:val="24"/>
                <w:highlight w:val="none"/>
              </w:rPr>
              <w:t>24小时工作</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视频采集</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主相机配置采用高清摄像头，图像质量不低于1920×1080像素</w:t>
            </w:r>
            <w:r>
              <w:rPr>
                <w:rFonts w:hint="eastAsia" w:ascii="仿宋_GB2312" w:hAnsi="仿宋_GB2312" w:eastAsia="仿宋_GB2312" w:cs="仿宋_GB2312"/>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lang w:eastAsia="zh-CN"/>
              </w:rPr>
            </w:pPr>
            <w:r>
              <w:rPr>
                <w:rFonts w:hint="eastAsia" w:ascii="仿宋_GB2312" w:hAnsi="仿宋_GB2312" w:eastAsia="仿宋_GB2312" w:cs="仿宋_GB2312"/>
                <w:color w:val="000000"/>
                <w:kern w:val="0"/>
                <w:sz w:val="24"/>
                <w:szCs w:val="24"/>
                <w:highlight w:val="none"/>
                <w:lang w:val="en-US" w:eastAsia="zh-CN"/>
              </w:rPr>
              <w:t>摄像头的实时图像，有实时完整的图像信息，能透过蜂窝门识别服务器等柜内设备状态，能穿透最小孔径8mm的蜂窝门。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红外热图像采集</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配备工业自动化领域专业红外热成像仪，测温度范围-20～150℃或0～350℃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热成像相机精度：±2℃或者读数的±2%（取最大值</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热成像图像可正常显示周围环境不同温度图像。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其他测量传感器</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配置环境温度、湿度、PM污染颗粒、噪声分贝、有毒有害气体检测系统 ，性能及参数不低于；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温度传感器：温度测量范围：-20℃～65℃；温度精度：±1℃；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湿度传感器：湿度测量范围：0～100%；湿度精度：±</w:t>
            </w:r>
            <w:r>
              <w:rPr>
                <w:rFonts w:hint="eastAsia" w:ascii="仿宋_GB2312" w:hAnsi="仿宋_GB2312" w:eastAsia="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%RH；</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有害气体传感器，有害气体种类:SO2、H2S；监测范围：SO2：0-20ppm；H2S：0-100ppm；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PM2.5传感器：颗粒物测量范围：0ug/m³～500ug/m³；测量精度：±10%或±10ug</w:t>
            </w:r>
            <w:r>
              <w:rPr>
                <w:rFonts w:hint="eastAsia" w:ascii="仿宋_GB2312" w:hAnsi="仿宋_GB2312" w:eastAsia="仿宋_GB2312" w:cs="仿宋_GB2312"/>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噪声传感器：测量精度：±</w:t>
            </w:r>
            <w:r>
              <w:rPr>
                <w:rFonts w:hint="eastAsia" w:ascii="仿宋_GB2312" w:hAnsi="仿宋_GB2312" w:eastAsia="仿宋_GB2312" w:cs="仿宋_GB2312"/>
                <w:color w:val="000000"/>
                <w:kern w:val="0"/>
                <w:sz w:val="24"/>
                <w:szCs w:val="24"/>
                <w:highlight w:val="none"/>
                <w:lang w:val="en-US" w:eastAsia="zh-CN"/>
              </w:rPr>
              <w:t>1.5</w:t>
            </w:r>
            <w:r>
              <w:rPr>
                <w:rFonts w:hint="eastAsia" w:ascii="仿宋_GB2312" w:hAnsi="仿宋_GB2312" w:eastAsia="仿宋_GB2312" w:cs="仿宋_GB2312"/>
                <w:color w:val="000000"/>
                <w:kern w:val="0"/>
                <w:sz w:val="24"/>
                <w:szCs w:val="24"/>
                <w:highlight w:val="none"/>
              </w:rPr>
              <w:t>dB；频响范围：30～120dB</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人机交互模块</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rPr>
              <w:t>触摸屏：机器人本体配备≥10英寸高清液晶屏幕，支持多点触控</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rPr>
              <w:t>运行状态指示灯：用于多样化展示机器人状态</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远程控制网路架构</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rPr>
              <w:t>采用WIFI无线通信架构连接（亦支持4G、5G网络），可工作在局域网或广域网场合</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客户端监控软件</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rPr>
              <w:t>提供客户端软件，提供API供二次开发</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配套充电桩</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rPr>
              <w:t>快速自动充电，含手动充电系统，电池健康管理系统，延长电池寿命，输入:180VAC-260VAC/45Hz-65Hz；输出:5-30A；充电桩具备自动触发式消防安全装置</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盘点模组</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shd w:val="clear"/>
              </w:rPr>
              <w:t>RFID盘点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联动功能</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rPr>
              <w:t>须能与封闭冷通道的电动平移门联动，控制电动平移门开闭，以便于机器人进行巡检任务。当前冷通道门数量为6扇，开门方式为手动，需要改造成点按后平移门自动打开，无门禁SDK或API接口可用，</w:t>
            </w:r>
            <w:r>
              <w:rPr>
                <w:rFonts w:hint="eastAsia" w:ascii="仿宋_GB2312" w:hAnsi="仿宋_GB2312" w:eastAsia="仿宋_GB2312" w:cs="仿宋_GB2312"/>
                <w:color w:val="000000"/>
                <w:kern w:val="0"/>
                <w:sz w:val="24"/>
                <w:szCs w:val="24"/>
                <w:lang w:eastAsia="zh-CN"/>
              </w:rPr>
              <w:t>供应商</w:t>
            </w:r>
            <w:r>
              <w:rPr>
                <w:rFonts w:hint="eastAsia" w:ascii="仿宋_GB2312" w:hAnsi="仿宋_GB2312" w:eastAsia="仿宋_GB2312" w:cs="仿宋_GB2312"/>
                <w:color w:val="000000"/>
                <w:kern w:val="0"/>
                <w:sz w:val="24"/>
                <w:szCs w:val="24"/>
              </w:rPr>
              <w:t>需对现有平移门进行改造，以实现机器人自动开关门控制</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冷通道门控制组件</w:t>
            </w: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门控制器</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rPr>
              <w:t>供电:180VAC-230VAC/50Hz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0" w:type="auto"/>
            <w:vMerge w:val="continue"/>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p>
        </w:tc>
        <w:tc>
          <w:tcPr>
            <w:tcW w:w="133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电控锁组件</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具备开关门状态显示指示灯；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锁闭状态下断电后自动开锁；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门体电驱自动执行机构；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门体两侧配备手动开关触发装置；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rPr>
              <w:t>组件配置防夹人装置</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058" w:type="dxa"/>
            <w:gridSpan w:val="2"/>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eastAsia="zh-CN"/>
              </w:rPr>
              <w:t>软硬件算法</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支持指示灯识别算法、导航算法、巡检调度算法、巡检结果分析算法、资产盘点算法</w:t>
            </w:r>
            <w:r>
              <w:rPr>
                <w:rFonts w:hint="eastAsia" w:ascii="仿宋_GB2312" w:hAnsi="仿宋_GB2312" w:eastAsia="仿宋_GB2312" w:cs="仿宋_GB2312"/>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058" w:type="dxa"/>
            <w:gridSpan w:val="2"/>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接口协议要求</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1.支持发布标准的接口，用于接收资产信息、告警信息、采集指标数据；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2.支持通过通用协议，采集第三方系统数据；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3.接口需具有</w:t>
            </w:r>
            <w:r>
              <w:rPr>
                <w:rFonts w:hint="eastAsia" w:ascii="仿宋_GB2312" w:hAnsi="仿宋_GB2312" w:eastAsia="仿宋_GB2312" w:cs="仿宋_GB2312"/>
                <w:color w:val="000000"/>
                <w:kern w:val="0"/>
                <w:sz w:val="24"/>
                <w:szCs w:val="24"/>
                <w:lang w:eastAsia="zh-CN"/>
              </w:rPr>
              <w:t>管理功能</w:t>
            </w:r>
            <w:r>
              <w:rPr>
                <w:rFonts w:hint="eastAsia" w:ascii="仿宋_GB2312" w:hAnsi="仿宋_GB2312" w:eastAsia="仿宋_GB2312" w:cs="仿宋_GB2312"/>
                <w:color w:val="000000"/>
                <w:kern w:val="0"/>
                <w:sz w:val="24"/>
                <w:szCs w:val="24"/>
              </w:rPr>
              <w:t>，支持对接口进行自监控，启用和停止操作</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58" w:type="dxa"/>
            <w:gridSpan w:val="2"/>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其他</w:t>
            </w:r>
          </w:p>
        </w:tc>
        <w:tc>
          <w:tcPr>
            <w:tcW w:w="82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充电桩具备自动触发式消防安全装置，出现火灾能自动启动。</w:t>
            </w:r>
          </w:p>
        </w:tc>
      </w:tr>
    </w:tbl>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2.2功能要求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2.2.1巡检功能：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指示灯状态识别：智能巡检机器人须具备可进行视觉识别的高清设备，可对需检测设备的状态指示灯进行识别判断；智能巡检机器人须配备指示灯视觉识别算法软件，须根据指示灯不同状态自动进行仪器、仪表状态判断，并对异常状态及时报警。</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开关及仪表识别：智能巡检机器人须配备智能高清拍摄装置，可对巡检环境内开关、闸门、阀门、仪器等具有开关设备的智能采集；智能巡检机器人须配备开关识别技术，实现开关闸、阀门、仪表等的外观、位置及状态数值识别。</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电气设备数据采集：具备多种类设备数据采集功能：可自定义巡检设备，包含配电柜/UPS/空调/蓄电池等；具备巡检设备指示灯自定义：可对设备指标灯做选择性识别，仅对需要识别的设备指标灯进行巡检；</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具备巡检设备数据识别：可对机房内机柜设备位置及指针数据、仪表盘数据进行识别、比对，并将检测到的异常结果进行实时告警；每次巡检内容形成巡检报告，并支持数据导出。</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2.2.2系统后台功能：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机器人监控系统功能设计包括首页、任务管理、实时监控、巡检结果确认与分析、巡检报表、用户与权限管理、机器人系统维护、资产盘点等八大功能模块。</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其中，首页主要实现巡检视频流展示、巡检任务信息和巡检报文的查看等功能；任务管理模块主要实现全面巡检、例行巡检、专项巡检、特殊巡检、自定义任务、地图选点及任务展示等功能；实时监控模块主要实现视频监视、及机器人控制等功能；巡检结果确认与分析模块主要包括设备告警查询确认、告警分析、巡检结果浏览及巡检报告生成功能；巡检报表主要实现对各项数据进行记录、统计，可自定义报表等功能；用户与权限管理模块主要实现告警阈值设置、告警消息订阅设置、权限管理、用户管理、巡检点位设置及检修区域设置等功能；机器人系统维护模块主要实现巡检地图维护、软件设置及机器人管理等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（1）机器人须能与本地监控后台进行双向信息交互，本地监控后台须能与远方集控后台进行双向信息交互。</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（2）须提供遥控和自动控制两种控制方式，并能在两种控制模式间任意切换，切换须不影响导航功能。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（3）机器人须能正确接收远方集控后台的控制指令，实现水平、垂直升降、旋转和设备检测等功能，并正确反馈状态信息。</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（4）系统须提供采集巡检机器人传输的实时可见光的功能，并具备红外图像的采集和存储功能。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（5）本地监控系统须能实时、可靠地接收室内巡检机器人采集的图像、数据等信息并进行处理。</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（6）须能对采集到的仪表设备图像进行分析，自动识别出仪表的读数，进行自动判别和异常报警</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（7）须提供实时事项显示和历史事项查询功能，事项须根据报警级别、事项来源等分类显示。</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（8）具备查询功能，并对查询到的数据按照巡检时间、巡检任务、设备类型、设备名称、最高温度等进行过滤。</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（9）须能根据查询的设备温度、表计读数等数据生成曲线，支持图表设置，曲线图放缩、打印、保存到数据库、生成报表等功能。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（10）报表及查询</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a.须能自动生成设备缺陷报表、巡检任务报表、设备曲线报表。</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b.须能查询生成的报表，具有过滤查询结果，支持打印、保存到数据库等功能。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c.报表可按照设备名称展示所有相关巡检信息。</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系统可提供远程数据访问接口，可通过浏览器远程浏览系统访问到的巡检数据和信息。</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（11）数据共享</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系统可提供相应的接口和底层数据库访问权限，支持实物资产盘点数据和结果的本地处理和远程访问。</w:t>
      </w:r>
    </w:p>
    <w:p>
      <w:pPr>
        <w:spacing w:line="560" w:lineRule="exact"/>
        <w:ind w:firstLine="560" w:firstLineChars="200"/>
        <w:rPr>
          <w:rStyle w:val="15"/>
          <w:rFonts w:hint="default"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（12）RFID资产盘点与数据交互</w:t>
      </w:r>
    </w:p>
    <w:p>
      <w:pPr>
        <w:spacing w:line="560" w:lineRule="exact"/>
        <w:ind w:firstLine="560" w:firstLineChars="200"/>
        <w:rPr>
          <w:rStyle w:val="15"/>
          <w:rFonts w:hint="default"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资产盘点功能主要实现通过RFID技术对机房设备开展实物资产盘点和统计功能。支持与采购人现有盘点系统RFID技术实现互通和系统间的数据交互功能。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2.3 质量性能指标要求</w:t>
      </w:r>
    </w:p>
    <w:tbl>
      <w:tblPr>
        <w:tblStyle w:val="1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525"/>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3525" w:type="dxa"/>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质量性能</w:t>
            </w:r>
          </w:p>
        </w:tc>
        <w:tc>
          <w:tcPr>
            <w:tcW w:w="4955" w:type="dxa"/>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525"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升降机构</w:t>
            </w:r>
          </w:p>
        </w:tc>
        <w:tc>
          <w:tcPr>
            <w:tcW w:w="4955"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升降寿命不少于50万次</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525"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电池性能</w:t>
            </w:r>
          </w:p>
        </w:tc>
        <w:tc>
          <w:tcPr>
            <w:tcW w:w="4955"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不少于2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00次循环寿命，2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00次后电量容量不少于80%</w:t>
            </w:r>
            <w:r>
              <w:rPr>
                <w:rFonts w:hint="eastAsia" w:ascii="仿宋_GB2312" w:hAnsi="仿宋_GB2312" w:eastAsia="仿宋_GB2312" w:cs="仿宋_GB2312"/>
                <w:color w:val="000000"/>
                <w:sz w:val="24"/>
                <w:szCs w:val="24"/>
                <w:lang w:eastAsia="zh-CN"/>
              </w:rPr>
              <w:t>，非三元锂电池等热稳定性较差的电池。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9"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525"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整机设计使用寿命</w:t>
            </w:r>
          </w:p>
        </w:tc>
        <w:tc>
          <w:tcPr>
            <w:tcW w:w="4955"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5年以上</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3525"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防火措施</w:t>
            </w:r>
          </w:p>
        </w:tc>
        <w:tc>
          <w:tcPr>
            <w:tcW w:w="4955"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具备</w:t>
            </w:r>
            <w:r>
              <w:rPr>
                <w:rFonts w:hint="eastAsia" w:ascii="仿宋_GB2312" w:hAnsi="仿宋_GB2312" w:eastAsia="仿宋_GB2312" w:cs="仿宋_GB2312"/>
                <w:color w:val="000000"/>
                <w:sz w:val="24"/>
                <w:szCs w:val="24"/>
              </w:rPr>
              <w:t>充电安全管理</w:t>
            </w:r>
            <w:r>
              <w:rPr>
                <w:rFonts w:hint="eastAsia" w:ascii="仿宋_GB2312" w:hAnsi="仿宋_GB2312" w:eastAsia="仿宋_GB2312" w:cs="仿宋_GB2312"/>
                <w:color w:val="000000"/>
                <w:sz w:val="24"/>
                <w:szCs w:val="24"/>
                <w:lang w:eastAsia="zh-CN"/>
              </w:rPr>
              <w:t>软件，硬件系统配套自动触发式</w:t>
            </w:r>
            <w:r>
              <w:rPr>
                <w:rFonts w:hint="eastAsia" w:ascii="仿宋_GB2312" w:hAnsi="仿宋_GB2312" w:eastAsia="仿宋_GB2312" w:cs="仿宋_GB2312"/>
                <w:color w:val="000000"/>
                <w:sz w:val="24"/>
                <w:szCs w:val="24"/>
              </w:rPr>
              <w:t>消防安全</w:t>
            </w:r>
            <w:r>
              <w:rPr>
                <w:rFonts w:hint="eastAsia" w:ascii="仿宋_GB2312" w:hAnsi="仿宋_GB2312" w:eastAsia="仿宋_GB2312" w:cs="仿宋_GB2312"/>
                <w:color w:val="000000"/>
                <w:sz w:val="24"/>
                <w:szCs w:val="24"/>
                <w:lang w:eastAsia="zh-CN"/>
              </w:rPr>
              <w:t>（设备）</w:t>
            </w:r>
            <w:r>
              <w:rPr>
                <w:rFonts w:hint="eastAsia" w:ascii="仿宋_GB2312" w:hAnsi="仿宋_GB2312" w:eastAsia="仿宋_GB2312" w:cs="仿宋_GB2312"/>
                <w:color w:val="000000"/>
                <w:sz w:val="24"/>
                <w:szCs w:val="24"/>
              </w:rPr>
              <w:t>措施。</w:t>
            </w:r>
          </w:p>
        </w:tc>
      </w:tr>
    </w:tbl>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2.4 安装测试验收要求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（1）供应商负责设备的安装、配置和系统调测等现场实施工作，并负责提供详尽的工程文档。</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（2）供应商保证其提供的专业服务符合产品相关行业服务规范，保证其提供的设备、材料、零部件及软件等在生产工艺和产品质量方面均符合各项技术指标。</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（3）在安装调试计划时间内，根椐工程进度要求，必须及时委派有经验的专业工程师驻在现场进行技术支持并负责协调解决包括设计、安装调试、施工安全等过程中发生的问题。</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（4）供应商在项目实施过程中，确保不影响机房现有系统的正常工作。</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（5）供应商在项目安装过程中所有操作必须经过采购人技术人员确认后方能执行，所有实施结果必须经采购人技术人员确认后方能交付。</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（6）供应商在现场安装实施过程中，对各种技术方案、标准规范等内部文档保守秘密，不泄露给第三方和内部无关的人员。</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（7）验收要求：设备及系统正常使用后进行验收。验收合格后进入30天试运行期。试运行期结束后，稳定运行无故障，可进行终验。</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（8）配套改造的冷通道门开关驱动装置、开关按钮、通信装置需符合采购人设备通信、用电等安全管理要求。该部分驱动和控制装置需独立部署，不允许接入采购人门禁系统。</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2.5 保修服务要求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保修期两年，保修期内供应商负责软硬件（含配套软件和配套改造工程）保修。在保修期内，供应商向采购人提供故障维修和预防性维护服务，通过此项服务来保证设备（含配套软件）处于良好的运行状态。在保修期内，供应商须向采购人提供7×24小时的技术支持服务。</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（2）保修期后，供应商承诺继续提供优质有偿服务和技术支持。若无法提供现有产品的技术支持至少要提前1年告知。</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（3）采购人享有设备所配置软件的永久使用权，包含机器人本体上部署的所有软件、巡检系统上配置的所有软件。</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（4）提供的设备，如果投入运行中，发现设计缺陷或隐患，须免费提供有关技术改造方案，并对存在缺陷或隐患的设备进行免费改造升级工作、产品退换货解决方案。</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（5）电话、网络等热线技术支持服务： 供应商提供7×24小时热线电话、Internet邮件等远程在线技术支持服务。保证7×24小时服务支持。</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（6）现场技术支持服务：在系统升级、重点项目实施、重大维护日等对系统设备稳定运行要求较高的时段，供应商需根据要求提供现场支持服务(工程师具备1年机器人运维经验)，以便快速响应和处理故障。</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7）紧急技术支持服务：在保修期内，对采购人提出的应用过程中出现的问题，供应商承诺及时安排技术人员在1小时内与最终用户故障所在地取得联系；如需现场服务，在紧急情况下，供应商须在8小时内赶到现场（自然灾害等不可抗力情况下除外），并于到达现场后72小时内排除故障。</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8）定期巡检、维护和健康检查：在保修期内，至少每季度对设备（含软件)进行1次深度现场检查。深度现场巡检维护服务内容包括：供应商专业工程师将对本合同中的设备进行检查，了解服务器硬件及系统环境的运行使用情况，并对设备的使用情况作备忘记录，做好故障预防性工作，保持设备运行正常，每次巡检须出具详细的《巡检报告》。</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9）备品、备件保证：供应商须提供充足的零配件,以确保设备维修所需更换的零配件。供应商接到采购人最终用户的备件更换需求后，须按现场服务响应时间要求，及时派工程师携带有关备品备件抵达用户现场。</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10）服务团队要求：供应商须成立专业的服务团队，对设备的研发、安装、调试及售后提供实时的技术服务和培训。技术支持服务内容具体包括但不限于：设备维护保修服务、固件升级、软件修复与升级、事件与问题受理、智能巡检相关技术方案等。</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（11）在保修期满后的1年内，在采购人未继续采购维护保修服务的情况下，供应商须继续提供有偿服务和技术支持。</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（12）供应商在设备（含软件系统）使用、维护、维修等过程中，确保信息安全。存储介质在进行维修更换后，故障件归属于采购人，由采购人进行处理，防止数据信息外泄。</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2.6 技术培训要求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为保证所提供的设备（含软件）安全、可靠地运行，便于人员进行运行和维护，供应商负责对采购人的维修、操作人员提供合同设备的技术转移服务，使人员掌握设备的基本结构、软硬件使用与管理方法，加强设备（含软件）使用的安全意识，熟练地掌握管理系统的使用、操作、维护保养工作，并能及时排除大部分的设备故障。</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（2）为配合采购人基础设施智能化运维的建设与研发，免费提供接口信息、必要的支持和技术转移服务。</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2.7 网络与信息安全要求</w:t>
      </w:r>
    </w:p>
    <w:p>
      <w:pPr>
        <w:spacing w:line="560" w:lineRule="exact"/>
        <w:ind w:firstLine="560" w:firstLineChars="200"/>
        <w:rPr>
          <w:rStyle w:val="15"/>
          <w:rFonts w:hint="eastAsia" w:ascii="宋体" w:hAnsi="宋体" w:eastAsia="宋体" w:cs="宋体"/>
          <w:b w:val="0"/>
          <w:color w:val="auto"/>
          <w:kern w:val="0"/>
          <w:sz w:val="28"/>
          <w:szCs w:val="28"/>
          <w:lang w:val="zh-CN" w:eastAsia="zh-CN" w:bidi="ar-SA"/>
        </w:rPr>
      </w:pPr>
      <w:r>
        <w:rPr>
          <w:rStyle w:val="15"/>
          <w:rFonts w:hint="eastAsia" w:ascii="宋体" w:hAnsi="宋体" w:eastAsia="宋体" w:cs="宋体"/>
          <w:b w:val="0"/>
          <w:color w:val="auto"/>
          <w:kern w:val="0"/>
          <w:sz w:val="28"/>
          <w:szCs w:val="28"/>
          <w:lang w:val="zh-CN" w:eastAsia="zh-CN" w:bidi="ar-SA"/>
        </w:rPr>
        <w:t>提供的产品需确保采购人的网络与信息安全，需选用商用级网络产品，若选用的设备或软件存在安全风险造成采购人实际损失的，所产生一切费用由供应商承担。</w:t>
      </w:r>
      <w:r>
        <w:rPr>
          <w:rStyle w:val="15"/>
          <w:rFonts w:hint="eastAsia" w:ascii="宋体" w:hAnsi="宋体" w:eastAsia="宋体" w:cs="宋体"/>
          <w:b w:val="0"/>
          <w:color w:val="auto"/>
          <w:kern w:val="0"/>
          <w:sz w:val="28"/>
          <w:szCs w:val="28"/>
          <w:lang w:val="en-US" w:eastAsia="zh-CN" w:bidi="ar-SA"/>
        </w:rPr>
        <w:t>网络产品（设备、软件）需要具备IPV4/IPV6双栈功能</w:t>
      </w:r>
      <w:r>
        <w:rPr>
          <w:rStyle w:val="15"/>
          <w:rFonts w:hint="eastAsia" w:ascii="宋体" w:hAnsi="宋体" w:eastAsia="宋体" w:cs="宋体"/>
          <w:b w:val="0"/>
          <w:color w:val="auto"/>
          <w:kern w:val="0"/>
          <w:sz w:val="28"/>
          <w:szCs w:val="28"/>
          <w:lang w:val="zh-CN" w:eastAsia="zh-CN" w:bidi="ar-SA"/>
        </w:rPr>
        <w:t>。</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 xml:space="preserve">    注：报价文件中需详细列明拟使用的网络产品型号。</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2.8 其他</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安装管理软件的硬件服务器由采购人提供，其他如操作系统、数据库、中间件等软件运行所必要的基础软件由供应商提供且所提供的软件必须为正版授权软件，维保服务包含所有供应商提供的软件。</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（三）资信商务要求</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1、实施要求：最终中标供应商须在中标通知发出后5个工作日内进场实施。</w:t>
      </w:r>
    </w:p>
    <w:p>
      <w:pPr>
        <w:spacing w:line="560" w:lineRule="exact"/>
        <w:ind w:firstLine="560" w:firstLineChars="200"/>
        <w:rPr>
          <w:rStyle w:val="15"/>
          <w:rFonts w:hint="eastAsia" w:ascii="宋体" w:hAnsi="宋体" w:eastAsia="宋体" w:cs="宋体"/>
          <w:b w:val="0"/>
          <w:color w:val="auto"/>
          <w:kern w:val="0"/>
          <w:sz w:val="28"/>
          <w:szCs w:val="28"/>
          <w:lang w:val="en-US" w:eastAsia="zh-CN" w:bidi="ar-SA"/>
        </w:rPr>
      </w:pPr>
      <w:r>
        <w:rPr>
          <w:rStyle w:val="15"/>
          <w:rFonts w:hint="eastAsia" w:ascii="宋体" w:hAnsi="宋体" w:eastAsia="宋体" w:cs="宋体"/>
          <w:b w:val="0"/>
          <w:color w:val="auto"/>
          <w:kern w:val="0"/>
          <w:sz w:val="28"/>
          <w:szCs w:val="28"/>
          <w:lang w:val="en-US" w:eastAsia="zh-CN" w:bidi="ar-SA"/>
        </w:rPr>
        <w:t>2、付款比例：到货验收合格后付85%，维保服务期满后付15%。</w:t>
      </w:r>
    </w:p>
    <w:p>
      <w:pPr>
        <w:pStyle w:val="11"/>
        <w:keepNext w:val="0"/>
        <w:keepLines w:val="0"/>
        <w:widowControl/>
        <w:suppressLineNumbers w:val="0"/>
        <w:spacing w:before="0" w:beforeAutospacing="0" w:after="0" w:afterAutospacing="0" w:line="288" w:lineRule="atLeast"/>
        <w:ind w:right="0"/>
        <w:rPr>
          <w:rFonts w:hint="eastAsia" w:ascii="宋体" w:hAnsi="宋体" w:eastAsia="宋体" w:cs="宋体"/>
          <w:b/>
          <w:bCs/>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三、资格条件</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1.具有独立承担民事责任的能力（提供有效的法人或者其他组织的营业执照等证明文件复印件）。</w:t>
      </w:r>
    </w:p>
    <w:p>
      <w:pPr>
        <w:pStyle w:val="11"/>
        <w:keepNext w:val="0"/>
        <w:keepLines w:val="0"/>
        <w:widowControl/>
        <w:suppressLineNumbers w:val="0"/>
        <w:spacing w:before="0" w:beforeAutospacing="0" w:after="0" w:afterAutospacing="0" w:line="288" w:lineRule="atLeast"/>
        <w:ind w:left="0" w:right="0" w:firstLine="640"/>
        <w:rPr>
          <w:rFonts w:hint="default"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2.不允许代理公司参加，须提供公司为产品原厂的承诺函。</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供应商未被“中国执行信息公开网”（https://zxgk.court.gov.cn/shixin/）列入失信被执行人、未被“信用中国”（https://www.creditchina.gov.cn）列入重大税收违法失信主体、未被“中国政府采购网”（https://www.ccgp.gov.cn）列入政府采购严重违法失信行为记录名单、未被“国家企业信用信息公示系统”（https://www.gsxt.gov.cn/index.html）列入严重违法失信企业名单；</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4.参加采购活动前三年内（2022年11月1日至今，新成立不满三年的公司自成立之日起算）在经营活动中没有重大违法记录；</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5.供应商近五年内（2020年11月1日至今）至少具备本次所投品牌机器人关于机房巡检的案例1个（提供合同复印件作为证明材料并加盖公章，合同中须体现所投品牌型号信息，以合同签订时间为准）。</w:t>
      </w:r>
    </w:p>
    <w:p>
      <w:pPr>
        <w:pStyle w:val="11"/>
        <w:keepNext w:val="0"/>
        <w:keepLines w:val="0"/>
        <w:widowControl/>
        <w:suppressLineNumbers w:val="0"/>
        <w:spacing w:before="0" w:beforeAutospacing="0" w:after="0" w:afterAutospacing="0" w:line="288" w:lineRule="atLeast"/>
        <w:ind w:left="0" w:right="0" w:firstLine="640"/>
        <w:rPr>
          <w:rFonts w:hint="default"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6.本项目不接受联合体投标，不接受转包、分包。</w:t>
      </w:r>
    </w:p>
    <w:p>
      <w:pPr>
        <w:pStyle w:val="4"/>
        <w:jc w:val="both"/>
        <w:rPr>
          <w:rFonts w:hint="eastAsia"/>
          <w:lang w:val="en-US" w:eastAsia="zh-CN"/>
        </w:rPr>
      </w:pPr>
      <w:bookmarkStart w:id="0" w:name="_GoBack"/>
      <w:bookmarkEnd w:id="0"/>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11"/>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11"/>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11"/>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5"/>
          <w:rFonts w:hint="eastAsia" w:ascii="宋体" w:hAnsi="宋体" w:eastAsia="宋体" w:cs="宋体"/>
          <w:b w:val="0"/>
          <w:i w:val="0"/>
          <w:iCs/>
          <w:color w:val="auto"/>
          <w:kern w:val="2"/>
          <w:sz w:val="28"/>
          <w:szCs w:val="28"/>
          <w:lang w:val="en-US" w:eastAsia="zh-CN" w:bidi="ar-SA"/>
        </w:rPr>
      </w:pPr>
      <w:r>
        <w:rPr>
          <w:rStyle w:val="15"/>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5"/>
          <w:rFonts w:hint="eastAsia" w:ascii="宋体" w:hAnsi="宋体" w:eastAsia="宋体" w:cs="宋体"/>
          <w:color w:val="auto"/>
          <w:sz w:val="28"/>
          <w:szCs w:val="28"/>
        </w:rPr>
      </w:pPr>
      <w:r>
        <w:rPr>
          <w:rStyle w:val="15"/>
          <w:rFonts w:hint="eastAsia" w:cs="宋体"/>
          <w:color w:val="auto"/>
          <w:sz w:val="28"/>
          <w:szCs w:val="28"/>
          <w:lang w:eastAsia="zh-CN"/>
        </w:rPr>
        <w:t>四</w:t>
      </w:r>
      <w:r>
        <w:rPr>
          <w:rStyle w:val="15"/>
          <w:rFonts w:hint="eastAsia" w:ascii="宋体" w:hAnsi="宋体" w:eastAsia="宋体" w:cs="宋体"/>
          <w:color w:val="auto"/>
          <w:sz w:val="28"/>
          <w:szCs w:val="28"/>
        </w:rPr>
        <w:t>、报名截止时间和方式</w:t>
      </w:r>
    </w:p>
    <w:p>
      <w:pPr>
        <w:pStyle w:val="11"/>
        <w:spacing w:before="0" w:beforeAutospacing="0" w:after="0" w:afterAutospacing="0" w:line="360" w:lineRule="auto"/>
        <w:ind w:firstLine="562" w:firstLineChars="200"/>
        <w:rPr>
          <w:rStyle w:val="15"/>
          <w:rFonts w:hint="eastAsia" w:ascii="宋体" w:hAnsi="宋体" w:eastAsia="宋体" w:cs="宋体"/>
          <w:iCs/>
          <w:color w:val="auto"/>
          <w:sz w:val="28"/>
          <w:szCs w:val="28"/>
        </w:rPr>
      </w:pPr>
      <w:r>
        <w:rPr>
          <w:rStyle w:val="15"/>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lang w:eastAsia="zh-CN"/>
        </w:rPr>
        <w:t>自本公告发布</w:t>
      </w:r>
      <w:r>
        <w:rPr>
          <w:rFonts w:hint="eastAsia" w:cs="宋体"/>
          <w:iCs/>
          <w:color w:val="auto"/>
          <w:sz w:val="28"/>
          <w:szCs w:val="28"/>
          <w:lang w:eastAsia="zh-CN"/>
        </w:rPr>
        <w:t>之日起</w:t>
      </w:r>
      <w:r>
        <w:rPr>
          <w:rFonts w:hint="eastAsia" w:cs="宋体"/>
          <w:iCs/>
          <w:color w:val="auto"/>
          <w:sz w:val="28"/>
          <w:szCs w:val="28"/>
          <w:lang w:val="en-US" w:eastAsia="zh-CN"/>
        </w:rPr>
        <w:t>5个工作日</w:t>
      </w:r>
      <w:r>
        <w:rPr>
          <w:rFonts w:hint="eastAsia" w:ascii="宋体" w:hAnsi="宋体" w:eastAsia="宋体" w:cs="宋体"/>
          <w:b/>
          <w:iCs/>
          <w:color w:val="auto"/>
          <w:sz w:val="28"/>
          <w:szCs w:val="28"/>
        </w:rPr>
        <w:t>】</w:t>
      </w:r>
    </w:p>
    <w:p>
      <w:pPr>
        <w:pStyle w:val="11"/>
        <w:spacing w:before="0" w:beforeAutospacing="0" w:after="0" w:afterAutospacing="0" w:line="360" w:lineRule="auto"/>
        <w:ind w:firstLine="562" w:firstLineChars="200"/>
        <w:rPr>
          <w:rStyle w:val="15"/>
          <w:rFonts w:hint="eastAsia" w:ascii="宋体" w:hAnsi="宋体" w:eastAsia="宋体" w:cs="宋体"/>
          <w:color w:val="auto"/>
          <w:sz w:val="28"/>
          <w:szCs w:val="28"/>
        </w:rPr>
      </w:pPr>
      <w:r>
        <w:rPr>
          <w:rStyle w:val="15"/>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11"/>
        <w:spacing w:before="0" w:beforeAutospacing="0" w:after="0" w:afterAutospacing="0" w:line="360" w:lineRule="auto"/>
        <w:ind w:firstLine="562" w:firstLineChars="200"/>
        <w:rPr>
          <w:rStyle w:val="15"/>
          <w:rFonts w:hint="eastAsia" w:ascii="宋体" w:hAnsi="宋体" w:eastAsia="宋体" w:cs="宋体"/>
          <w:b w:val="0"/>
          <w:i/>
          <w:color w:val="auto"/>
          <w:sz w:val="28"/>
          <w:szCs w:val="28"/>
          <w:lang w:eastAsia="zh-CN"/>
        </w:rPr>
      </w:pPr>
      <w:r>
        <w:rPr>
          <w:rStyle w:val="15"/>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11"/>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5"/>
          <w:rFonts w:hint="eastAsia" w:ascii="宋体" w:hAnsi="宋体" w:eastAsia="宋体" w:cs="宋体"/>
          <w:color w:val="auto"/>
          <w:sz w:val="28"/>
          <w:szCs w:val="28"/>
        </w:rPr>
        <w:t>4.联系人：</w:t>
      </w:r>
      <w:r>
        <w:rPr>
          <w:rFonts w:hint="eastAsia" w:cs="宋体"/>
          <w:iCs/>
          <w:color w:val="auto"/>
          <w:sz w:val="28"/>
          <w:szCs w:val="28"/>
          <w:lang w:val="en-US" w:eastAsia="zh-CN"/>
        </w:rPr>
        <w:t>刘女士</w:t>
      </w:r>
    </w:p>
    <w:p>
      <w:pPr>
        <w:pStyle w:val="11"/>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555</w:t>
      </w:r>
    </w:p>
    <w:p>
      <w:pPr>
        <w:pStyle w:val="11"/>
        <w:spacing w:before="0" w:beforeAutospacing="0" w:after="0" w:afterAutospacing="0" w:line="360" w:lineRule="auto"/>
        <w:ind w:firstLine="562" w:firstLineChars="200"/>
        <w:rPr>
          <w:rStyle w:val="15"/>
          <w:rFonts w:hint="eastAsia" w:ascii="宋体" w:hAnsi="宋体" w:eastAsia="宋体" w:cs="宋体"/>
          <w:color w:val="auto"/>
          <w:sz w:val="28"/>
          <w:szCs w:val="28"/>
          <w:lang w:val="en-US" w:eastAsia="zh-CN"/>
        </w:rPr>
      </w:pPr>
      <w:r>
        <w:rPr>
          <w:rStyle w:val="15"/>
          <w:rFonts w:hint="eastAsia" w:ascii="宋体" w:hAnsi="宋体" w:eastAsia="宋体" w:cs="宋体"/>
          <w:color w:val="auto"/>
          <w:sz w:val="28"/>
          <w:szCs w:val="28"/>
        </w:rPr>
        <w:t>6.联系邮箱</w:t>
      </w:r>
      <w:r>
        <w:rPr>
          <w:rStyle w:val="15"/>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11"/>
        <w:spacing w:before="0" w:beforeAutospacing="0" w:after="0" w:afterAutospacing="0" w:line="360" w:lineRule="auto"/>
        <w:ind w:firstLine="562" w:firstLineChars="200"/>
        <w:rPr>
          <w:rStyle w:val="15"/>
          <w:rFonts w:hint="eastAsia" w:ascii="宋体" w:hAnsi="宋体" w:eastAsia="宋体" w:cs="宋体"/>
          <w:color w:val="auto"/>
          <w:sz w:val="28"/>
          <w:szCs w:val="28"/>
        </w:rPr>
      </w:pPr>
      <w:r>
        <w:rPr>
          <w:rStyle w:val="15"/>
          <w:rFonts w:hint="eastAsia" w:cs="宋体"/>
          <w:color w:val="auto"/>
          <w:sz w:val="28"/>
          <w:szCs w:val="28"/>
          <w:lang w:eastAsia="zh-CN"/>
        </w:rPr>
        <w:t>五</w:t>
      </w:r>
      <w:r>
        <w:rPr>
          <w:rStyle w:val="15"/>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w:t>
      </w:r>
      <w:r>
        <w:rPr>
          <w:rFonts w:hint="eastAsia" w:ascii="宋体" w:hAnsi="宋体" w:eastAsia="宋体" w:cs="宋体"/>
          <w:bCs/>
          <w:color w:val="auto"/>
          <w:kern w:val="0"/>
          <w:sz w:val="28"/>
          <w:szCs w:val="28"/>
        </w:rPr>
        <w:t>公司</w:t>
      </w:r>
      <w:r>
        <w:rPr>
          <w:rFonts w:hint="eastAsia" w:ascii="宋体" w:hAnsi="宋体" w:eastAsia="宋体" w:cs="宋体"/>
          <w:bCs/>
          <w:color w:val="auto"/>
          <w:kern w:val="0"/>
          <w:sz w:val="28"/>
          <w:szCs w:val="28"/>
          <w:lang w:val="en-US" w:eastAsia="zh-CN"/>
        </w:rPr>
        <w:t>总行同城双活机房物理巡检机器人试点应用项目</w:t>
      </w:r>
      <w:r>
        <w:rPr>
          <w:rFonts w:hint="eastAsia" w:ascii="宋体" w:hAnsi="宋体" w:eastAsia="宋体" w:cs="宋体"/>
          <w:iCs/>
          <w:color w:val="auto"/>
          <w:kern w:val="0"/>
          <w:sz w:val="28"/>
          <w:szCs w:val="28"/>
          <w:lang w:val="en-US" w:eastAsia="zh-CN" w:bidi="ar-SA"/>
        </w:rPr>
        <w:t>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w:t>
      </w:r>
      <w:r>
        <w:rPr>
          <w:rFonts w:hint="eastAsia" w:ascii="宋体" w:hAnsi="宋体" w:eastAsia="宋体" w:cs="宋体"/>
          <w:color w:val="auto"/>
          <w:sz w:val="44"/>
          <w:szCs w:val="44"/>
          <w:lang w:val="en-US" w:eastAsia="zh-CN"/>
        </w:rPr>
        <w:t>行总行同城双活机房物理巡检机器人试点应用项</w:t>
      </w:r>
      <w:r>
        <w:rPr>
          <w:rFonts w:hint="eastAsia" w:ascii="宋体" w:hAnsi="宋体" w:eastAsia="宋体" w:cs="宋体"/>
          <w:color w:val="auto"/>
          <w:sz w:val="44"/>
          <w:szCs w:val="44"/>
          <w:highlight w:val="none"/>
        </w:rPr>
        <w:t>目</w:t>
      </w: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3"/>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4"/>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4"/>
              <w:spacing w:line="240" w:lineRule="auto"/>
              <w:outlineLvl w:val="0"/>
              <w:rPr>
                <w:rFonts w:hint="eastAsia" w:ascii="宋体" w:hAnsi="宋体" w:eastAsia="宋体" w:cs="宋体"/>
                <w:bCs/>
                <w:color w:val="auto"/>
                <w:sz w:val="28"/>
                <w:szCs w:val="32"/>
              </w:rPr>
            </w:pPr>
          </w:p>
        </w:tc>
        <w:tc>
          <w:tcPr>
            <w:tcW w:w="1978" w:type="dxa"/>
            <w:vAlign w:val="center"/>
          </w:tcPr>
          <w:p>
            <w:pPr>
              <w:pStyle w:val="4"/>
              <w:spacing w:line="240" w:lineRule="auto"/>
              <w:outlineLvl w:val="0"/>
              <w:rPr>
                <w:rFonts w:hint="eastAsia" w:ascii="宋体" w:hAnsi="宋体" w:eastAsia="宋体" w:cs="宋体"/>
                <w:bCs/>
                <w:color w:val="auto"/>
                <w:sz w:val="28"/>
                <w:szCs w:val="32"/>
              </w:rPr>
            </w:pPr>
          </w:p>
        </w:tc>
        <w:tc>
          <w:tcPr>
            <w:tcW w:w="1951" w:type="dxa"/>
            <w:vAlign w:val="center"/>
          </w:tcPr>
          <w:p>
            <w:pPr>
              <w:pStyle w:val="4"/>
              <w:spacing w:line="240" w:lineRule="auto"/>
              <w:outlineLvl w:val="0"/>
              <w:rPr>
                <w:rFonts w:hint="eastAsia" w:ascii="宋体" w:hAnsi="宋体" w:eastAsia="宋体" w:cs="宋体"/>
                <w:bCs/>
                <w:color w:val="auto"/>
                <w:sz w:val="28"/>
                <w:szCs w:val="32"/>
              </w:rPr>
            </w:pPr>
          </w:p>
        </w:tc>
        <w:tc>
          <w:tcPr>
            <w:tcW w:w="1701" w:type="dxa"/>
            <w:vAlign w:val="center"/>
          </w:tcPr>
          <w:p>
            <w:pPr>
              <w:pStyle w:val="4"/>
              <w:spacing w:line="240" w:lineRule="auto"/>
              <w:outlineLvl w:val="0"/>
              <w:rPr>
                <w:rFonts w:hint="eastAsia" w:ascii="宋体" w:hAnsi="宋体" w:eastAsia="宋体" w:cs="宋体"/>
                <w:bCs/>
                <w:color w:val="auto"/>
                <w:sz w:val="28"/>
                <w:szCs w:val="32"/>
              </w:rPr>
            </w:pPr>
          </w:p>
        </w:tc>
        <w:tc>
          <w:tcPr>
            <w:tcW w:w="1417" w:type="dxa"/>
            <w:vAlign w:val="center"/>
          </w:tcPr>
          <w:p>
            <w:pPr>
              <w:pStyle w:val="4"/>
              <w:spacing w:line="240" w:lineRule="auto"/>
              <w:outlineLvl w:val="0"/>
              <w:rPr>
                <w:rFonts w:hint="eastAsia" w:ascii="宋体" w:hAnsi="宋体" w:eastAsia="宋体" w:cs="宋体"/>
                <w:bCs/>
                <w:color w:val="auto"/>
                <w:sz w:val="28"/>
                <w:szCs w:val="32"/>
              </w:rPr>
            </w:pPr>
          </w:p>
        </w:tc>
        <w:tc>
          <w:tcPr>
            <w:tcW w:w="1805" w:type="dxa"/>
            <w:vAlign w:val="center"/>
          </w:tcPr>
          <w:p>
            <w:pPr>
              <w:pStyle w:val="4"/>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4"/>
              <w:spacing w:line="240" w:lineRule="auto"/>
              <w:outlineLvl w:val="0"/>
              <w:rPr>
                <w:rFonts w:hint="eastAsia" w:ascii="宋体" w:hAnsi="宋体" w:eastAsia="宋体" w:cs="宋体"/>
                <w:bCs/>
                <w:color w:val="auto"/>
                <w:sz w:val="28"/>
                <w:szCs w:val="32"/>
              </w:rPr>
            </w:pPr>
          </w:p>
        </w:tc>
        <w:tc>
          <w:tcPr>
            <w:tcW w:w="1978" w:type="dxa"/>
            <w:vAlign w:val="center"/>
          </w:tcPr>
          <w:p>
            <w:pPr>
              <w:pStyle w:val="4"/>
              <w:spacing w:line="240" w:lineRule="auto"/>
              <w:outlineLvl w:val="0"/>
              <w:rPr>
                <w:rFonts w:hint="eastAsia" w:ascii="宋体" w:hAnsi="宋体" w:eastAsia="宋体" w:cs="宋体"/>
                <w:bCs/>
                <w:color w:val="auto"/>
                <w:sz w:val="28"/>
                <w:szCs w:val="32"/>
              </w:rPr>
            </w:pPr>
          </w:p>
        </w:tc>
        <w:tc>
          <w:tcPr>
            <w:tcW w:w="1951" w:type="dxa"/>
            <w:vAlign w:val="center"/>
          </w:tcPr>
          <w:p>
            <w:pPr>
              <w:pStyle w:val="4"/>
              <w:spacing w:line="240" w:lineRule="auto"/>
              <w:outlineLvl w:val="0"/>
              <w:rPr>
                <w:rFonts w:hint="eastAsia" w:ascii="宋体" w:hAnsi="宋体" w:eastAsia="宋体" w:cs="宋体"/>
                <w:bCs/>
                <w:color w:val="auto"/>
                <w:sz w:val="28"/>
                <w:szCs w:val="32"/>
              </w:rPr>
            </w:pPr>
          </w:p>
        </w:tc>
        <w:tc>
          <w:tcPr>
            <w:tcW w:w="1701" w:type="dxa"/>
            <w:vAlign w:val="center"/>
          </w:tcPr>
          <w:p>
            <w:pPr>
              <w:pStyle w:val="4"/>
              <w:spacing w:line="240" w:lineRule="auto"/>
              <w:outlineLvl w:val="0"/>
              <w:rPr>
                <w:rFonts w:hint="eastAsia" w:ascii="宋体" w:hAnsi="宋体" w:eastAsia="宋体" w:cs="宋体"/>
                <w:bCs/>
                <w:color w:val="auto"/>
                <w:sz w:val="28"/>
                <w:szCs w:val="32"/>
              </w:rPr>
            </w:pPr>
          </w:p>
        </w:tc>
        <w:tc>
          <w:tcPr>
            <w:tcW w:w="1417" w:type="dxa"/>
            <w:vAlign w:val="center"/>
          </w:tcPr>
          <w:p>
            <w:pPr>
              <w:pStyle w:val="4"/>
              <w:spacing w:line="240" w:lineRule="auto"/>
              <w:outlineLvl w:val="0"/>
              <w:rPr>
                <w:rFonts w:hint="eastAsia" w:ascii="宋体" w:hAnsi="宋体" w:eastAsia="宋体" w:cs="宋体"/>
                <w:bCs/>
                <w:color w:val="auto"/>
                <w:sz w:val="28"/>
                <w:szCs w:val="32"/>
              </w:rPr>
            </w:pPr>
          </w:p>
        </w:tc>
        <w:tc>
          <w:tcPr>
            <w:tcW w:w="1805" w:type="dxa"/>
            <w:vAlign w:val="center"/>
          </w:tcPr>
          <w:p>
            <w:pPr>
              <w:pStyle w:val="4"/>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4"/>
              <w:spacing w:line="240" w:lineRule="auto"/>
              <w:outlineLvl w:val="0"/>
              <w:rPr>
                <w:rFonts w:hint="eastAsia" w:ascii="宋体" w:hAnsi="宋体" w:eastAsia="宋体" w:cs="宋体"/>
                <w:bCs/>
                <w:color w:val="auto"/>
                <w:sz w:val="28"/>
                <w:szCs w:val="32"/>
              </w:rPr>
            </w:pPr>
          </w:p>
        </w:tc>
        <w:tc>
          <w:tcPr>
            <w:tcW w:w="1978" w:type="dxa"/>
            <w:vAlign w:val="center"/>
          </w:tcPr>
          <w:p>
            <w:pPr>
              <w:pStyle w:val="4"/>
              <w:spacing w:line="240" w:lineRule="auto"/>
              <w:outlineLvl w:val="0"/>
              <w:rPr>
                <w:rFonts w:hint="eastAsia" w:ascii="宋体" w:hAnsi="宋体" w:eastAsia="宋体" w:cs="宋体"/>
                <w:bCs/>
                <w:color w:val="auto"/>
                <w:sz w:val="28"/>
                <w:szCs w:val="32"/>
              </w:rPr>
            </w:pPr>
          </w:p>
        </w:tc>
        <w:tc>
          <w:tcPr>
            <w:tcW w:w="1951" w:type="dxa"/>
            <w:vAlign w:val="center"/>
          </w:tcPr>
          <w:p>
            <w:pPr>
              <w:pStyle w:val="4"/>
              <w:spacing w:line="240" w:lineRule="auto"/>
              <w:outlineLvl w:val="0"/>
              <w:rPr>
                <w:rFonts w:hint="eastAsia" w:ascii="宋体" w:hAnsi="宋体" w:eastAsia="宋体" w:cs="宋体"/>
                <w:bCs/>
                <w:color w:val="auto"/>
                <w:sz w:val="28"/>
                <w:szCs w:val="32"/>
              </w:rPr>
            </w:pPr>
          </w:p>
        </w:tc>
        <w:tc>
          <w:tcPr>
            <w:tcW w:w="1701" w:type="dxa"/>
            <w:vAlign w:val="center"/>
          </w:tcPr>
          <w:p>
            <w:pPr>
              <w:pStyle w:val="4"/>
              <w:spacing w:line="240" w:lineRule="auto"/>
              <w:outlineLvl w:val="0"/>
              <w:rPr>
                <w:rFonts w:hint="eastAsia" w:ascii="宋体" w:hAnsi="宋体" w:eastAsia="宋体" w:cs="宋体"/>
                <w:bCs/>
                <w:color w:val="auto"/>
                <w:sz w:val="28"/>
                <w:szCs w:val="32"/>
              </w:rPr>
            </w:pPr>
          </w:p>
        </w:tc>
        <w:tc>
          <w:tcPr>
            <w:tcW w:w="1417" w:type="dxa"/>
            <w:vAlign w:val="center"/>
          </w:tcPr>
          <w:p>
            <w:pPr>
              <w:pStyle w:val="4"/>
              <w:spacing w:line="240" w:lineRule="auto"/>
              <w:outlineLvl w:val="0"/>
              <w:rPr>
                <w:rFonts w:hint="eastAsia" w:ascii="宋体" w:hAnsi="宋体" w:eastAsia="宋体" w:cs="宋体"/>
                <w:bCs/>
                <w:color w:val="auto"/>
                <w:sz w:val="28"/>
                <w:szCs w:val="32"/>
              </w:rPr>
            </w:pPr>
          </w:p>
        </w:tc>
        <w:tc>
          <w:tcPr>
            <w:tcW w:w="1805" w:type="dxa"/>
            <w:vAlign w:val="center"/>
          </w:tcPr>
          <w:p>
            <w:pPr>
              <w:pStyle w:val="4"/>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EEFBF38"/>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9FF5436"/>
    <w:rsid w:val="3A5C364C"/>
    <w:rsid w:val="3B4535CA"/>
    <w:rsid w:val="3B48454E"/>
    <w:rsid w:val="3B551DDF"/>
    <w:rsid w:val="3B9205DD"/>
    <w:rsid w:val="3C3A32AB"/>
    <w:rsid w:val="3CD704DD"/>
    <w:rsid w:val="3CF776A0"/>
    <w:rsid w:val="3D4E699A"/>
    <w:rsid w:val="3D706EFA"/>
    <w:rsid w:val="3DEA3440"/>
    <w:rsid w:val="3E617FE4"/>
    <w:rsid w:val="3EB62F71"/>
    <w:rsid w:val="3F081252"/>
    <w:rsid w:val="3FBF8EA5"/>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B77121"/>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6FEF05EC"/>
    <w:rsid w:val="70111102"/>
    <w:rsid w:val="70416FD2"/>
    <w:rsid w:val="708337ED"/>
    <w:rsid w:val="7099044B"/>
    <w:rsid w:val="71213827"/>
    <w:rsid w:val="712E480B"/>
    <w:rsid w:val="71592582"/>
    <w:rsid w:val="718E1E6E"/>
    <w:rsid w:val="71E02960"/>
    <w:rsid w:val="722246CE"/>
    <w:rsid w:val="723F9663"/>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6D451A"/>
    <w:rsid w:val="767647F0"/>
    <w:rsid w:val="767845DC"/>
    <w:rsid w:val="76FB26C3"/>
    <w:rsid w:val="77627EF2"/>
    <w:rsid w:val="77FFA3D8"/>
    <w:rsid w:val="781E371F"/>
    <w:rsid w:val="78A807BD"/>
    <w:rsid w:val="78F5F53A"/>
    <w:rsid w:val="79B74F12"/>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DFFC51A"/>
    <w:rsid w:val="7E69B779"/>
    <w:rsid w:val="7EFF72FD"/>
    <w:rsid w:val="7F77AFA1"/>
    <w:rsid w:val="7F8A69E7"/>
    <w:rsid w:val="7F9FC6F6"/>
    <w:rsid w:val="7FCE28DD"/>
    <w:rsid w:val="7FFC012D"/>
    <w:rsid w:val="9758F561"/>
    <w:rsid w:val="975AE2D0"/>
    <w:rsid w:val="9AF7118C"/>
    <w:rsid w:val="9F7B2145"/>
    <w:rsid w:val="ABD30FDE"/>
    <w:rsid w:val="ADFF9442"/>
    <w:rsid w:val="BF7F9E93"/>
    <w:rsid w:val="BFFC89CD"/>
    <w:rsid w:val="D95E0322"/>
    <w:rsid w:val="DBADBE57"/>
    <w:rsid w:val="E9FC1D4C"/>
    <w:rsid w:val="EE91F872"/>
    <w:rsid w:val="EF5DC196"/>
    <w:rsid w:val="EF9FF6E7"/>
    <w:rsid w:val="EFF4B432"/>
    <w:rsid w:val="F7CBFFB1"/>
    <w:rsid w:val="F7EFEFFE"/>
    <w:rsid w:val="F9D7B812"/>
    <w:rsid w:val="FA2EC53F"/>
    <w:rsid w:val="FAFF7C83"/>
    <w:rsid w:val="FB338FA7"/>
    <w:rsid w:val="FF639BF8"/>
    <w:rsid w:val="FFD76C58"/>
    <w:rsid w:val="FFE5F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8"/>
      <w:szCs w:val="28"/>
      <w:lang w:val="en-US" w:eastAsia="zh-CN" w:bidi="ar-SA"/>
    </w:rPr>
  </w:style>
  <w:style w:type="paragraph" w:customStyle="1" w:styleId="3">
    <w:name w:val="正文文本1"/>
    <w:basedOn w:val="2"/>
    <w:qFormat/>
    <w:uiPriority w:val="0"/>
    <w:pPr>
      <w:spacing w:after="120"/>
    </w:pPr>
  </w:style>
  <w:style w:type="paragraph" w:styleId="5">
    <w:name w:val="annotation text"/>
    <w:basedOn w:val="1"/>
    <w:semiHidden/>
    <w:unhideWhenUsed/>
    <w:qFormat/>
    <w:uiPriority w:val="99"/>
    <w:pPr>
      <w:jc w:val="left"/>
    </w:pPr>
  </w:style>
  <w:style w:type="paragraph" w:styleId="6">
    <w:name w:val="Body Text"/>
    <w:basedOn w:val="1"/>
    <w:next w:val="7"/>
    <w:qFormat/>
    <w:uiPriority w:val="99"/>
    <w:pPr>
      <w:spacing w:line="360" w:lineRule="auto"/>
    </w:pPr>
  </w:style>
  <w:style w:type="paragraph" w:styleId="7">
    <w:name w:val="Body Text First Indent"/>
    <w:basedOn w:val="6"/>
    <w:qFormat/>
    <w:uiPriority w:val="0"/>
    <w:pPr>
      <w:ind w:firstLine="420"/>
    </w:p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批注框文本 字符"/>
    <w:basedOn w:val="14"/>
    <w:link w:val="8"/>
    <w:semiHidden/>
    <w:qFormat/>
    <w:uiPriority w:val="99"/>
    <w:rPr>
      <w:sz w:val="18"/>
      <w:szCs w:val="18"/>
    </w:rPr>
  </w:style>
  <w:style w:type="character" w:customStyle="1" w:styleId="20">
    <w:name w:val="标题 1 字符"/>
    <w:basedOn w:val="14"/>
    <w:link w:val="4"/>
    <w:qFormat/>
    <w:uiPriority w:val="0"/>
    <w:rPr>
      <w:rFonts w:ascii="方正小标宋简体" w:hAnsi="方正小标宋简体" w:eastAsia="方正小标宋简体" w:cs="Times New Roman"/>
      <w:kern w:val="44"/>
      <w:sz w:val="44"/>
      <w:szCs w:val="24"/>
    </w:rPr>
  </w:style>
  <w:style w:type="paragraph" w:customStyle="1" w:styleId="21">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0</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2024-06-25T01:10:00Z</dcterms:created>
  <dc:creator>石伟豪</dc:creator>
  <cp:lastModifiedBy>刘嘉颖</cp:lastModifiedBy>
  <cp:lastPrinted>2024-11-24T10:25:00Z</cp:lastPrinted>
  <dcterms:modified xsi:type="dcterms:W3CDTF">2025-12-23T09:43:01Z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F1216C81DB6F264D3FF24969BF4F97F6</vt:lpwstr>
  </property>
</Properties>
</file>