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rPr>
        <w:t>关于浙商银行总行本级2025年度下半年柜面设备供应商征集公告</w:t>
      </w:r>
    </w:p>
    <w:p>
      <w:pPr>
        <w:pStyle w:val="9"/>
        <w:spacing w:before="0" w:beforeAutospacing="0" w:after="0" w:afterAutospacing="0" w:line="360" w:lineRule="auto"/>
        <w:ind w:firstLine="562" w:firstLineChars="200"/>
        <w:rPr>
          <w:rStyle w:val="13"/>
          <w:rFonts w:hint="eastAsia" w:ascii="宋体" w:hAnsi="宋体" w:eastAsia="宋体" w:cs="宋体"/>
          <w:b w:val="0"/>
          <w:color w:val="auto"/>
          <w:sz w:val="28"/>
          <w:szCs w:val="28"/>
        </w:rPr>
      </w:pPr>
      <w:r>
        <w:rPr>
          <w:rStyle w:val="13"/>
          <w:rFonts w:hint="eastAsia" w:ascii="宋体" w:hAnsi="宋体" w:eastAsia="宋体" w:cs="宋体"/>
          <w:color w:val="auto"/>
          <w:sz w:val="28"/>
          <w:szCs w:val="28"/>
        </w:rPr>
        <w:t>公</w:t>
      </w:r>
      <w:r>
        <w:rPr>
          <w:rStyle w:val="13"/>
          <w:rFonts w:hint="eastAsia" w:ascii="宋体" w:hAnsi="宋体" w:eastAsia="宋体" w:cs="宋体"/>
          <w:color w:val="auto"/>
          <w:sz w:val="28"/>
          <w:szCs w:val="28"/>
          <w:lang w:val="en-US" w:eastAsia="zh-CN"/>
        </w:rPr>
        <w:t>告</w:t>
      </w:r>
      <w:r>
        <w:rPr>
          <w:rStyle w:val="13"/>
          <w:rFonts w:hint="eastAsia" w:ascii="宋体" w:hAnsi="宋体" w:eastAsia="宋体" w:cs="宋体"/>
          <w:color w:val="auto"/>
          <w:sz w:val="28"/>
          <w:szCs w:val="28"/>
        </w:rPr>
        <w:t>简要情况说明：</w:t>
      </w:r>
      <w:r>
        <w:rPr>
          <w:rStyle w:val="13"/>
          <w:rFonts w:hint="eastAsia" w:ascii="宋体" w:hAnsi="宋体" w:eastAsia="宋体" w:cs="宋体"/>
          <w:b w:val="0"/>
          <w:color w:val="auto"/>
          <w:sz w:val="28"/>
          <w:szCs w:val="28"/>
        </w:rPr>
        <w:t>浙商银行股份有限公司</w:t>
      </w:r>
      <w:r>
        <w:rPr>
          <w:rFonts w:hint="eastAsia" w:ascii="宋体" w:hAnsi="宋体" w:eastAsia="宋体" w:cs="宋体"/>
          <w:color w:val="auto"/>
          <w:sz w:val="28"/>
          <w:szCs w:val="28"/>
        </w:rPr>
        <w:t>将于近期就总行本级2025年度下半年柜面设备</w:t>
      </w:r>
      <w:r>
        <w:rPr>
          <w:rStyle w:val="13"/>
          <w:rFonts w:hint="eastAsia" w:ascii="宋体" w:hAnsi="宋体" w:eastAsia="宋体" w:cs="宋体"/>
          <w:b w:val="0"/>
          <w:color w:val="auto"/>
          <w:sz w:val="28"/>
          <w:szCs w:val="28"/>
        </w:rPr>
        <w:t>项目进行潜在供应商寻源，有关事宜如下：</w:t>
      </w:r>
    </w:p>
    <w:p>
      <w:pPr>
        <w:pStyle w:val="9"/>
        <w:spacing w:before="0" w:beforeAutospacing="0" w:after="0" w:afterAutospacing="0" w:line="360" w:lineRule="auto"/>
        <w:ind w:firstLine="560" w:firstLineChars="200"/>
        <w:rPr>
          <w:rStyle w:val="13"/>
          <w:rFonts w:hint="eastAsia" w:ascii="宋体" w:hAnsi="宋体" w:eastAsia="宋体" w:cs="宋体"/>
          <w:b w:val="0"/>
          <w:color w:val="auto"/>
          <w:sz w:val="28"/>
          <w:szCs w:val="28"/>
          <w:lang w:val="en-US" w:eastAsia="zh-CN"/>
        </w:rPr>
      </w:pPr>
      <w:r>
        <w:rPr>
          <w:rStyle w:val="13"/>
          <w:rFonts w:hint="eastAsia" w:ascii="宋体" w:hAnsi="宋体" w:eastAsia="宋体" w:cs="宋体"/>
          <w:b w:val="0"/>
          <w:color w:val="auto"/>
          <w:sz w:val="28"/>
          <w:szCs w:val="28"/>
        </w:rPr>
        <w:t>一、</w:t>
      </w:r>
      <w:r>
        <w:rPr>
          <w:rStyle w:val="13"/>
          <w:rFonts w:hint="eastAsia" w:ascii="宋体" w:hAnsi="宋体" w:eastAsia="宋体" w:cs="宋体"/>
          <w:color w:val="auto"/>
          <w:sz w:val="28"/>
          <w:szCs w:val="28"/>
        </w:rPr>
        <w:t>项目名称：</w:t>
      </w:r>
      <w:r>
        <w:rPr>
          <w:rStyle w:val="13"/>
          <w:rFonts w:hint="eastAsia" w:ascii="宋体" w:hAnsi="宋体" w:eastAsia="宋体" w:cs="宋体"/>
          <w:b w:val="0"/>
          <w:color w:val="auto"/>
          <w:sz w:val="28"/>
          <w:szCs w:val="28"/>
        </w:rPr>
        <w:t>总行本级2025年度下半年柜面设备</w:t>
      </w:r>
    </w:p>
    <w:p>
      <w:pPr>
        <w:pStyle w:val="9"/>
        <w:spacing w:before="0" w:beforeAutospacing="0" w:after="0" w:afterAutospacing="0" w:line="360" w:lineRule="auto"/>
        <w:ind w:firstLine="562" w:firstLineChars="200"/>
        <w:rPr>
          <w:rFonts w:hint="eastAsia" w:ascii="宋体" w:hAnsi="宋体" w:eastAsia="宋体" w:cs="宋体"/>
          <w:i w:val="0"/>
          <w:iCs w:val="0"/>
          <w:caps w:val="0"/>
          <w:color w:val="000000"/>
          <w:spacing w:val="0"/>
          <w:sz w:val="24"/>
          <w:szCs w:val="24"/>
          <w:lang w:val="en-US" w:eastAsia="zh-CN"/>
        </w:rPr>
      </w:pPr>
      <w:r>
        <w:rPr>
          <w:rStyle w:val="13"/>
          <w:rFonts w:hint="eastAsia" w:ascii="宋体" w:hAnsi="宋体" w:eastAsia="宋体" w:cs="宋体"/>
          <w:color w:val="auto"/>
          <w:sz w:val="28"/>
          <w:szCs w:val="28"/>
        </w:rPr>
        <w:t>二、内容及要求</w:t>
      </w:r>
    </w:p>
    <w:p>
      <w:pPr>
        <w:pStyle w:val="9"/>
        <w:spacing w:before="0" w:beforeAutospacing="0" w:after="0" w:afterAutospacing="0" w:line="360" w:lineRule="auto"/>
        <w:ind w:firstLine="562" w:firstLineChars="200"/>
        <w:rPr>
          <w:rStyle w:val="13"/>
          <w:rFonts w:hint="eastAsia" w:ascii="宋体" w:hAnsi="宋体" w:eastAsia="宋体" w:cs="宋体"/>
          <w:b w:val="0"/>
          <w:i w:val="0"/>
          <w:iCs/>
          <w:color w:val="auto"/>
          <w:sz w:val="28"/>
          <w:szCs w:val="28"/>
        </w:rPr>
      </w:pPr>
      <w:r>
        <w:rPr>
          <w:rFonts w:hint="eastAsia" w:ascii="宋体" w:hAnsi="宋体" w:eastAsia="宋体" w:cs="宋体"/>
          <w:b/>
          <w:bCs/>
          <w:color w:val="auto"/>
          <w:sz w:val="28"/>
          <w:szCs w:val="28"/>
          <w:lang w:val="en-US" w:eastAsia="zh-CN"/>
        </w:rPr>
        <w:t>2.1</w:t>
      </w:r>
      <w:r>
        <w:rPr>
          <w:rStyle w:val="13"/>
          <w:rFonts w:hint="eastAsia" w:ascii="宋体" w:hAnsi="宋体" w:eastAsia="宋体" w:cs="宋体"/>
          <w:b w:val="0"/>
          <w:i w:val="0"/>
          <w:iCs/>
          <w:color w:val="auto"/>
          <w:sz w:val="28"/>
          <w:szCs w:val="28"/>
        </w:rPr>
        <w:t>项目基本内容</w:t>
      </w:r>
    </w:p>
    <w:tbl>
      <w:tblPr>
        <w:tblStyle w:val="1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13" w:type="dxa"/>
            <w:noWrap w:val="0"/>
            <w:vAlign w:val="center"/>
          </w:tcPr>
          <w:p>
            <w:pPr>
              <w:contextualSpacing/>
              <w:jc w:val="center"/>
              <w:outlineLvl w:val="1"/>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货物品牌及</w:t>
            </w:r>
            <w:r>
              <w:rPr>
                <w:rFonts w:hint="eastAsia" w:ascii="宋体" w:hAnsi="宋体" w:eastAsia="宋体" w:cs="Times New Roman"/>
                <w:kern w:val="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13" w:type="dxa"/>
            <w:noWrap w:val="0"/>
            <w:vAlign w:val="center"/>
          </w:tcPr>
          <w:p>
            <w:pPr>
              <w:contextualSpacing/>
              <w:jc w:val="center"/>
              <w:outlineLvl w:val="1"/>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佳能M140II扫描仪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13" w:type="dxa"/>
            <w:noWrap w:val="0"/>
            <w:vAlign w:val="center"/>
          </w:tcPr>
          <w:p>
            <w:pPr>
              <w:contextualSpacing/>
              <w:jc w:val="center"/>
              <w:outlineLvl w:val="1"/>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长城PR2凭证打印机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13" w:type="dxa"/>
            <w:noWrap w:val="0"/>
            <w:vAlign w:val="center"/>
          </w:tcPr>
          <w:p>
            <w:pPr>
              <w:contextualSpacing/>
              <w:jc w:val="center"/>
              <w:outlineLvl w:val="1"/>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惠普Officejet 200打印机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13" w:type="dxa"/>
            <w:noWrap w:val="0"/>
            <w:vAlign w:val="center"/>
          </w:tcPr>
          <w:p>
            <w:pPr>
              <w:contextualSpacing/>
              <w:jc w:val="center"/>
              <w:outlineLvl w:val="1"/>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联想启天K10 Pro（TB226XC）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13" w:type="dxa"/>
            <w:noWrap w:val="0"/>
            <w:vAlign w:val="center"/>
          </w:tcPr>
          <w:p>
            <w:pPr>
              <w:contextualSpacing/>
              <w:jc w:val="center"/>
              <w:outlineLvl w:val="1"/>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HIDGLOBAL OMNIKEY 5321V2制卡器</w:t>
            </w:r>
          </w:p>
        </w:tc>
      </w:tr>
    </w:tbl>
    <w:p>
      <w:pPr>
        <w:pStyle w:val="9"/>
        <w:numPr>
          <w:ilvl w:val="0"/>
          <w:numId w:val="0"/>
        </w:numPr>
        <w:spacing w:before="0" w:beforeAutospacing="0" w:after="0" w:afterAutospacing="0" w:line="360" w:lineRule="auto"/>
        <w:ind w:firstLine="904" w:firstLineChars="0"/>
        <w:rPr>
          <w:rStyle w:val="13"/>
          <w:rFonts w:hint="eastAsia" w:ascii="宋体" w:hAnsi="宋体" w:eastAsia="宋体" w:cs="宋体"/>
          <w:b w:val="0"/>
          <w:i w:val="0"/>
          <w:i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2.2技术要求</w:t>
      </w:r>
    </w:p>
    <w:tbl>
      <w:tblPr>
        <w:tblStyle w:val="10"/>
        <w:tblpPr w:leftFromText="180" w:rightFromText="180" w:vertAnchor="text" w:horzAnchor="page" w:tblpX="1859" w:tblpY="500"/>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03"/>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19"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ascii="宋体" w:hAnsi="宋体" w:eastAsia="宋体" w:cs="宋体"/>
                <w:sz w:val="24"/>
                <w:szCs w:val="24"/>
              </w:rPr>
            </w:pPr>
            <w:r>
              <w:rPr>
                <w:rFonts w:hint="eastAsia" w:ascii="宋体" w:hAnsi="宋体" w:eastAsia="宋体" w:cs="宋体"/>
                <w:b/>
                <w:sz w:val="24"/>
                <w:szCs w:val="24"/>
              </w:rPr>
              <w:t>序号</w:t>
            </w:r>
          </w:p>
        </w:tc>
        <w:tc>
          <w:tcPr>
            <w:tcW w:w="190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宋体" w:hAnsi="宋体" w:eastAsia="宋体" w:cs="宋体"/>
                <w:b/>
                <w:sz w:val="24"/>
                <w:szCs w:val="24"/>
              </w:rPr>
            </w:pPr>
            <w:r>
              <w:rPr>
                <w:rFonts w:hint="eastAsia" w:ascii="宋体" w:hAnsi="宋体" w:eastAsia="宋体" w:cs="宋体"/>
                <w:b/>
                <w:sz w:val="24"/>
                <w:szCs w:val="24"/>
              </w:rPr>
              <w:t>设备</w:t>
            </w:r>
            <w:r>
              <w:rPr>
                <w:rFonts w:hint="eastAsia" w:ascii="宋体" w:hAnsi="宋体" w:eastAsia="宋体" w:cs="宋体"/>
                <w:b/>
                <w:sz w:val="24"/>
                <w:szCs w:val="24"/>
                <w:lang w:val="en-US" w:eastAsia="zh-CN"/>
              </w:rPr>
              <w:t>品牌及</w:t>
            </w:r>
            <w:r>
              <w:rPr>
                <w:rFonts w:hint="eastAsia" w:ascii="宋体" w:hAnsi="宋体" w:eastAsia="宋体" w:cs="宋体"/>
                <w:b/>
                <w:sz w:val="24"/>
                <w:szCs w:val="24"/>
              </w:rPr>
              <w:t>名称</w:t>
            </w:r>
          </w:p>
        </w:tc>
        <w:tc>
          <w:tcPr>
            <w:tcW w:w="64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宋体" w:hAnsi="宋体" w:eastAsia="宋体" w:cs="宋体"/>
                <w:sz w:val="24"/>
                <w:szCs w:val="24"/>
              </w:rPr>
            </w:pPr>
            <w:r>
              <w:rPr>
                <w:rFonts w:hint="eastAsia" w:ascii="宋体" w:hAnsi="宋体" w:eastAsia="宋体" w:cs="宋体"/>
                <w:b/>
                <w:sz w:val="24"/>
                <w:szCs w:val="24"/>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19" w:type="dxa"/>
            <w:tcBorders>
              <w:left w:val="single" w:color="auto" w:sz="4" w:space="0"/>
              <w:right w:val="single" w:color="auto" w:sz="4" w:space="0"/>
              <w:tl2br w:val="nil"/>
              <w:tr2bl w:val="nil"/>
            </w:tcBorders>
            <w:noWrap w:val="0"/>
            <w:vAlign w:val="center"/>
          </w:tcPr>
          <w:p>
            <w:pPr>
              <w:widowControl/>
              <w:spacing w:line="276"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903" w:type="dxa"/>
            <w:tcBorders>
              <w:left w:val="single" w:color="auto" w:sz="4" w:space="0"/>
              <w:right w:val="single" w:color="auto" w:sz="4" w:space="0"/>
              <w:tl2br w:val="nil"/>
              <w:tr2bl w:val="nil"/>
            </w:tcBorders>
            <w:noWrap w:val="0"/>
            <w:vAlign w:val="center"/>
          </w:tcPr>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佳能DR-M140II扫描仪</w:t>
            </w:r>
          </w:p>
        </w:tc>
        <w:tc>
          <w:tcPr>
            <w:tcW w:w="64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1.最大幅面：A4；</w:t>
            </w:r>
          </w:p>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2.扫描范围：普通纸宽度：54-216mm，长度：50.8-356mm（通过设置扫描仪为长纸模式，可以扫描长达3，000mm的文件） 名片：50mm×85mm、卡片：53.9 mm×85.5mm；</w:t>
            </w:r>
          </w:p>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3.扫描速度：40ppm；</w:t>
            </w:r>
          </w:p>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4.扫描参数：256级灰度，高级文本增强、高级文本增强、24位彩色；</w:t>
            </w:r>
          </w:p>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5.自动进纸器支持：60页；</w:t>
            </w:r>
          </w:p>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6.电源类型：DC 24V，1.0A；</w:t>
            </w:r>
          </w:p>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7.扫描仪附件： 可选附件：Flatbed Scanner Unit101、条形码模块、滚轴更换工具包 随机软件：Capture OnTouch、Capture Perfect、eCopy PDF Pro Office、Kofax VirtualReScan Basic)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19" w:type="dxa"/>
            <w:tcBorders>
              <w:left w:val="single" w:color="auto" w:sz="4" w:space="0"/>
              <w:right w:val="single" w:color="auto" w:sz="4" w:space="0"/>
              <w:tl2br w:val="nil"/>
              <w:tr2bl w:val="nil"/>
            </w:tcBorders>
            <w:noWrap w:val="0"/>
            <w:vAlign w:val="center"/>
          </w:tcPr>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03" w:type="dxa"/>
            <w:tcBorders>
              <w:left w:val="single" w:color="auto" w:sz="4" w:space="0"/>
              <w:right w:val="single" w:color="auto" w:sz="4" w:space="0"/>
              <w:tl2br w:val="nil"/>
              <w:tr2bl w:val="nil"/>
            </w:tcBorders>
            <w:noWrap w:val="0"/>
            <w:vAlign w:val="center"/>
          </w:tcPr>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长城PR2 PLUS凭证打印机</w:t>
            </w:r>
          </w:p>
        </w:tc>
        <w:tc>
          <w:tcPr>
            <w:tcW w:w="64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1.打印头：24针，针真径0.25mm，寿命大于4亿次/针；</w:t>
            </w:r>
          </w:p>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2.对齐速度：0.3秒；</w:t>
            </w:r>
          </w:p>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3.复印能力：1+6层；</w:t>
            </w:r>
          </w:p>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4.最大打印厚度：2.0mm；</w:t>
            </w:r>
          </w:p>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5.纸张处理方式：自动纠偏，自动对边，自动调整打印厚度；6.色带：专用大色带盒及黑色色带，色带寿命约1000万个字符；</w:t>
            </w:r>
          </w:p>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7.电源供电：VAC：220-240V；</w:t>
            </w:r>
          </w:p>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8.驱动支持系统：win10/win7等；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19" w:type="dxa"/>
            <w:tcBorders>
              <w:left w:val="single" w:color="auto" w:sz="4" w:space="0"/>
              <w:right w:val="single" w:color="auto" w:sz="4" w:space="0"/>
              <w:tl2br w:val="nil"/>
              <w:tr2bl w:val="nil"/>
            </w:tcBorders>
            <w:noWrap w:val="0"/>
            <w:vAlign w:val="center"/>
          </w:tcPr>
          <w:p>
            <w:pPr>
              <w:widowControl/>
              <w:spacing w:line="276"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903" w:type="dxa"/>
            <w:tcBorders>
              <w:left w:val="single" w:color="auto" w:sz="4" w:space="0"/>
              <w:right w:val="single" w:color="auto" w:sz="4" w:space="0"/>
              <w:tl2br w:val="nil"/>
              <w:tr2bl w:val="nil"/>
            </w:tcBorders>
            <w:noWrap w:val="0"/>
            <w:vAlign w:val="center"/>
          </w:tcPr>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惠普Officejet 200打印机</w:t>
            </w:r>
          </w:p>
        </w:tc>
        <w:tc>
          <w:tcPr>
            <w:tcW w:w="64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1.最大打印幅面：A4；</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2.接口：USB2.0；</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3.处理器：128MB，525MHz；</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4.产品尺寸：长363mm，宽186mm，高69mm；</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5.打印分辨率：黑白1200*1200，彩色4800*1200；</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6.支持系统：适配Windows、Linux；</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7.提供墨盒打印量：黑色墨盒200页，彩色墨盒165页。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19" w:type="dxa"/>
            <w:tcBorders>
              <w:left w:val="single" w:color="auto" w:sz="4" w:space="0"/>
              <w:right w:val="single" w:color="auto" w:sz="4" w:space="0"/>
              <w:tl2br w:val="nil"/>
              <w:tr2bl w:val="nil"/>
            </w:tcBorders>
            <w:noWrap w:val="0"/>
            <w:vAlign w:val="center"/>
          </w:tcPr>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903" w:type="dxa"/>
            <w:tcBorders>
              <w:left w:val="single" w:color="auto" w:sz="4" w:space="0"/>
              <w:right w:val="single" w:color="auto" w:sz="4" w:space="0"/>
              <w:tl2br w:val="nil"/>
              <w:tr2bl w:val="nil"/>
            </w:tcBorders>
            <w:noWrap w:val="0"/>
            <w:vAlign w:val="center"/>
          </w:tcPr>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联想启天K10 Pro（TB226XC）</w:t>
            </w:r>
          </w:p>
        </w:tc>
        <w:tc>
          <w:tcPr>
            <w:tcW w:w="64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TB226XC型号，配置6+128，全网通版本。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19" w:type="dxa"/>
            <w:tcBorders>
              <w:left w:val="single" w:color="auto" w:sz="4" w:space="0"/>
              <w:right w:val="single" w:color="auto" w:sz="4" w:space="0"/>
              <w:tl2br w:val="nil"/>
              <w:tr2bl w:val="nil"/>
            </w:tcBorders>
            <w:noWrap w:val="0"/>
            <w:vAlign w:val="center"/>
          </w:tcPr>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903" w:type="dxa"/>
            <w:tcBorders>
              <w:left w:val="single" w:color="auto" w:sz="4" w:space="0"/>
              <w:right w:val="single" w:color="auto" w:sz="4" w:space="0"/>
              <w:tl2br w:val="nil"/>
              <w:tr2bl w:val="nil"/>
            </w:tcBorders>
            <w:noWrap w:val="0"/>
            <w:vAlign w:val="center"/>
          </w:tcPr>
          <w:p>
            <w:pPr>
              <w:widowControl/>
              <w:spacing w:line="276"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HIDGLOBAL OMNIKEY 5321V2制卡器</w:t>
            </w:r>
          </w:p>
        </w:tc>
        <w:tc>
          <w:tcPr>
            <w:tcW w:w="64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76"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
            </w:r>
          </w:p>
        </w:tc>
      </w:tr>
    </w:tbl>
    <w:p>
      <w:pPr>
        <w:ind w:firstLine="560" w:firstLineChars="200"/>
        <w:rPr>
          <w:rFonts w:hint="default" w:ascii="宋体" w:hAnsi="宋体" w:eastAsia="宋体" w:cs="宋体"/>
          <w:iCs/>
          <w:color w:val="auto"/>
          <w:kern w:val="2"/>
          <w:sz w:val="28"/>
          <w:szCs w:val="28"/>
          <w:u w:val="none"/>
          <w:lang w:val="en-US" w:eastAsia="zh-CN" w:bidi="ar-SA"/>
        </w:rPr>
      </w:pPr>
    </w:p>
    <w:p>
      <w:pPr>
        <w:widowControl/>
        <w:ind w:firstLine="562" w:firstLineChars="200"/>
        <w:rPr>
          <w:rFonts w:hint="eastAsia" w:ascii="仿宋_GB2312" w:hAnsi="仿宋" w:eastAsia="仿宋_GB2312" w:cs="Times New Roman"/>
          <w:sz w:val="32"/>
          <w:szCs w:val="32"/>
          <w:highlight w:val="none"/>
          <w:lang w:val="en-US" w:eastAsia="zh-CN"/>
        </w:rPr>
      </w:pPr>
      <w:r>
        <w:rPr>
          <w:rFonts w:hint="eastAsia" w:ascii="宋体" w:hAnsi="宋体" w:eastAsia="宋体" w:cs="宋体"/>
          <w:b/>
          <w:bCs/>
          <w:color w:val="auto"/>
          <w:sz w:val="28"/>
          <w:szCs w:val="28"/>
          <w:lang w:val="en-US" w:eastAsia="zh-CN"/>
        </w:rPr>
        <w:t>2.3交付物要求</w:t>
      </w:r>
    </w:p>
    <w:p>
      <w:pPr>
        <w:widowControl/>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（1）供应商所投标的产品（除HIDGLOBAL OMNIKEY 5321V2制卡器外）须拥有明确的产品原厂服务质量保证、完善的售后服务体系和售后服务承诺,原厂服务范围须涵盖目前采购人办公地点（杭州、西安）。</w:t>
      </w:r>
    </w:p>
    <w:p>
      <w:pPr>
        <w:widowControl/>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（2）供应商须提供3年期免费原厂维护、保修、保养、驱动更新，维保期从完成安装调试试运行一个月且验收通过后开始计算。</w:t>
      </w:r>
    </w:p>
    <w:p>
      <w:pPr>
        <w:widowControl/>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3）原厂保修期内，除不可抗力及使用不当造成外，供应商须负责免费更换所有存在缺陷的零部件或损坏的零部件，并免费修复设备存在的所有问题。如供应商提供的设备在一年内整机维修3次及以上，采购人有权要求供应商予以整机免费更换相同型号的全新设备。</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（4）在保修期内，供应商负责应免费提供7*8小时原厂软件免费升级、硬件免费保修、免费配件更换、技术支持和上门服务等，支持形式包括电话、现场和物流等。</w:t>
      </w:r>
    </w:p>
    <w:p>
      <w:pPr>
        <w:spacing w:line="360" w:lineRule="auto"/>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（4.1）电话咨询</w:t>
      </w:r>
    </w:p>
    <w:p>
      <w:pPr>
        <w:spacing w:line="360" w:lineRule="auto"/>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投标人须为招标人提供技术援助电话，解答招标人在系统使用中遇到的问题，及时提出解决问题的建议和操作方法。</w:t>
      </w:r>
    </w:p>
    <w:p>
      <w:pPr>
        <w:spacing w:line="360" w:lineRule="auto"/>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（4.2）远程在线诊断和故障排除</w:t>
      </w:r>
    </w:p>
    <w:p>
      <w:pPr>
        <w:spacing w:line="360" w:lineRule="auto"/>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经招标人授权，投标人可通过电话或Internet远程登录到用户网络系统进行免费的故障诊断和故障排除。</w:t>
      </w:r>
    </w:p>
    <w:p>
      <w:pPr>
        <w:spacing w:line="360" w:lineRule="auto"/>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（4.3）现场响应</w:t>
      </w:r>
    </w:p>
    <w:p>
      <w:pPr>
        <w:spacing w:line="360" w:lineRule="auto"/>
        <w:ind w:firstLine="560" w:firstLineChars="200"/>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原厂保修期内设备出现故障时，投标人应及时派遣技术人员在4小时内与招标人取得联系；如招标人需要，应指派技术人员于最短时间内（24小时内）赶赴现场进行故障处理，备品备件最短时间内到达现场（24小时内）。遇到重大技术问题，投标人应及时组织有关技术专家进行会诊，并在24小时内采取相应措施以确保设备的正常运行。</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5）保修期内，为保证所提供设备正常运行，供应商应提供免费热线服务及当地维护热线，每年根据采购人要求提供至少1次免费设备巡检和预防性维护服务，巡检工作内容包括指导清洁、除尘，对各模块性能进行检查和调整，对磨损或隐患部件进行更换，对设备使用状况进行统计，提交签署巡检备忘录存档等。维保服务中包含故障配件免费更换，以及因处理问题所需要增加的额外配件，均不另行收费。</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Style w:val="13"/>
          <w:rFonts w:hint="eastAsia" w:ascii="宋体" w:hAnsi="宋体" w:eastAsia="宋体" w:cs="宋体"/>
          <w:b w:val="0"/>
          <w:color w:val="auto"/>
          <w:kern w:val="0"/>
          <w:sz w:val="28"/>
          <w:szCs w:val="28"/>
          <w:lang w:val="en-US" w:eastAsia="zh-CN" w:bidi="ar-SA"/>
        </w:rPr>
      </w:pPr>
      <w:r>
        <w:rPr>
          <w:rStyle w:val="13"/>
          <w:rFonts w:hint="eastAsia" w:ascii="宋体" w:hAnsi="宋体" w:eastAsia="宋体" w:cs="宋体"/>
          <w:b w:val="0"/>
          <w:color w:val="auto"/>
          <w:kern w:val="0"/>
          <w:sz w:val="28"/>
          <w:szCs w:val="28"/>
          <w:lang w:val="en-US" w:eastAsia="zh-CN" w:bidi="ar-SA"/>
        </w:rPr>
        <w:t>（6）供应商须对所投产品提供供货、运输、卸货等全流程服务，相关费用须包含在设备单价中。</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rPr>
      </w:pPr>
      <w:r>
        <w:rPr>
          <w:rStyle w:val="13"/>
          <w:rFonts w:hint="eastAsia" w:ascii="宋体" w:hAnsi="宋体" w:eastAsia="宋体" w:cs="宋体"/>
          <w:b w:val="0"/>
          <w:color w:val="auto"/>
          <w:kern w:val="0"/>
          <w:sz w:val="28"/>
          <w:szCs w:val="28"/>
          <w:lang w:val="en-US" w:eastAsia="zh-CN" w:bidi="ar-SA"/>
        </w:rPr>
        <w:t>（7）供应商须保守供货内容及供货执行中所获悉的各类采购人相关信息。</w:t>
      </w: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textAlignment w:val="auto"/>
        <w:rPr>
          <w:rFonts w:hint="eastAsia" w:ascii="宋体" w:hAnsi="宋体" w:eastAsia="宋体" w:cs="宋体"/>
          <w:b/>
          <w:bCs/>
          <w:color w:val="auto"/>
          <w:sz w:val="28"/>
          <w:szCs w:val="28"/>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before="0" w:beforeLines="0" w:beforeAutospacing="0" w:afterLines="0" w:line="360" w:lineRule="auto"/>
        <w:ind w:left="630" w:firstLine="0" w:firstLineChars="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2.3交付物要求</w:t>
      </w:r>
    </w:p>
    <w:p>
      <w:pPr>
        <w:numPr>
          <w:ilvl w:val="0"/>
          <w:numId w:val="0"/>
        </w:numPr>
        <w:snapToGrid w:val="0"/>
        <w:spacing w:beforeLines="0" w:afterLines="0" w:line="360" w:lineRule="auto"/>
        <w:ind w:firstLine="640"/>
        <w:rPr>
          <w:rFonts w:hint="eastAsia" w:ascii="宋体" w:hAnsi="宋体" w:eastAsia="宋体" w:cs="宋体"/>
          <w:iCs/>
          <w:color w:val="auto"/>
          <w:kern w:val="2"/>
          <w:sz w:val="28"/>
          <w:szCs w:val="28"/>
          <w:u w:val="none"/>
          <w:lang w:val="en-US" w:eastAsia="zh-CN" w:bidi="ar-SA"/>
        </w:rPr>
      </w:pPr>
      <w:r>
        <w:rPr>
          <w:rFonts w:hint="eastAsia" w:ascii="仿宋_GB2312" w:hAnsi="仿宋" w:eastAsia="仿宋_GB2312" w:cs="Times New Roman"/>
          <w:color w:val="000000" w:themeColor="text1"/>
          <w:sz w:val="32"/>
          <w:szCs w:val="32"/>
          <w14:textFill>
            <w14:solidFill>
              <w14:schemeClr w14:val="tx1"/>
            </w14:solidFill>
          </w14:textFill>
        </w:rPr>
        <w:t>产品</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到</w:t>
      </w:r>
      <w:r>
        <w:rPr>
          <w:rFonts w:hint="eastAsia" w:ascii="仿宋_GB2312" w:hAnsi="仿宋" w:eastAsia="仿宋_GB2312" w:cs="Times New Roman"/>
          <w:color w:val="000000" w:themeColor="text1"/>
          <w:sz w:val="32"/>
          <w:szCs w:val="32"/>
          <w14:textFill>
            <w14:solidFill>
              <w14:schemeClr w14:val="tx1"/>
            </w14:solidFill>
          </w14:textFill>
        </w:rPr>
        <w:t>货、维护地点：</w:t>
      </w:r>
      <w:r>
        <w:rPr>
          <w:rFonts w:hint="eastAsia" w:ascii="仿宋_GB2312" w:hAnsi="仿宋" w:eastAsia="仿宋_GB2312" w:cs="Times New Roman"/>
          <w:color w:val="000000" w:themeColor="text1"/>
          <w:sz w:val="32"/>
          <w:szCs w:val="32"/>
          <w:lang w:eastAsia="zh-CN"/>
          <w14:textFill>
            <w14:solidFill>
              <w14:schemeClr w14:val="tx1"/>
            </w14:solidFill>
          </w14:textFill>
        </w:rPr>
        <w:t>浙江杭州、西安</w:t>
      </w:r>
      <w:r>
        <w:rPr>
          <w:rFonts w:hint="eastAsia" w:ascii="仿宋_GB2312" w:hAnsi="仿宋"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2.4保密要求</w:t>
      </w:r>
    </w:p>
    <w:p>
      <w:pPr>
        <w:pStyle w:val="19"/>
        <w:adjustRightInd w:val="0"/>
        <w:snapToGrid w:val="0"/>
        <w:spacing w:before="0" w:beforeLines="0" w:afterLines="0" w:line="360" w:lineRule="auto"/>
        <w:rPr>
          <w:rFonts w:hint="eastAsia" w:ascii="宋体" w:hAnsi="宋体" w:eastAsia="宋体" w:cs="宋体"/>
          <w:color w:val="auto"/>
          <w:sz w:val="28"/>
          <w:szCs w:val="28"/>
          <w:lang w:val="en-US" w:eastAsia="zh-CN"/>
        </w:rPr>
      </w:pPr>
      <w:r>
        <w:rPr>
          <w:rFonts w:hint="eastAsia" w:ascii="宋体" w:hAnsi="宋体" w:eastAsia="宋体" w:cs="宋体"/>
          <w:iCs/>
          <w:color w:val="auto"/>
          <w:kern w:val="2"/>
          <w:sz w:val="28"/>
          <w:szCs w:val="28"/>
          <w:u w:val="none"/>
          <w:lang w:val="en-US" w:eastAsia="zh-CN" w:bidi="ar-SA"/>
        </w:rPr>
        <w:t>项目相关人员不得通过私人邮箱、微信等发送</w:t>
      </w:r>
      <w:r>
        <w:rPr>
          <w:rFonts w:hint="eastAsia" w:ascii="宋体" w:hAnsi="宋体" w:cs="宋体"/>
          <w:iCs/>
          <w:color w:val="auto"/>
          <w:kern w:val="2"/>
          <w:sz w:val="28"/>
          <w:szCs w:val="28"/>
          <w:u w:val="none"/>
          <w:lang w:val="en-US" w:eastAsia="zh-CN" w:bidi="ar-SA"/>
        </w:rPr>
        <w:t>采购人</w:t>
      </w:r>
      <w:r>
        <w:rPr>
          <w:rFonts w:hint="eastAsia" w:ascii="宋体" w:hAnsi="宋体" w:eastAsia="宋体" w:cs="宋体"/>
          <w:iCs/>
          <w:color w:val="auto"/>
          <w:kern w:val="2"/>
          <w:sz w:val="28"/>
          <w:szCs w:val="28"/>
          <w:u w:val="none"/>
          <w:lang w:val="en-US" w:eastAsia="zh-CN" w:bidi="ar-SA"/>
        </w:rPr>
        <w:t>项目建设过程中接触到的所有资料，禁止将相关材料外泄至外网，须提供承诺函并加盖公章。</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p>
    <w:p>
      <w:pPr>
        <w:numPr>
          <w:ilvl w:val="0"/>
          <w:numId w:val="0"/>
        </w:numPr>
        <w:spacing w:line="360" w:lineRule="auto"/>
        <w:ind w:firstLine="562" w:firstLineChars="200"/>
        <w:rPr>
          <w:rStyle w:val="13"/>
          <w:rFonts w:hint="eastAsia" w:ascii="宋体" w:hAnsi="宋体" w:eastAsia="宋体" w:cs="宋体"/>
          <w:b/>
          <w:bCs/>
          <w:i w:val="0"/>
          <w:iCs/>
          <w:color w:val="auto"/>
          <w:kern w:val="2"/>
          <w:sz w:val="28"/>
          <w:szCs w:val="28"/>
          <w:lang w:val="en-US" w:eastAsia="zh-CN" w:bidi="ar-SA"/>
        </w:rPr>
      </w:pPr>
      <w:r>
        <w:rPr>
          <w:rStyle w:val="13"/>
          <w:rFonts w:hint="eastAsia" w:ascii="宋体" w:hAnsi="宋体" w:eastAsia="宋体" w:cs="宋体"/>
          <w:b/>
          <w:bCs/>
          <w:i w:val="0"/>
          <w:iCs/>
          <w:color w:val="auto"/>
          <w:kern w:val="2"/>
          <w:sz w:val="28"/>
          <w:szCs w:val="28"/>
          <w:lang w:val="en-US" w:eastAsia="zh-CN" w:bidi="ar-SA"/>
        </w:rPr>
        <w:t>三、资格条件</w:t>
      </w:r>
    </w:p>
    <w:p>
      <w:pPr>
        <w:pStyle w:val="19"/>
        <w:adjustRightInd w:val="0"/>
        <w:snapToGrid w:val="0"/>
        <w:spacing w:beforeLines="0" w:afterLines="0" w:line="360" w:lineRule="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b/>
          <w:bCs/>
          <w:color w:val="auto"/>
          <w:kern w:val="0"/>
          <w:sz w:val="28"/>
          <w:szCs w:val="28"/>
          <w:lang w:val="en-US" w:eastAsia="zh-CN" w:bidi="ar-SA"/>
        </w:rPr>
        <w:t>1.</w:t>
      </w:r>
      <w:r>
        <w:rPr>
          <w:rFonts w:hint="eastAsia" w:ascii="宋体" w:hAnsi="宋体" w:eastAsia="宋体" w:cs="宋体"/>
          <w:iCs/>
          <w:color w:val="auto"/>
          <w:kern w:val="2"/>
          <w:sz w:val="28"/>
          <w:szCs w:val="28"/>
          <w:u w:val="none"/>
          <w:lang w:val="en-US" w:eastAsia="zh-CN" w:bidi="ar-SA"/>
        </w:rPr>
        <w:t>具有独立承担民事责任的能力，提供营业执照复印件并加盖公章。</w:t>
      </w:r>
    </w:p>
    <w:p>
      <w:p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2.本项目不接受联合体投标，且不允许分包、转包。</w:t>
      </w:r>
    </w:p>
    <w:p>
      <w:p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3.法律、行政法规规定的其他条件。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right="0"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cs="宋体"/>
          <w:iCs/>
          <w:color w:val="auto"/>
          <w:kern w:val="2"/>
          <w:sz w:val="28"/>
          <w:szCs w:val="28"/>
          <w:u w:val="none"/>
          <w:lang w:val="en-US" w:eastAsia="zh-CN" w:bidi="ar-SA"/>
        </w:rPr>
        <w:t>4</w:t>
      </w:r>
      <w:r>
        <w:rPr>
          <w:rFonts w:hint="eastAsia" w:ascii="宋体" w:hAnsi="宋体" w:eastAsia="宋体" w:cs="宋体"/>
          <w:iCs/>
          <w:color w:val="auto"/>
          <w:kern w:val="2"/>
          <w:sz w:val="28"/>
          <w:szCs w:val="28"/>
          <w:u w:val="none"/>
          <w:lang w:val="en-US" w:eastAsia="zh-CN" w:bidi="ar-SA"/>
        </w:rPr>
        <w:t>.供应商具有良好的经营声誉，公司在最近三年经营活动中无重大违法、不良信用记录。（提供声明函，并加盖公章）。</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声明函参考格式：</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参加采购活动前三年内（202</w:t>
      </w:r>
      <w:r>
        <w:rPr>
          <w:rFonts w:hint="eastAsia"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val="en-US" w:eastAsia="zh-CN"/>
        </w:rPr>
        <w:t>年</w:t>
      </w:r>
      <w:r>
        <w:rPr>
          <w:rFonts w:hint="eastAsia" w:cs="宋体"/>
          <w:i w:val="0"/>
          <w:iCs w:val="0"/>
          <w:caps w:val="0"/>
          <w:color w:val="auto"/>
          <w:spacing w:val="0"/>
          <w:sz w:val="28"/>
          <w:szCs w:val="28"/>
          <w:lang w:val="en-US" w:eastAsia="zh-CN"/>
        </w:rPr>
        <w:t>11</w:t>
      </w:r>
      <w:r>
        <w:rPr>
          <w:rFonts w:hint="eastAsia" w:ascii="宋体" w:hAnsi="宋体" w:eastAsia="宋体" w:cs="宋体"/>
          <w:i w:val="0"/>
          <w:iCs w:val="0"/>
          <w:caps w:val="0"/>
          <w:color w:val="auto"/>
          <w:spacing w:val="0"/>
          <w:sz w:val="28"/>
          <w:szCs w:val="28"/>
          <w:lang w:val="en-US" w:eastAsia="zh-CN"/>
        </w:rPr>
        <w:t>月至今）在经营活动中没有重大违法记录的书面声明</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致：浙商银行股份有限公司</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我公司郑重承诺在参加本项目采购活动前三年内，在经营活动中   （填写“有”或“没有”，如实填写，如不填写视同未提供本声明函）重大违法记录，重大违法记录是指投标人因违法经营受到刑事处罚或者责令停产停业、吊销许可证或者执照、较大数额罚款等行政处罚。</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以上事项如有虚假或隐瞒，我方愿意承担一切后果和责任。</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特此声明。</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供应商名称（盖章）：</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“信用中国”（www.creditchina.gov.cn)网站截图附后：</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未被列入“失信被执行人”</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未被列入“重大税收违法失信主体”</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未被列入“政府采购活动严重违法失信行为记录名单”</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r>
        <w:rPr>
          <w:rStyle w:val="13"/>
          <w:rFonts w:hint="eastAsia" w:ascii="宋体" w:hAnsi="宋体" w:eastAsia="宋体" w:cs="宋体"/>
          <w:b w:val="0"/>
          <w:i w:val="0"/>
          <w:iCs/>
          <w:color w:val="auto"/>
          <w:kern w:val="2"/>
          <w:sz w:val="28"/>
          <w:szCs w:val="28"/>
          <w:lang w:val="en-US" w:eastAsia="zh-CN" w:bidi="ar-SA"/>
        </w:rPr>
        <w:t>备注：本项目不接受联合体报名，不接受转包、分包。</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cs="宋体"/>
          <w:color w:val="auto"/>
          <w:sz w:val="28"/>
          <w:szCs w:val="28"/>
          <w:lang w:eastAsia="zh-CN"/>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ascii="宋体" w:hAnsi="宋体" w:eastAsia="宋体" w:cs="宋体"/>
          <w:color w:val="auto"/>
          <w:sz w:val="28"/>
          <w:szCs w:val="28"/>
        </w:rPr>
      </w:pPr>
      <w:r>
        <w:rPr>
          <w:rStyle w:val="13"/>
          <w:rFonts w:hint="eastAsia" w:cs="宋体"/>
          <w:color w:val="auto"/>
          <w:sz w:val="28"/>
          <w:szCs w:val="28"/>
          <w:lang w:eastAsia="zh-CN"/>
        </w:rPr>
        <w:t>四</w:t>
      </w:r>
      <w:r>
        <w:rPr>
          <w:rStyle w:val="13"/>
          <w:rFonts w:hint="eastAsia" w:ascii="宋体" w:hAnsi="宋体" w:eastAsia="宋体" w:cs="宋体"/>
          <w:color w:val="auto"/>
          <w:sz w:val="28"/>
          <w:szCs w:val="28"/>
        </w:rPr>
        <w:t>、报名截止时间和方式</w:t>
      </w:r>
    </w:p>
    <w:p>
      <w:pPr>
        <w:pStyle w:val="9"/>
        <w:spacing w:before="0" w:beforeAutospacing="0" w:after="0" w:afterAutospacing="0" w:line="360" w:lineRule="auto"/>
        <w:ind w:firstLine="562" w:firstLineChars="200"/>
        <w:rPr>
          <w:rStyle w:val="13"/>
          <w:rFonts w:hint="eastAsia" w:ascii="宋体" w:hAnsi="宋体" w:eastAsia="宋体" w:cs="宋体"/>
          <w:iCs/>
          <w:color w:val="auto"/>
          <w:sz w:val="28"/>
          <w:szCs w:val="28"/>
        </w:rPr>
      </w:pPr>
      <w:r>
        <w:rPr>
          <w:rStyle w:val="13"/>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11</w:t>
      </w:r>
      <w:r>
        <w:rPr>
          <w:rFonts w:hint="eastAsia" w:ascii="宋体" w:hAnsi="宋体" w:eastAsia="宋体" w:cs="宋体"/>
          <w:iCs/>
          <w:color w:val="auto"/>
          <w:sz w:val="28"/>
          <w:szCs w:val="28"/>
        </w:rPr>
        <w:t>月</w:t>
      </w:r>
      <w:r>
        <w:rPr>
          <w:rFonts w:hint="eastAsia" w:cs="宋体"/>
          <w:iCs/>
          <w:color w:val="auto"/>
          <w:sz w:val="28"/>
          <w:szCs w:val="28"/>
          <w:lang w:val="en-US" w:eastAsia="zh-CN"/>
        </w:rPr>
        <w:t>14</w:t>
      </w:r>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bookmarkStart w:id="0" w:name="_GoBack"/>
      <w:bookmarkEnd w:id="0"/>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9"/>
        <w:spacing w:before="0" w:beforeAutospacing="0" w:after="0" w:afterAutospacing="0" w:line="360" w:lineRule="auto"/>
        <w:ind w:firstLine="562" w:firstLineChars="200"/>
        <w:rPr>
          <w:rStyle w:val="13"/>
          <w:rFonts w:hint="eastAsia" w:ascii="宋体" w:hAnsi="宋体" w:eastAsia="宋体" w:cs="宋体"/>
          <w:b w:val="0"/>
          <w:i/>
          <w:color w:val="auto"/>
          <w:sz w:val="28"/>
          <w:szCs w:val="28"/>
          <w:lang w:eastAsia="zh-CN"/>
        </w:rPr>
      </w:pPr>
      <w:r>
        <w:rPr>
          <w:rStyle w:val="13"/>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报名表（详见附件）、公司近三年无重大违规行为的书面承诺、</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w:t>
      </w:r>
      <w:r>
        <w:rPr>
          <w:rFonts w:hint="eastAsia" w:cs="宋体"/>
          <w:iCs/>
          <w:color w:val="auto"/>
          <w:sz w:val="28"/>
          <w:szCs w:val="28"/>
          <w:lang w:eastAsia="zh-CN"/>
        </w:rPr>
        <w:t>资格条件</w:t>
      </w:r>
      <w:r>
        <w:rPr>
          <w:rFonts w:hint="eastAsia" w:ascii="宋体" w:hAnsi="宋体" w:eastAsia="宋体" w:cs="宋体"/>
          <w:iCs/>
          <w:color w:val="auto"/>
          <w:sz w:val="28"/>
          <w:szCs w:val="28"/>
        </w:rPr>
        <w:t>要求提供）</w:t>
      </w:r>
      <w:r>
        <w:rPr>
          <w:rFonts w:hint="eastAsia" w:ascii="宋体" w:hAnsi="宋体" w:eastAsia="宋体" w:cs="宋体"/>
          <w:iCs/>
          <w:color w:val="auto"/>
          <w:sz w:val="28"/>
          <w:szCs w:val="28"/>
          <w:lang w:eastAsia="zh-CN"/>
        </w:rPr>
        <w:t>。</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Style w:val="13"/>
          <w:rFonts w:hint="eastAsia" w:ascii="宋体" w:hAnsi="宋体" w:eastAsia="宋体" w:cs="宋体"/>
          <w:color w:val="auto"/>
          <w:sz w:val="28"/>
          <w:szCs w:val="28"/>
        </w:rPr>
        <w:t>4.联系人：</w:t>
      </w:r>
      <w:r>
        <w:rPr>
          <w:rFonts w:hint="eastAsia" w:cs="宋体"/>
          <w:iCs/>
          <w:color w:val="auto"/>
          <w:sz w:val="28"/>
          <w:szCs w:val="28"/>
          <w:lang w:val="en-US" w:eastAsia="zh-CN"/>
        </w:rPr>
        <w:t>姜先生</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0571-57191</w:t>
      </w:r>
      <w:r>
        <w:rPr>
          <w:rFonts w:hint="eastAsia" w:cs="宋体"/>
          <w:iCs/>
          <w:color w:val="auto"/>
          <w:sz w:val="28"/>
          <w:szCs w:val="28"/>
          <w:lang w:val="en-US" w:eastAsia="zh-CN"/>
        </w:rPr>
        <w:t>285</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rPr>
        <w:t>6.联系邮箱</w:t>
      </w:r>
      <w:r>
        <w:rPr>
          <w:rStyle w:val="13"/>
          <w:rFonts w:hint="eastAsia" w:ascii="宋体" w:hAnsi="宋体" w:eastAsia="宋体" w:cs="宋体"/>
          <w:color w:val="auto"/>
          <w:sz w:val="28"/>
          <w:szCs w:val="28"/>
          <w:lang w:val="en-US" w:eastAsia="zh-CN"/>
        </w:rPr>
        <w:t>:</w:t>
      </w:r>
      <w:r>
        <w:rPr>
          <w:rFonts w:hint="eastAsia" w:ascii="宋体" w:hAnsi="宋体" w:eastAsia="宋体" w:cs="宋体"/>
          <w:iCs/>
          <w:color w:val="auto"/>
          <w:kern w:val="0"/>
          <w:sz w:val="28"/>
          <w:szCs w:val="28"/>
          <w:lang w:val="en-US" w:eastAsia="zh-CN" w:bidi="ar-SA"/>
        </w:rPr>
        <w:t>xxkjsw@czbank.com</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cs="宋体"/>
          <w:color w:val="auto"/>
          <w:sz w:val="28"/>
          <w:szCs w:val="28"/>
          <w:lang w:eastAsia="zh-CN"/>
        </w:rPr>
        <w:t>五</w:t>
      </w:r>
      <w:r>
        <w:rPr>
          <w:rStyle w:val="13"/>
          <w:rFonts w:hint="eastAsia" w:ascii="宋体" w:hAnsi="宋体" w:eastAsia="宋体" w:cs="宋体"/>
          <w:color w:val="auto"/>
          <w:sz w:val="28"/>
          <w:szCs w:val="28"/>
        </w:rPr>
        <w:t>、注意事项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附件：《浙商银行股份有限公司总行本级2025年度下半年柜面设备</w:t>
      </w:r>
      <w:r>
        <w:rPr>
          <w:rFonts w:hint="eastAsia" w:ascii="宋体" w:hAnsi="宋体" w:eastAsia="宋体" w:cs="宋体"/>
          <w:bCs/>
          <w:color w:val="auto"/>
          <w:kern w:val="0"/>
          <w:sz w:val="28"/>
          <w:szCs w:val="28"/>
          <w:lang w:val="en-US" w:eastAsia="zh-CN"/>
        </w:rPr>
        <w:t>潜在</w:t>
      </w:r>
      <w:r>
        <w:rPr>
          <w:rFonts w:hint="eastAsia" w:ascii="宋体" w:hAnsi="宋体" w:eastAsia="宋体" w:cs="宋体"/>
          <w:bCs/>
          <w:color w:val="auto"/>
          <w:kern w:val="0"/>
          <w:sz w:val="28"/>
          <w:szCs w:val="28"/>
        </w:rPr>
        <w:t>供应商报名表》</w:t>
      </w: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r>
        <w:rPr>
          <w:rFonts w:hint="eastAsia" w:ascii="宋体" w:hAnsi="宋体" w:eastAsia="宋体" w:cs="宋体"/>
          <w:color w:val="auto"/>
          <w:sz w:val="32"/>
          <w:szCs w:val="32"/>
        </w:rPr>
        <w:t>附件：</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rPr>
        <w:t>浙商银行总行本级2025年度下半年柜面设备</w:t>
      </w:r>
      <w:r>
        <w:rPr>
          <w:rFonts w:hint="eastAsia" w:ascii="宋体" w:hAnsi="宋体" w:eastAsia="宋体" w:cs="宋体"/>
          <w:color w:val="auto"/>
          <w:sz w:val="44"/>
          <w:szCs w:val="44"/>
          <w:highlight w:val="none"/>
        </w:rPr>
        <w:t>项目</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567157"/>
    <w:rsid w:val="01C32272"/>
    <w:rsid w:val="02B66382"/>
    <w:rsid w:val="034A5312"/>
    <w:rsid w:val="06A046EE"/>
    <w:rsid w:val="06A2436E"/>
    <w:rsid w:val="06FB5D01"/>
    <w:rsid w:val="07441979"/>
    <w:rsid w:val="078A5ACB"/>
    <w:rsid w:val="07DB0BF3"/>
    <w:rsid w:val="095835E2"/>
    <w:rsid w:val="09B6397C"/>
    <w:rsid w:val="0A3A19D7"/>
    <w:rsid w:val="0A773A3A"/>
    <w:rsid w:val="0ACC0F45"/>
    <w:rsid w:val="0BCC14D6"/>
    <w:rsid w:val="0D107E7B"/>
    <w:rsid w:val="0D2658A2"/>
    <w:rsid w:val="0D4912D9"/>
    <w:rsid w:val="0D49655D"/>
    <w:rsid w:val="0D56585E"/>
    <w:rsid w:val="0D8B55C6"/>
    <w:rsid w:val="0D976E5A"/>
    <w:rsid w:val="0DAF3C6B"/>
    <w:rsid w:val="0DD71E42"/>
    <w:rsid w:val="0E6D2183"/>
    <w:rsid w:val="0E7D5E53"/>
    <w:rsid w:val="0E8841E4"/>
    <w:rsid w:val="0F6F44E2"/>
    <w:rsid w:val="0F9F176D"/>
    <w:rsid w:val="0FA37DE8"/>
    <w:rsid w:val="0FD8068E"/>
    <w:rsid w:val="10B647F9"/>
    <w:rsid w:val="10E8636D"/>
    <w:rsid w:val="11A11B19"/>
    <w:rsid w:val="124E5814"/>
    <w:rsid w:val="12AA10F1"/>
    <w:rsid w:val="130A39C8"/>
    <w:rsid w:val="130C6ECC"/>
    <w:rsid w:val="13651747"/>
    <w:rsid w:val="136775E5"/>
    <w:rsid w:val="14545F69"/>
    <w:rsid w:val="14BF1313"/>
    <w:rsid w:val="15674B2D"/>
    <w:rsid w:val="16F06BB2"/>
    <w:rsid w:val="16F73C46"/>
    <w:rsid w:val="17394A28"/>
    <w:rsid w:val="174E6595"/>
    <w:rsid w:val="1858500A"/>
    <w:rsid w:val="18BE1CB0"/>
    <w:rsid w:val="18F75C82"/>
    <w:rsid w:val="196C5C41"/>
    <w:rsid w:val="19CB703B"/>
    <w:rsid w:val="1AA56C42"/>
    <w:rsid w:val="1B3A5C69"/>
    <w:rsid w:val="1B6D668B"/>
    <w:rsid w:val="1BDFE978"/>
    <w:rsid w:val="1C4B3720"/>
    <w:rsid w:val="1C7A3345"/>
    <w:rsid w:val="1C900D6C"/>
    <w:rsid w:val="1D1744C9"/>
    <w:rsid w:val="1D935D92"/>
    <w:rsid w:val="1DB807CF"/>
    <w:rsid w:val="1DD1717A"/>
    <w:rsid w:val="1E5A5ECD"/>
    <w:rsid w:val="1ECD0317"/>
    <w:rsid w:val="1F2E3D39"/>
    <w:rsid w:val="1F7E23D7"/>
    <w:rsid w:val="1F9138D8"/>
    <w:rsid w:val="1F967D60"/>
    <w:rsid w:val="20C73955"/>
    <w:rsid w:val="21A458C1"/>
    <w:rsid w:val="21AC4ECC"/>
    <w:rsid w:val="22D97CC8"/>
    <w:rsid w:val="23476717"/>
    <w:rsid w:val="23B3048D"/>
    <w:rsid w:val="23DC09E4"/>
    <w:rsid w:val="243548F6"/>
    <w:rsid w:val="24BF38CD"/>
    <w:rsid w:val="25437031"/>
    <w:rsid w:val="25C39B3F"/>
    <w:rsid w:val="25FA2F5D"/>
    <w:rsid w:val="26274D25"/>
    <w:rsid w:val="265E5200"/>
    <w:rsid w:val="269C4CE4"/>
    <w:rsid w:val="26D1773D"/>
    <w:rsid w:val="270D629D"/>
    <w:rsid w:val="274F60FD"/>
    <w:rsid w:val="28650375"/>
    <w:rsid w:val="28725DC7"/>
    <w:rsid w:val="28EC3DBD"/>
    <w:rsid w:val="29114058"/>
    <w:rsid w:val="29245021"/>
    <w:rsid w:val="29B661FB"/>
    <w:rsid w:val="29E22301"/>
    <w:rsid w:val="29F12B5D"/>
    <w:rsid w:val="2A8B2D5C"/>
    <w:rsid w:val="2ACA02C2"/>
    <w:rsid w:val="2C956603"/>
    <w:rsid w:val="2CA568CE"/>
    <w:rsid w:val="2CEA10A4"/>
    <w:rsid w:val="2CF775D2"/>
    <w:rsid w:val="2D6F3D99"/>
    <w:rsid w:val="2E0A6195"/>
    <w:rsid w:val="2E2D1B2E"/>
    <w:rsid w:val="2F4B03E0"/>
    <w:rsid w:val="2FA07530"/>
    <w:rsid w:val="305E12B6"/>
    <w:rsid w:val="31A12A84"/>
    <w:rsid w:val="31E53A14"/>
    <w:rsid w:val="31EB1674"/>
    <w:rsid w:val="32395F79"/>
    <w:rsid w:val="32A30E22"/>
    <w:rsid w:val="33B679E6"/>
    <w:rsid w:val="33DB13F9"/>
    <w:rsid w:val="346663DB"/>
    <w:rsid w:val="35DEBEC6"/>
    <w:rsid w:val="37165DEE"/>
    <w:rsid w:val="37C24EA4"/>
    <w:rsid w:val="37E706C5"/>
    <w:rsid w:val="38063178"/>
    <w:rsid w:val="38915DC8"/>
    <w:rsid w:val="38EF0EF7"/>
    <w:rsid w:val="392F3EDF"/>
    <w:rsid w:val="39941685"/>
    <w:rsid w:val="39FD796B"/>
    <w:rsid w:val="3A5C364C"/>
    <w:rsid w:val="3B4535CA"/>
    <w:rsid w:val="3B48454E"/>
    <w:rsid w:val="3B551DDF"/>
    <w:rsid w:val="3B9205DD"/>
    <w:rsid w:val="3C3A32AB"/>
    <w:rsid w:val="3CD704DD"/>
    <w:rsid w:val="3D4E699A"/>
    <w:rsid w:val="3D706EFA"/>
    <w:rsid w:val="3E617FE4"/>
    <w:rsid w:val="3EB62F71"/>
    <w:rsid w:val="3F081252"/>
    <w:rsid w:val="3FB50773"/>
    <w:rsid w:val="3FD95C64"/>
    <w:rsid w:val="3FE24C5D"/>
    <w:rsid w:val="40562A1D"/>
    <w:rsid w:val="40F71F58"/>
    <w:rsid w:val="413E1696"/>
    <w:rsid w:val="414A2F2A"/>
    <w:rsid w:val="41610951"/>
    <w:rsid w:val="42282918"/>
    <w:rsid w:val="426B6885"/>
    <w:rsid w:val="42B94406"/>
    <w:rsid w:val="43087E69"/>
    <w:rsid w:val="43410088"/>
    <w:rsid w:val="43D73039"/>
    <w:rsid w:val="43F5638C"/>
    <w:rsid w:val="44EB17AA"/>
    <w:rsid w:val="454959B9"/>
    <w:rsid w:val="464E5266"/>
    <w:rsid w:val="465E0A15"/>
    <w:rsid w:val="46E06D54"/>
    <w:rsid w:val="47315859"/>
    <w:rsid w:val="47A32315"/>
    <w:rsid w:val="47E41DFF"/>
    <w:rsid w:val="48E50EDA"/>
    <w:rsid w:val="490C1CEF"/>
    <w:rsid w:val="49AA2A6A"/>
    <w:rsid w:val="4A9216E3"/>
    <w:rsid w:val="4B3A447A"/>
    <w:rsid w:val="4BD8527D"/>
    <w:rsid w:val="4C001FDF"/>
    <w:rsid w:val="4C58104F"/>
    <w:rsid w:val="4C5A2353"/>
    <w:rsid w:val="4CB12D62"/>
    <w:rsid w:val="4D873CBF"/>
    <w:rsid w:val="4E4F1509"/>
    <w:rsid w:val="4E547B90"/>
    <w:rsid w:val="4F754DE4"/>
    <w:rsid w:val="4FAA5F43"/>
    <w:rsid w:val="4FF74DA6"/>
    <w:rsid w:val="500B7261"/>
    <w:rsid w:val="50211405"/>
    <w:rsid w:val="5059506C"/>
    <w:rsid w:val="51750A31"/>
    <w:rsid w:val="51792CBB"/>
    <w:rsid w:val="51B95CA3"/>
    <w:rsid w:val="524E3F98"/>
    <w:rsid w:val="52594527"/>
    <w:rsid w:val="52F07F1E"/>
    <w:rsid w:val="54553068"/>
    <w:rsid w:val="5597550D"/>
    <w:rsid w:val="55BA7FCC"/>
    <w:rsid w:val="55DD513F"/>
    <w:rsid w:val="56A75E3B"/>
    <w:rsid w:val="57777405"/>
    <w:rsid w:val="579009BF"/>
    <w:rsid w:val="583D5ED1"/>
    <w:rsid w:val="58B06210"/>
    <w:rsid w:val="58D521EC"/>
    <w:rsid w:val="58F47BFE"/>
    <w:rsid w:val="59D86B2D"/>
    <w:rsid w:val="5A3538C2"/>
    <w:rsid w:val="5C32128D"/>
    <w:rsid w:val="5CC91849"/>
    <w:rsid w:val="5CE0146E"/>
    <w:rsid w:val="5CF521FB"/>
    <w:rsid w:val="5DF81F3B"/>
    <w:rsid w:val="5E317B16"/>
    <w:rsid w:val="5E3929A4"/>
    <w:rsid w:val="5EC90F8E"/>
    <w:rsid w:val="5FC16FA8"/>
    <w:rsid w:val="5FC70EB1"/>
    <w:rsid w:val="5FD25FAE"/>
    <w:rsid w:val="60AC2428"/>
    <w:rsid w:val="60F31A2A"/>
    <w:rsid w:val="61C379F2"/>
    <w:rsid w:val="625C216F"/>
    <w:rsid w:val="626E6459"/>
    <w:rsid w:val="64654742"/>
    <w:rsid w:val="649F3623"/>
    <w:rsid w:val="64E9279D"/>
    <w:rsid w:val="66025468"/>
    <w:rsid w:val="66373E26"/>
    <w:rsid w:val="665A38F8"/>
    <w:rsid w:val="670D6C1F"/>
    <w:rsid w:val="67C11F46"/>
    <w:rsid w:val="6842701C"/>
    <w:rsid w:val="68520372"/>
    <w:rsid w:val="69AB2D6B"/>
    <w:rsid w:val="6A345460"/>
    <w:rsid w:val="6A6E2AA9"/>
    <w:rsid w:val="6A77474D"/>
    <w:rsid w:val="6B221653"/>
    <w:rsid w:val="6BAC7F32"/>
    <w:rsid w:val="6BB85BE3"/>
    <w:rsid w:val="6C733CAF"/>
    <w:rsid w:val="6D54FD2D"/>
    <w:rsid w:val="6D706919"/>
    <w:rsid w:val="6DA06B15"/>
    <w:rsid w:val="6E445689"/>
    <w:rsid w:val="6E505F87"/>
    <w:rsid w:val="6E9F14CB"/>
    <w:rsid w:val="6EF755EB"/>
    <w:rsid w:val="70111102"/>
    <w:rsid w:val="70416FD2"/>
    <w:rsid w:val="708337ED"/>
    <w:rsid w:val="7099044B"/>
    <w:rsid w:val="71213827"/>
    <w:rsid w:val="712E480B"/>
    <w:rsid w:val="71592582"/>
    <w:rsid w:val="718E1E6E"/>
    <w:rsid w:val="71E02960"/>
    <w:rsid w:val="722246CE"/>
    <w:rsid w:val="724A33B6"/>
    <w:rsid w:val="72ED761A"/>
    <w:rsid w:val="731E7DE9"/>
    <w:rsid w:val="733E031E"/>
    <w:rsid w:val="733E6120"/>
    <w:rsid w:val="73F82FD0"/>
    <w:rsid w:val="741B228B"/>
    <w:rsid w:val="746074FC"/>
    <w:rsid w:val="748F004B"/>
    <w:rsid w:val="74BE5317"/>
    <w:rsid w:val="74EFCDAA"/>
    <w:rsid w:val="75533B3B"/>
    <w:rsid w:val="757C314C"/>
    <w:rsid w:val="762D67F3"/>
    <w:rsid w:val="763428FA"/>
    <w:rsid w:val="764F47A9"/>
    <w:rsid w:val="767647F0"/>
    <w:rsid w:val="767845DC"/>
    <w:rsid w:val="76FB26C3"/>
    <w:rsid w:val="77627EF2"/>
    <w:rsid w:val="77FFA3D8"/>
    <w:rsid w:val="781E371F"/>
    <w:rsid w:val="78A807BD"/>
    <w:rsid w:val="79C04B85"/>
    <w:rsid w:val="79E14883"/>
    <w:rsid w:val="7A024BBA"/>
    <w:rsid w:val="7A4B62B3"/>
    <w:rsid w:val="7AB236D8"/>
    <w:rsid w:val="7AB968E7"/>
    <w:rsid w:val="7ABBC20A"/>
    <w:rsid w:val="7ACD0BC4"/>
    <w:rsid w:val="7B186645"/>
    <w:rsid w:val="7B556765"/>
    <w:rsid w:val="7BCA1FA7"/>
    <w:rsid w:val="7CA26407"/>
    <w:rsid w:val="7CDD4BBA"/>
    <w:rsid w:val="7CFCDCF5"/>
    <w:rsid w:val="7D4C0E1E"/>
    <w:rsid w:val="7D693D36"/>
    <w:rsid w:val="7D8B601E"/>
    <w:rsid w:val="7DE76A9E"/>
    <w:rsid w:val="7E69B779"/>
    <w:rsid w:val="7E77A075"/>
    <w:rsid w:val="7E7E4DFD"/>
    <w:rsid w:val="7F77AFA1"/>
    <w:rsid w:val="7F8A69E7"/>
    <w:rsid w:val="7F9FC6F6"/>
    <w:rsid w:val="7FFC012D"/>
    <w:rsid w:val="975AE2D0"/>
    <w:rsid w:val="9AF7118C"/>
    <w:rsid w:val="ABD30FDE"/>
    <w:rsid w:val="ADFF9442"/>
    <w:rsid w:val="AEDF7A89"/>
    <w:rsid w:val="BF7F9E93"/>
    <w:rsid w:val="BFFC89CD"/>
    <w:rsid w:val="DBADBE57"/>
    <w:rsid w:val="DDBD3008"/>
    <w:rsid w:val="DDDFE78D"/>
    <w:rsid w:val="E77EB6FD"/>
    <w:rsid w:val="EF5DC196"/>
    <w:rsid w:val="EF9FF6E7"/>
    <w:rsid w:val="F15A748C"/>
    <w:rsid w:val="F7EFEFFE"/>
    <w:rsid w:val="F9D7B812"/>
    <w:rsid w:val="FAFF7C83"/>
    <w:rsid w:val="FEFDA6BC"/>
    <w:rsid w:val="FFD76C58"/>
    <w:rsid w:val="FFFB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99"/>
    <w:pPr>
      <w:spacing w:line="360" w:lineRule="auto"/>
    </w:pPr>
  </w:style>
  <w:style w:type="paragraph" w:styleId="5">
    <w:name w:val="Body Text First Indent"/>
    <w:basedOn w:val="4"/>
    <w:qFormat/>
    <w:uiPriority w:val="0"/>
    <w:pPr>
      <w:ind w:firstLine="42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框文本 字符"/>
    <w:basedOn w:val="12"/>
    <w:link w:val="6"/>
    <w:semiHidden/>
    <w:qFormat/>
    <w:uiPriority w:val="99"/>
    <w:rPr>
      <w:sz w:val="18"/>
      <w:szCs w:val="18"/>
    </w:rPr>
  </w:style>
  <w:style w:type="character" w:customStyle="1" w:styleId="18">
    <w:name w:val="标题 1 字符"/>
    <w:basedOn w:val="12"/>
    <w:link w:val="2"/>
    <w:qFormat/>
    <w:uiPriority w:val="0"/>
    <w:rPr>
      <w:rFonts w:ascii="方正小标宋简体" w:hAnsi="方正小标宋简体" w:eastAsia="方正小标宋简体" w:cs="Times New Roman"/>
      <w:kern w:val="44"/>
      <w:sz w:val="44"/>
      <w:szCs w:val="24"/>
    </w:rPr>
  </w:style>
  <w:style w:type="paragraph" w:customStyle="1" w:styleId="1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5</TotalTime>
  <ScaleCrop>false</ScaleCrop>
  <LinksUpToDate>false</LinksUpToDate>
  <CharactersWithSpaces>611</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2024-06-23T17:10:00Z</dcterms:created>
  <dc:creator>石伟豪</dc:creator>
  <cp:lastModifiedBy>czbank</cp:lastModifiedBy>
  <cp:lastPrinted>2024-11-23T02:25:00Z</cp:lastPrinted>
  <dcterms:modified xsi:type="dcterms:W3CDTF">2025-11-07T16:22:48Z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C72B14184DAEFE5558E6AE6723A7CABB</vt:lpwstr>
  </property>
</Properties>
</file>