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关于浙商银行三宏国际大厦UPS、电池供应商征集公告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将于近期就</w:t>
      </w:r>
      <w:r>
        <w:rPr>
          <w:rStyle w:val="13"/>
          <w:rFonts w:hint="eastAsia" w:ascii="宋体" w:hAnsi="宋体" w:eastAsia="宋体" w:cs="宋体"/>
          <w:b w:val="0"/>
          <w:color w:val="auto"/>
          <w:sz w:val="28"/>
          <w:szCs w:val="28"/>
        </w:rPr>
        <w:t>UPS、电池项目进行潜在供应商寻源，有关事宜如下：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ascii="宋体" w:hAnsi="宋体" w:eastAsia="宋体" w:cs="宋体"/>
          <w:b w:val="0"/>
          <w:color w:val="auto"/>
          <w:sz w:val="28"/>
          <w:szCs w:val="28"/>
        </w:rPr>
        <w:t>增租办公用房（三宏国际大厦）UPS、电池</w:t>
      </w:r>
    </w:p>
    <w:p>
      <w:pPr>
        <w:pStyle w:val="9"/>
        <w:spacing w:before="0" w:beforeAutospacing="0" w:after="0" w:afterAutospacing="0" w:line="360" w:lineRule="auto"/>
        <w:ind w:firstLine="562" w:firstLineChars="200"/>
        <w:rPr>
          <w:rFonts w:hint="eastAsia" w:ascii="宋体" w:hAnsi="宋体" w:eastAsia="宋体" w:cs="宋体"/>
          <w:i w:val="0"/>
          <w:iCs w:val="0"/>
          <w:caps w:val="0"/>
          <w:color w:val="000000"/>
          <w:spacing w:val="0"/>
          <w:sz w:val="24"/>
          <w:szCs w:val="24"/>
          <w:lang w:val="en-US" w:eastAsia="zh-CN"/>
        </w:rPr>
      </w:pPr>
      <w:r>
        <w:rPr>
          <w:rStyle w:val="13"/>
          <w:rFonts w:hint="eastAsia" w:ascii="宋体" w:hAnsi="宋体" w:eastAsia="宋体" w:cs="宋体"/>
          <w:color w:val="auto"/>
          <w:sz w:val="28"/>
          <w:szCs w:val="28"/>
        </w:rPr>
        <w:t>二、内容</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val="en-US" w:eastAsia="zh-CN"/>
        </w:rPr>
        <w:t>（</w:t>
      </w:r>
      <w:r>
        <w:rPr>
          <w:rStyle w:val="13"/>
          <w:rFonts w:hint="eastAsia"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val="en-US" w:eastAsia="zh-CN"/>
        </w:rPr>
        <w:t>）</w:t>
      </w:r>
      <w:r>
        <w:rPr>
          <w:rStyle w:val="13"/>
          <w:rFonts w:hint="eastAsia" w:ascii="宋体" w:hAnsi="宋体" w:eastAsia="宋体" w:cs="宋体"/>
          <w:b w:val="0"/>
          <w:i w:val="0"/>
          <w:iCs/>
          <w:color w:val="auto"/>
          <w:sz w:val="28"/>
          <w:szCs w:val="28"/>
        </w:rPr>
        <w:t>项目基本内容</w:t>
      </w:r>
    </w:p>
    <w:tbl>
      <w:tblPr>
        <w:tblStyle w:val="10"/>
        <w:tblpPr w:leftFromText="180" w:rightFromText="180" w:vertAnchor="text" w:horzAnchor="page" w:tblpX="2213" w:tblpY="188"/>
        <w:tblOverlap w:val="never"/>
        <w:tblW w:w="8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701"/>
        <w:gridCol w:w="4252"/>
        <w:gridCol w:w="737"/>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设备类型</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配置</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UPS</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10KVA（塔式高频机）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配套电池开关柜（箱）</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配套10KVA的UPS使用，含电池开关柜（箱）至UPS主机连接线。</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铅酸蓄电池</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12V、100AH，含内部连接线、至电池开关箱连接线。</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 w:bidi="ar"/>
              </w:rPr>
            </w:pPr>
            <w:r>
              <w:rPr>
                <w:rFonts w:hint="eastAsia" w:ascii="宋体" w:hAnsi="宋体" w:eastAsia="宋体" w:cs="宋体"/>
                <w:i w:val="0"/>
                <w:color w:val="000000"/>
                <w:kern w:val="0"/>
                <w:sz w:val="24"/>
                <w:szCs w:val="24"/>
                <w:u w:val="none"/>
                <w:lang w:val="en-US" w:eastAsia="zh-CN" w:bidi="ar"/>
              </w:rPr>
              <w:t>电池柜（架）</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承载16节100AH蓄电池</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r>
    </w:tbl>
    <w:p>
      <w:pPr>
        <w:pStyle w:val="9"/>
        <w:numPr>
          <w:ilvl w:val="0"/>
          <w:numId w:val="0"/>
        </w:numPr>
        <w:spacing w:before="0" w:beforeAutospacing="0" w:after="0" w:afterAutospacing="0" w:line="360" w:lineRule="auto"/>
        <w:ind w:firstLine="904" w:firstLineChars="0"/>
        <w:rPr>
          <w:rStyle w:val="13"/>
          <w:rFonts w:hint="eastAsia" w:ascii="宋体" w:hAnsi="宋体" w:eastAsia="宋体" w:cs="宋体"/>
          <w:b w:val="0"/>
          <w:i w:val="0"/>
          <w:iCs/>
          <w:color w:val="auto"/>
          <w:sz w:val="28"/>
          <w:szCs w:val="28"/>
          <w:lang w:val="en-US" w:eastAsia="zh-CN"/>
        </w:rPr>
      </w:pP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iCs/>
          <w:color w:val="auto"/>
          <w:kern w:val="2"/>
          <w:sz w:val="28"/>
          <w:szCs w:val="28"/>
          <w:u w:val="none"/>
          <w:lang w:val="en-US" w:eastAsia="zh-CN" w:bidi="ar-SA"/>
        </w:rPr>
        <w:t xml:space="preserve">  </w:t>
      </w:r>
      <w:r>
        <w:rPr>
          <w:rFonts w:hint="eastAsia" w:ascii="宋体" w:hAnsi="宋体" w:eastAsia="宋体" w:cs="宋体"/>
          <w:sz w:val="28"/>
          <w:szCs w:val="28"/>
          <w:lang w:val="en-US" w:eastAsia="zh-CN"/>
        </w:rPr>
        <w:t>2.1 UPS技术要求</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控制器须带有远程监控接口（ RS232 、RS485或SNMP接口），具有良好的电气隔离（信号端子对地承受直流电压500V、1分钟不击穿或闪络），提供</w:t>
      </w:r>
      <w:r>
        <w:rPr>
          <w:rFonts w:hint="eastAsia" w:ascii="宋体" w:hAnsi="宋体" w:eastAsia="宋体" w:cs="宋体"/>
          <w:sz w:val="28"/>
          <w:szCs w:val="28"/>
          <w:lang w:val="en-US" w:eastAsia="zh-CN"/>
        </w:rPr>
        <w:t>标准北向接口协议，并免费实现与采购人环控系统进行对接</w:t>
      </w:r>
      <w:r>
        <w:rPr>
          <w:rFonts w:hint="eastAsia" w:ascii="宋体" w:hAnsi="宋体" w:eastAsia="宋体" w:cs="宋体"/>
          <w:sz w:val="28"/>
          <w:szCs w:val="28"/>
          <w:lang w:eastAsia="zh-CN"/>
        </w:rPr>
        <w:t>。</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UPS主机不得采用贴牌产品参与投标</w:t>
      </w:r>
      <w:r>
        <w:rPr>
          <w:rFonts w:hint="eastAsia" w:ascii="宋体" w:hAnsi="宋体" w:eastAsia="宋体" w:cs="宋体"/>
          <w:sz w:val="28"/>
          <w:szCs w:val="28"/>
          <w:lang w:eastAsia="zh-CN"/>
        </w:rPr>
        <w:t>。</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须提供UPS主机原厂的ISO9001、ISO14001认证证书等相关资质证明材料</w:t>
      </w:r>
      <w:r>
        <w:rPr>
          <w:rFonts w:hint="eastAsia" w:ascii="宋体" w:hAnsi="宋体" w:eastAsia="宋体" w:cs="宋体"/>
          <w:sz w:val="28"/>
          <w:szCs w:val="28"/>
          <w:lang w:eastAsia="zh-CN"/>
        </w:rPr>
        <w:t>。</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纯在线式双变换UPS产品；根据用户现场情况，可选择采用立式安装或嵌入19英寸标准机柜的机架式安装。</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为了适应用户现场配电，UPS主机要求单进单出。</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具有LCD+LED指示的操作界面，实时记录工作状态和运行信息，管理更加直观；操作界面要求配备手动开关机按钮，</w:t>
      </w:r>
      <w:r>
        <w:rPr>
          <w:rFonts w:hint="eastAsia" w:ascii="宋体" w:hAnsi="宋体" w:eastAsia="宋体" w:cs="宋体"/>
          <w:sz w:val="28"/>
          <w:szCs w:val="28"/>
          <w:lang w:val="en-US" w:eastAsia="zh-CN"/>
        </w:rPr>
        <w:t>且具有</w:t>
      </w:r>
      <w:r>
        <w:rPr>
          <w:rFonts w:hint="eastAsia" w:ascii="宋体" w:hAnsi="宋体" w:eastAsia="宋体" w:cs="宋体"/>
          <w:sz w:val="28"/>
          <w:szCs w:val="28"/>
          <w:lang w:eastAsia="zh-CN"/>
        </w:rPr>
        <w:t>防止误操作</w:t>
      </w:r>
      <w:r>
        <w:rPr>
          <w:rFonts w:hint="eastAsia" w:ascii="宋体" w:hAnsi="宋体" w:eastAsia="宋体" w:cs="宋体"/>
          <w:sz w:val="28"/>
          <w:szCs w:val="28"/>
          <w:lang w:val="en-US" w:eastAsia="zh-CN"/>
        </w:rPr>
        <w:t>的功能</w:t>
      </w:r>
      <w:r>
        <w:rPr>
          <w:rFonts w:hint="eastAsia" w:ascii="宋体" w:hAnsi="宋体" w:eastAsia="宋体" w:cs="宋体"/>
          <w:sz w:val="28"/>
          <w:szCs w:val="28"/>
          <w:lang w:eastAsia="zh-CN"/>
        </w:rPr>
        <w:t>。</w:t>
      </w:r>
    </w:p>
    <w:p>
      <w:pPr>
        <w:numPr>
          <w:ilvl w:val="0"/>
          <w:numId w:val="1"/>
        </w:numPr>
        <w:spacing w:line="360" w:lineRule="auto"/>
        <w:ind w:left="-1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电池直流电压输入范围可调：单体12V电池支持每组</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～20节连续可调可设置，现场配置灵活。</w:t>
      </w:r>
    </w:p>
    <w:p>
      <w:pPr>
        <w:numPr>
          <w:ilvl w:val="0"/>
          <w:numId w:val="1"/>
        </w:numPr>
        <w:spacing w:line="360" w:lineRule="auto"/>
        <w:ind w:left="-1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具备大充电电流，最大充电电流下，可满载不降额运行，缩短充电时间。</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整机满载效率≥95%，高效节能，提供泰尔检测报告证明</w:t>
      </w:r>
      <w:r>
        <w:rPr>
          <w:rFonts w:hint="eastAsia" w:ascii="宋体" w:hAnsi="宋体" w:eastAsia="宋体" w:cs="宋体"/>
          <w:sz w:val="28"/>
          <w:szCs w:val="28"/>
          <w:lang w:val="en-US" w:eastAsia="zh-CN"/>
        </w:rPr>
        <w:t>。</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高性能指标、绿色环保，输入功率因数</w:t>
      </w:r>
      <w:bookmarkStart w:id="0" w:name="OLE_LINK3"/>
      <w:r>
        <w:rPr>
          <w:rFonts w:hint="eastAsia" w:ascii="宋体" w:hAnsi="宋体" w:eastAsia="宋体" w:cs="宋体"/>
          <w:sz w:val="28"/>
          <w:szCs w:val="28"/>
          <w:lang w:val="en-US" w:eastAsia="zh-CN"/>
        </w:rPr>
        <w:t>≥</w:t>
      </w:r>
      <w:bookmarkEnd w:id="0"/>
      <w:r>
        <w:rPr>
          <w:rFonts w:hint="eastAsia" w:ascii="宋体" w:hAnsi="宋体" w:eastAsia="宋体" w:cs="宋体"/>
          <w:sz w:val="28"/>
          <w:szCs w:val="28"/>
          <w:lang w:eastAsia="zh-CN"/>
        </w:rPr>
        <w:t>0.99，提供泰尔检测报告证明。</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UPS在线性满载状态下，输出波形失真度须不高于</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%，非线性满载的失真度须不高于4%，提供泰尔检测报告证明。</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高可靠性和稳定性，要求UPS在市电、电池和旁路切换中，须满足切换时间为0ms，提供泰尔检测报告证明。</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输出为空载和额定阻性负载时，调节输入电压为UPS上、下限值时，其稳压精度须≤</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1%，提供泰尔检测报告证明。</w:t>
      </w:r>
    </w:p>
    <w:p>
      <w:pPr>
        <w:numPr>
          <w:ilvl w:val="0"/>
          <w:numId w:val="1"/>
        </w:numPr>
        <w:spacing w:line="360" w:lineRule="auto"/>
        <w:ind w:left="-1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高安全性，过载125%的连续工作时间须不少于1min ，提供泰尔检测报告证明。</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8"/>
          <w:szCs w:val="28"/>
          <w:lang w:eastAsia="zh-CN"/>
        </w:rPr>
      </w:pP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 配套电池开关柜（箱）技术要求</w:t>
      </w:r>
    </w:p>
    <w:p>
      <w:pPr>
        <w:numPr>
          <w:ilvl w:val="0"/>
          <w:numId w:val="2"/>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电池开关柜（箱）</w:t>
      </w:r>
      <w:r>
        <w:rPr>
          <w:rFonts w:hint="eastAsia" w:ascii="宋体" w:hAnsi="宋体" w:eastAsia="宋体" w:cs="宋体"/>
          <w:sz w:val="28"/>
          <w:szCs w:val="28"/>
          <w:lang w:eastAsia="zh-CN"/>
        </w:rPr>
        <w:t>断路器采用施耐德、ABB、西门子或同等</w:t>
      </w:r>
      <w:r>
        <w:rPr>
          <w:rFonts w:hint="eastAsia" w:ascii="宋体" w:hAnsi="宋体" w:eastAsia="宋体" w:cs="宋体"/>
          <w:sz w:val="28"/>
          <w:szCs w:val="28"/>
          <w:lang w:val="en-US" w:eastAsia="zh-CN"/>
        </w:rPr>
        <w:t>及以上</w:t>
      </w:r>
      <w:r>
        <w:rPr>
          <w:rFonts w:hint="eastAsia" w:ascii="宋体" w:hAnsi="宋体" w:eastAsia="宋体" w:cs="宋体"/>
          <w:sz w:val="28"/>
          <w:szCs w:val="28"/>
          <w:lang w:eastAsia="zh-CN"/>
        </w:rPr>
        <w:t>档次品牌产品。</w:t>
      </w:r>
      <w:r>
        <w:rPr>
          <w:rFonts w:hint="eastAsia" w:ascii="宋体" w:hAnsi="宋体" w:eastAsia="宋体" w:cs="宋体"/>
          <w:sz w:val="28"/>
          <w:szCs w:val="28"/>
          <w:lang w:val="en-US" w:eastAsia="zh-CN"/>
        </w:rPr>
        <w:t>电池开关柜（箱）至UPS主机连接电缆采用</w:t>
      </w:r>
      <w:r>
        <w:rPr>
          <w:rFonts w:hint="eastAsia" w:ascii="宋体" w:hAnsi="宋体" w:eastAsia="宋体" w:cs="宋体"/>
          <w:sz w:val="28"/>
          <w:szCs w:val="28"/>
        </w:rPr>
        <w:t>宝胜、江苏上上、</w:t>
      </w:r>
      <w:r>
        <w:rPr>
          <w:rFonts w:hint="eastAsia" w:ascii="宋体" w:hAnsi="宋体" w:eastAsia="宋体" w:cs="宋体"/>
          <w:sz w:val="28"/>
          <w:szCs w:val="28"/>
          <w:lang w:val="en-US" w:eastAsia="zh-CN"/>
        </w:rPr>
        <w:t>浙江万马、永通</w:t>
      </w:r>
      <w:r>
        <w:rPr>
          <w:rFonts w:hint="eastAsia" w:ascii="宋体" w:hAnsi="宋体" w:eastAsia="宋体" w:cs="宋体"/>
          <w:sz w:val="28"/>
          <w:szCs w:val="28"/>
          <w:lang w:eastAsia="zh-CN"/>
        </w:rPr>
        <w:t>或同等</w:t>
      </w:r>
      <w:r>
        <w:rPr>
          <w:rFonts w:hint="eastAsia" w:ascii="宋体" w:hAnsi="宋体" w:eastAsia="宋体" w:cs="宋体"/>
          <w:sz w:val="28"/>
          <w:szCs w:val="28"/>
          <w:lang w:val="en-US" w:eastAsia="zh-CN"/>
        </w:rPr>
        <w:t>及以上</w:t>
      </w:r>
      <w:r>
        <w:rPr>
          <w:rFonts w:hint="eastAsia" w:ascii="宋体" w:hAnsi="宋体" w:eastAsia="宋体" w:cs="宋体"/>
          <w:sz w:val="28"/>
          <w:szCs w:val="28"/>
          <w:lang w:eastAsia="zh-CN"/>
        </w:rPr>
        <w:t>档次品牌产品</w:t>
      </w:r>
      <w:r>
        <w:rPr>
          <w:rFonts w:hint="eastAsia" w:ascii="宋体" w:hAnsi="宋体" w:eastAsia="宋体" w:cs="宋体"/>
          <w:sz w:val="28"/>
          <w:szCs w:val="28"/>
          <w:lang w:val="en-US" w:eastAsia="zh-CN"/>
        </w:rPr>
        <w:t>。</w:t>
      </w:r>
    </w:p>
    <w:p>
      <w:pPr>
        <w:numPr>
          <w:ilvl w:val="0"/>
          <w:numId w:val="2"/>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UPS电池开关柜</w:t>
      </w:r>
      <w:r>
        <w:rPr>
          <w:rFonts w:hint="eastAsia" w:ascii="宋体" w:hAnsi="宋体" w:eastAsia="宋体" w:cs="宋体"/>
          <w:sz w:val="28"/>
          <w:szCs w:val="28"/>
          <w:lang w:val="en-US" w:eastAsia="zh-CN"/>
        </w:rPr>
        <w:t>（箱）</w:t>
      </w:r>
      <w:r>
        <w:rPr>
          <w:rFonts w:hint="eastAsia" w:ascii="宋体" w:hAnsi="宋体" w:eastAsia="宋体" w:cs="宋体"/>
          <w:sz w:val="28"/>
          <w:szCs w:val="28"/>
          <w:lang w:eastAsia="zh-CN"/>
        </w:rPr>
        <w:t>要求配置蓄电池总开关（负荷开关+熔断器组合），用于UPS与电池总开关联动控制。总开关及分开关工作电压须不低于UPS配套电池组的充电电压，总开关及分组开关容量满足单机最大放电电流要求。供应商须根据电池组数配置要求提供电池开关柜配置参数及尺寸参数等。电池开关柜</w:t>
      </w:r>
      <w:r>
        <w:rPr>
          <w:rFonts w:hint="eastAsia" w:ascii="宋体" w:hAnsi="宋体" w:eastAsia="宋体" w:cs="宋体"/>
          <w:sz w:val="28"/>
          <w:szCs w:val="28"/>
          <w:lang w:val="en-US" w:eastAsia="zh-CN"/>
        </w:rPr>
        <w:t>（箱）</w:t>
      </w:r>
      <w:r>
        <w:rPr>
          <w:rFonts w:hint="eastAsia" w:ascii="宋体" w:hAnsi="宋体" w:eastAsia="宋体" w:cs="宋体"/>
          <w:sz w:val="28"/>
          <w:szCs w:val="28"/>
          <w:lang w:eastAsia="zh-CN"/>
        </w:rPr>
        <w:t>内部开关配置、布局以及开关接线空间合理，方便施工、后期维护便利。</w:t>
      </w:r>
    </w:p>
    <w:p>
      <w:pPr>
        <w:numPr>
          <w:ilvl w:val="0"/>
          <w:numId w:val="2"/>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电池开关柜</w:t>
      </w:r>
      <w:r>
        <w:rPr>
          <w:rFonts w:hint="eastAsia" w:ascii="宋体" w:hAnsi="宋体" w:eastAsia="宋体" w:cs="宋体"/>
          <w:sz w:val="28"/>
          <w:szCs w:val="28"/>
          <w:lang w:val="en-US" w:eastAsia="zh-CN"/>
        </w:rPr>
        <w:t>（箱）</w:t>
      </w:r>
      <w:r>
        <w:rPr>
          <w:rFonts w:hint="eastAsia" w:ascii="宋体" w:hAnsi="宋体" w:eastAsia="宋体" w:cs="宋体"/>
          <w:sz w:val="28"/>
          <w:szCs w:val="28"/>
          <w:lang w:eastAsia="zh-CN"/>
        </w:rPr>
        <w:t>的宽度*深度须满足现</w:t>
      </w:r>
      <w:r>
        <w:rPr>
          <w:rFonts w:hint="eastAsia" w:ascii="宋体" w:hAnsi="宋体" w:eastAsia="宋体" w:cs="宋体"/>
          <w:sz w:val="28"/>
          <w:szCs w:val="28"/>
          <w:lang w:val="en-US" w:eastAsia="zh-CN"/>
        </w:rPr>
        <w:t>场</w:t>
      </w:r>
      <w:r>
        <w:rPr>
          <w:rFonts w:hint="eastAsia" w:ascii="宋体" w:hAnsi="宋体" w:eastAsia="宋体" w:cs="宋体"/>
          <w:sz w:val="28"/>
          <w:szCs w:val="28"/>
          <w:lang w:eastAsia="zh-CN"/>
        </w:rPr>
        <w:t>安装要求（正面维护）。</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8"/>
          <w:szCs w:val="28"/>
          <w:lang w:eastAsia="zh-CN"/>
        </w:rPr>
      </w:pP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360" w:lineRule="auto"/>
        <w:ind w:left="420" w:leftChars="20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 蓄电池技术要求</w:t>
      </w:r>
    </w:p>
    <w:p>
      <w:pPr>
        <w:numPr>
          <w:ilvl w:val="0"/>
          <w:numId w:val="3"/>
        </w:numPr>
        <w:spacing w:line="360" w:lineRule="auto"/>
        <w:ind w:left="20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蓄电池之间连接电缆、至电池开关箱连接电缆采用</w:t>
      </w:r>
      <w:r>
        <w:rPr>
          <w:rFonts w:hint="eastAsia" w:ascii="宋体" w:hAnsi="宋体" w:eastAsia="宋体" w:cs="宋体"/>
          <w:sz w:val="28"/>
          <w:szCs w:val="28"/>
        </w:rPr>
        <w:t>宝胜、江苏上上、</w:t>
      </w:r>
      <w:r>
        <w:rPr>
          <w:rFonts w:hint="eastAsia" w:ascii="宋体" w:hAnsi="宋体" w:eastAsia="宋体" w:cs="宋体"/>
          <w:sz w:val="28"/>
          <w:szCs w:val="28"/>
          <w:lang w:val="en-US" w:eastAsia="zh-CN"/>
        </w:rPr>
        <w:t>浙江万马、永通</w:t>
      </w:r>
      <w:r>
        <w:rPr>
          <w:rFonts w:hint="eastAsia" w:ascii="宋体" w:hAnsi="宋体" w:eastAsia="宋体" w:cs="宋体"/>
          <w:sz w:val="28"/>
          <w:szCs w:val="28"/>
          <w:lang w:eastAsia="zh-CN"/>
        </w:rPr>
        <w:t>或同等</w:t>
      </w:r>
      <w:r>
        <w:rPr>
          <w:rFonts w:hint="eastAsia" w:ascii="宋体" w:hAnsi="宋体" w:eastAsia="宋体" w:cs="宋体"/>
          <w:sz w:val="28"/>
          <w:szCs w:val="28"/>
          <w:lang w:val="en-US" w:eastAsia="zh-CN"/>
        </w:rPr>
        <w:t>及以上</w:t>
      </w:r>
      <w:r>
        <w:rPr>
          <w:rFonts w:hint="eastAsia" w:ascii="宋体" w:hAnsi="宋体" w:eastAsia="宋体" w:cs="宋体"/>
          <w:sz w:val="28"/>
          <w:szCs w:val="28"/>
          <w:lang w:eastAsia="zh-CN"/>
        </w:rPr>
        <w:t>档次品牌产品，</w:t>
      </w:r>
      <w:r>
        <w:rPr>
          <w:rFonts w:hint="eastAsia" w:ascii="宋体" w:hAnsi="宋体" w:eastAsia="宋体" w:cs="宋体"/>
          <w:sz w:val="28"/>
          <w:szCs w:val="28"/>
          <w:lang w:val="en-US" w:eastAsia="zh-CN"/>
        </w:rPr>
        <w:t>满足最大放电电流要求，连接线压降不大于8mV，连接线缆绝缘层达UL94-V0，须采用阻燃交联电缆，线缆线径的选型必须符合国标《低压配电设计规范》、《民用建筑电气设计标准》。</w:t>
      </w:r>
    </w:p>
    <w:p>
      <w:pPr>
        <w:numPr>
          <w:ilvl w:val="0"/>
          <w:numId w:val="3"/>
        </w:numPr>
        <w:spacing w:line="360" w:lineRule="auto"/>
        <w:ind w:left="20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控制器须带有远程监控接口（ RS232 、RS485或SNMP接口），具有良好的电气隔离（信号端子对地承受直流电压500V、1分钟不击穿或闪络），提供</w:t>
      </w:r>
      <w:r>
        <w:rPr>
          <w:rFonts w:hint="eastAsia" w:ascii="宋体" w:hAnsi="宋体" w:eastAsia="宋体" w:cs="宋体"/>
          <w:sz w:val="28"/>
          <w:szCs w:val="28"/>
          <w:lang w:val="en-US" w:eastAsia="zh-CN"/>
        </w:rPr>
        <w:t>标准北向接口协议，并免费实现与环控系统进行对接。</w:t>
      </w:r>
    </w:p>
    <w:p>
      <w:pPr>
        <w:numPr>
          <w:ilvl w:val="0"/>
          <w:numId w:val="3"/>
        </w:numPr>
        <w:spacing w:line="360" w:lineRule="auto"/>
        <w:ind w:left="200" w:leftChars="0" w:firstLine="640" w:firstLineChars="0"/>
        <w:rPr>
          <w:rFonts w:hint="eastAsia" w:ascii="宋体" w:hAnsi="宋体" w:eastAsia="宋体" w:cs="宋体"/>
          <w:sz w:val="28"/>
          <w:szCs w:val="28"/>
          <w:lang w:eastAsia="zh-CN"/>
        </w:rPr>
      </w:pPr>
      <w:r>
        <w:rPr>
          <w:rFonts w:hint="eastAsia" w:ascii="宋体" w:hAnsi="宋体" w:eastAsia="宋体" w:cs="宋体"/>
          <w:sz w:val="28"/>
          <w:szCs w:val="28"/>
          <w:lang w:val="en-US" w:eastAsia="zh-CN"/>
        </w:rPr>
        <w:t>蓄电池产品不得采用贴牌产品参与投标。</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须提供电池生产厂的ISO9001、ISO14001认证证书、泰尔认证证书等相关资质证明材料。</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蓄电池类型：12V阀控式密封铅酸蓄电池产品，规格：12V-100AH。</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蓄电池5年原厂质量承诺函和原产地证明，要求提供生产厂家盖章的证明材料。</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蓄电池为长寿命类型，电压为12V；温度25℃时，设计浮充寿命≥8年。</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蓄电池产品必须通过泰尔认证中心认证，并提供相关检验报告。</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蓄电池电性能特点：浮充电压：25℃备用时2.27V/cell，均充电压：2.35V/cell；最大充电电流：0.15C20A，充电电压温度补偿系数：-2.5mV/℃/cell；自放电（25℃）：&lt;4%/月。</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蓄电池板栅要求：高纯度多合金板栅；最小限度的板栅生长和较强的耐腐蚀性能；电解液完全吸附于多微孔低内阻AGM隔板中。</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蓄电池外壳选用PP或ABS材料，阻燃等级为V0级，同时提供阻燃检测报告。蓄电池槽、壳、盖、极柱封口剂等均采用阻燃性材料。</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蓄电池须防泄露端子密封设计，防止在一个较宽的温度范围内的酸渗漏。</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蓄电池每个单格都</w:t>
      </w:r>
      <w:r>
        <w:rPr>
          <w:rFonts w:hint="eastAsia" w:ascii="宋体" w:hAnsi="宋体" w:eastAsia="宋体" w:cs="宋体"/>
          <w:sz w:val="28"/>
          <w:szCs w:val="28"/>
          <w:lang w:eastAsia="zh-CN"/>
        </w:rPr>
        <w:t>须</w:t>
      </w:r>
      <w:r>
        <w:rPr>
          <w:rFonts w:hint="eastAsia" w:ascii="宋体" w:hAnsi="宋体" w:eastAsia="宋体" w:cs="宋体"/>
          <w:sz w:val="28"/>
          <w:szCs w:val="28"/>
          <w:lang w:val="en-US" w:eastAsia="zh-CN"/>
        </w:rPr>
        <w:t>装有单向阀，单向阀在10～35Kpa时开启，5～25Kpa时关闭，过充时允许气体排出，滤气片阻止了火花和明火进入电池内部。</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蓄电池自放电每月（25℃）小于3%，允许最长6个月的贮存期。</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蓄电池自放电损失：完全充电的蓄电池0.1CA充电48小时,无漏液,无电池膨胀及破裂,开路电压正常，在25±5℃的环境中，静置28天后，其容量保持率不低于96％。</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电池密封反应效率不低于95％。</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蓄电池能承受50kPa的正压或负压而不破裂，压力释放后壳体无残余变形，完全充电状态的电池完全固定,以4mm的振幅,16.7Hz的频率震动1小时,无漏液,无电池膨胀及破裂,开路电压正常。</w:t>
      </w:r>
    </w:p>
    <w:p>
      <w:pPr>
        <w:numPr>
          <w:ilvl w:val="0"/>
          <w:numId w:val="3"/>
        </w:numPr>
        <w:spacing w:line="360" w:lineRule="auto"/>
        <w:ind w:left="200" w:leftChars="0"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提供蓄电池0%和100%深度放电后充电特性曲线表。</w:t>
      </w:r>
    </w:p>
    <w:p>
      <w:pPr>
        <w:numPr>
          <w:ilvl w:val="0"/>
          <w:numId w:val="0"/>
        </w:numPr>
        <w:snapToGrid w:val="0"/>
        <w:spacing w:beforeLines="0" w:afterLines="0" w:line="360" w:lineRule="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sz w:val="28"/>
          <w:szCs w:val="28"/>
          <w:lang w:val="en-US" w:eastAsia="zh-CN"/>
        </w:rPr>
        <w:t>蓄电池耐大电流性:完全充电状态的电池2CA放电5分钟或10CA放电5秒钟。无导电部分熔断,无外观变形。</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leftChars="0"/>
        <w:textAlignment w:val="auto"/>
        <w:rPr>
          <w:rFonts w:hint="eastAsia" w:ascii="宋体" w:hAnsi="宋体" w:eastAsia="宋体" w:cs="宋体"/>
          <w:b/>
          <w:bCs/>
          <w:color w:val="auto"/>
          <w:sz w:val="28"/>
          <w:szCs w:val="28"/>
          <w:lang w:val="en-US" w:eastAsia="zh-CN"/>
        </w:rPr>
      </w:pPr>
    </w:p>
    <w:p>
      <w:pPr>
        <w:pStyle w:val="9"/>
        <w:spacing w:before="0" w:beforeAutospacing="0" w:after="0" w:afterAutospacing="0" w:line="360" w:lineRule="auto"/>
        <w:ind w:firstLine="562" w:firstLineChars="200"/>
        <w:rPr>
          <w:rFonts w:hint="eastAsia" w:ascii="宋体" w:hAnsi="宋体" w:eastAsia="宋体" w:cs="宋体"/>
          <w:b/>
          <w:bCs/>
          <w:color w:val="auto"/>
          <w:sz w:val="28"/>
          <w:szCs w:val="28"/>
          <w:lang w:val="en-US" w:eastAsia="zh-CN"/>
        </w:rPr>
      </w:pPr>
      <w:r>
        <w:rPr>
          <w:rStyle w:val="13"/>
          <w:rFonts w:hint="eastAsia" w:cs="宋体"/>
          <w:color w:val="auto"/>
          <w:sz w:val="28"/>
          <w:szCs w:val="28"/>
          <w:lang w:eastAsia="zh-CN"/>
        </w:rPr>
        <w:t>三</w:t>
      </w:r>
      <w:r>
        <w:rPr>
          <w:rStyle w:val="13"/>
          <w:rFonts w:hint="eastAsia" w:ascii="宋体" w:hAnsi="宋体" w:eastAsia="宋体" w:cs="宋体"/>
          <w:color w:val="auto"/>
          <w:sz w:val="28"/>
          <w:szCs w:val="28"/>
        </w:rPr>
        <w:t>、</w:t>
      </w:r>
      <w:r>
        <w:rPr>
          <w:rFonts w:hint="eastAsia" w:ascii="宋体" w:hAnsi="宋体" w:eastAsia="宋体" w:cs="宋体"/>
          <w:b/>
          <w:bCs/>
          <w:color w:val="auto"/>
          <w:sz w:val="28"/>
          <w:szCs w:val="28"/>
          <w:lang w:val="en-US" w:eastAsia="zh-CN"/>
        </w:rPr>
        <w:t>售后服务</w:t>
      </w:r>
      <w:r>
        <w:rPr>
          <w:rFonts w:hint="eastAsia" w:cs="宋体"/>
          <w:b/>
          <w:bCs/>
          <w:color w:val="auto"/>
          <w:sz w:val="28"/>
          <w:szCs w:val="28"/>
          <w:lang w:val="en-US" w:eastAsia="zh-CN"/>
        </w:rPr>
        <w:t>及安装要求</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安装服务：供应商须对所投产品提供供货、运输、卸货、二次搬运、安装、调试、配合联调等全流程服务，相关费用须包含在投标价中。</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维保服务：提供5年7*24小时原厂维保服务及相应证明材料。</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换新服务：质保期内，如蓄电池出现严重故障（外壳大幅变形、电池槽/盖开裂、严重漏液、单格短路等）或大幅性能下降（电池容量将至额定容量的80%、内阻达200%验收内阻基准值等），供应商须免费更换同型号的全新电池，从确定测量结果到新电池到货不得大于2周。电池换新服务须包含旧电池拆卸搬运和新电池搬运安装。</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服务：提供备件先行服务，设置专职维修工程师。接报故障通知后30分钟内快速响应，2小时内给出技术解决方案，到达现场时间不超过8小时，24小时内解决故障。在保修期外提供长期的免费咨询服务，技术维护服务可适当收取费用。</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服务：在采购人提出技术培训需求时，供应商须免费响应，并免费提供有关教材。要求在采购人现场对操作、维修人员进行技术培训，直至采购人的人员能独立操作为止。技术培训须包括安装及硬件维护、应用异常处理等培训。</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须根据现场踏勘情况提供蓄电池和电池架的摆放方案。</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系统升级与更新服务：当设备厂家发布新版部件后，提供对系统性能有较大改善或可能减少系统故障的补充部件，有计划的对所有系统进行升级更新。</w:t>
      </w:r>
    </w:p>
    <w:p>
      <w:pPr>
        <w:numPr>
          <w:ilvl w:val="0"/>
          <w:numId w:val="4"/>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质保期/维保期内须提供每年1次的设备巡检服务，内容须包括后备电池检测性放电、后备电池内阻测量、系统状态检查、连接点紧固、机组除尘、对设备内主要部件进行静态测试等工作，并提供巡检报告，巡检服务须为原厂或原厂授权的专业服务商提供。</w:t>
      </w:r>
    </w:p>
    <w:p>
      <w:pPr>
        <w:keepNext w:val="0"/>
        <w:keepLines w:val="0"/>
        <w:widowControl/>
        <w:numPr>
          <w:ilvl w:val="0"/>
          <w:numId w:val="4"/>
        </w:numPr>
        <w:suppressLineNumbers w:val="0"/>
        <w:spacing w:line="360" w:lineRule="auto"/>
        <w:ind w:firstLine="560" w:firstLineChars="200"/>
        <w:jc w:val="left"/>
        <w:rPr>
          <w:rFonts w:hint="eastAsia" w:ascii="仿宋_GB2312" w:hAnsi="仿宋_GB2312" w:eastAsia="仿宋_GB2312" w:cs="仿宋_GB2312"/>
          <w:sz w:val="32"/>
          <w:szCs w:val="32"/>
        </w:rPr>
      </w:pPr>
      <w:r>
        <w:rPr>
          <w:rFonts w:hint="eastAsia" w:ascii="宋体" w:hAnsi="宋体" w:eastAsia="宋体" w:cs="宋体"/>
          <w:i w:val="0"/>
          <w:caps w:val="0"/>
          <w:spacing w:val="0"/>
          <w:kern w:val="2"/>
          <w:sz w:val="28"/>
          <w:szCs w:val="28"/>
          <w:shd w:val="clear"/>
          <w:lang w:val="en-US" w:eastAsia="zh-CN" w:bidi="ar"/>
        </w:rPr>
        <w:t>定时反馈风险漏洞、软件版本缺陷情况。</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pStyle w:val="9"/>
        <w:spacing w:before="0" w:beforeAutospacing="0" w:after="0" w:afterAutospacing="0" w:line="360" w:lineRule="auto"/>
        <w:ind w:firstLine="562" w:firstLineChars="200"/>
        <w:rPr>
          <w:rStyle w:val="13"/>
          <w:rFonts w:hint="eastAsia" w:ascii="Times New Roman" w:hAnsi="Times New Roman" w:cs="宋体"/>
          <w:color w:val="auto"/>
          <w:sz w:val="28"/>
          <w:szCs w:val="28"/>
          <w:lang w:val="en-US" w:eastAsia="zh-CN"/>
        </w:rPr>
      </w:pPr>
      <w:r>
        <w:rPr>
          <w:rStyle w:val="13"/>
          <w:rFonts w:hint="eastAsia" w:ascii="Times New Roman" w:hAnsi="Times New Roman" w:cs="宋体"/>
          <w:color w:val="auto"/>
          <w:sz w:val="28"/>
          <w:szCs w:val="28"/>
          <w:lang w:val="en-US" w:eastAsia="zh-CN"/>
        </w:rPr>
        <w:t>四、交付物要求</w:t>
      </w:r>
    </w:p>
    <w:p>
      <w:pPr>
        <w:numPr>
          <w:ilvl w:val="0"/>
          <w:numId w:val="0"/>
        </w:numPr>
        <w:snapToGrid w:val="0"/>
        <w:spacing w:beforeLines="0" w:afterLines="0" w:line="360" w:lineRule="auto"/>
        <w:ind w:firstLine="640"/>
        <w:rPr>
          <w:rFonts w:hint="eastAsia" w:ascii="宋体" w:hAnsi="宋体" w:eastAsia="宋体" w:cs="宋体"/>
          <w:b/>
          <w:bCs/>
          <w:color w:val="auto"/>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产品</w:t>
      </w:r>
      <w:r>
        <w:rPr>
          <w:rFonts w:hint="eastAsia" w:ascii="宋体" w:hAnsi="宋体" w:eastAsia="宋体" w:cs="宋体"/>
          <w:color w:val="000000" w:themeColor="text1"/>
          <w:sz w:val="28"/>
          <w:szCs w:val="28"/>
          <w:lang w:val="en-US" w:eastAsia="zh-CN"/>
          <w14:textFill>
            <w14:solidFill>
              <w14:schemeClr w14:val="tx1"/>
            </w14:solidFill>
          </w14:textFill>
        </w:rPr>
        <w:t>到</w:t>
      </w:r>
      <w:r>
        <w:rPr>
          <w:rFonts w:hint="eastAsia" w:ascii="宋体" w:hAnsi="宋体" w:eastAsia="宋体" w:cs="宋体"/>
          <w:color w:val="000000" w:themeColor="text1"/>
          <w:sz w:val="28"/>
          <w:szCs w:val="28"/>
          <w14:textFill>
            <w14:solidFill>
              <w14:schemeClr w14:val="tx1"/>
            </w14:solidFill>
          </w14:textFill>
        </w:rPr>
        <w:t>货、维护地点：</w:t>
      </w:r>
      <w:r>
        <w:rPr>
          <w:rFonts w:hint="eastAsia" w:ascii="宋体" w:hAnsi="宋体" w:eastAsia="宋体" w:cs="宋体"/>
          <w:color w:val="auto"/>
          <w:sz w:val="28"/>
          <w:szCs w:val="28"/>
          <w:highlight w:val="none"/>
          <w:lang w:eastAsia="zh-CN"/>
        </w:rPr>
        <w:t>浙江杭州</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项目相关人员不得通过私人邮箱、微信等发送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项目建设过程中接触到的所有资料，禁止将相关材料外泄至外网，须提供承诺函并加盖公章。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pStyle w:val="19"/>
        <w:adjustRightInd w:val="0"/>
        <w:snapToGrid w:val="0"/>
        <w:spacing w:beforeLines="0" w:afterLines="0" w:line="360" w:lineRule="auto"/>
        <w:rPr>
          <w:rFonts w:hint="eastAsia" w:ascii="宋体" w:hAnsi="宋体" w:eastAsia="宋体" w:cs="宋体"/>
          <w:iCs/>
          <w:color w:val="auto"/>
          <w:sz w:val="28"/>
          <w:szCs w:val="28"/>
          <w:u w:val="none"/>
          <w:lang w:val="en-US" w:eastAsia="zh-CN"/>
        </w:rPr>
      </w:pPr>
      <w:r>
        <w:rPr>
          <w:rFonts w:hint="eastAsia" w:ascii="宋体" w:hAnsi="宋体" w:eastAsia="宋体" w:cs="宋体"/>
          <w:b/>
          <w:bCs/>
          <w:color w:val="auto"/>
          <w:kern w:val="0"/>
          <w:sz w:val="28"/>
          <w:szCs w:val="28"/>
          <w:lang w:val="en-US" w:eastAsia="zh-CN" w:bidi="ar-SA"/>
        </w:rPr>
        <w:t>1.</w:t>
      </w:r>
      <w:r>
        <w:rPr>
          <w:rFonts w:hint="eastAsia" w:ascii="宋体" w:hAnsi="宋体" w:eastAsia="宋体" w:cs="宋体"/>
          <w:iCs/>
          <w:color w:val="auto"/>
          <w:sz w:val="28"/>
          <w:szCs w:val="28"/>
          <w:u w:val="none"/>
          <w:lang w:val="en-US" w:eastAsia="zh-CN"/>
        </w:rPr>
        <w:t>具有独立承担民事责任的能力，提供营业执照复印件并加盖公章。</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b/>
          <w:bCs/>
          <w:color w:val="auto"/>
          <w:kern w:val="0"/>
          <w:sz w:val="28"/>
          <w:szCs w:val="28"/>
          <w:lang w:val="en-US" w:eastAsia="zh-CN" w:bidi="ar-SA"/>
        </w:rPr>
        <w:t>2.</w:t>
      </w:r>
      <w:r>
        <w:rPr>
          <w:rFonts w:hint="eastAsia" w:ascii="宋体" w:hAnsi="宋体" w:eastAsia="宋体" w:cs="宋体"/>
          <w:i w:val="0"/>
          <w:iCs w:val="0"/>
          <w:caps w:val="0"/>
          <w:color w:val="auto"/>
          <w:spacing w:val="0"/>
          <w:sz w:val="28"/>
          <w:szCs w:val="28"/>
          <w:lang w:val="en-US" w:eastAsia="zh-CN"/>
        </w:rPr>
        <w:t>供应商</w:t>
      </w:r>
      <w:r>
        <w:rPr>
          <w:rFonts w:hint="eastAsia" w:ascii="宋体" w:hAnsi="宋体" w:eastAsia="宋体" w:cs="宋体"/>
          <w:i w:val="0"/>
          <w:iCs w:val="0"/>
          <w:caps w:val="0"/>
          <w:color w:val="auto"/>
          <w:spacing w:val="0"/>
          <w:sz w:val="28"/>
          <w:szCs w:val="28"/>
        </w:rPr>
        <w:t>具有良好的经营声誉，公司在最近三年经营活动中无重大违法、不良信用记录。</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lang w:val="en-US" w:eastAsia="zh-CN"/>
        </w:rPr>
        <w:t>提供声明函及佐证材料，并加盖公章，佐证材料参考：</w:t>
      </w:r>
      <w:r>
        <w:rPr>
          <w:rFonts w:hint="eastAsia" w:ascii="宋体" w:hAnsi="宋体" w:eastAsia="宋体" w:cs="宋体"/>
          <w:color w:val="auto"/>
          <w:sz w:val="28"/>
          <w:szCs w:val="28"/>
        </w:rPr>
        <w:t>“信用中国”（www.creditchina.gov.cn)网站截图附后：未被列入“失信被执行人”</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未被列入“重大税收违法失信主体”</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未被列入“政府采购活动严重违法失信行为记录名单”</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r>
        <w:rPr>
          <w:rFonts w:hint="eastAsia" w:ascii="宋体" w:hAnsi="宋体" w:eastAsia="宋体" w:cs="宋体"/>
          <w:i w:val="0"/>
          <w:iCs w:val="0"/>
          <w:caps w:val="0"/>
          <w:color w:val="auto"/>
          <w:spacing w:val="0"/>
          <w:sz w:val="28"/>
          <w:szCs w:val="28"/>
          <w:lang w:eastAsia="zh-CN"/>
        </w:rPr>
        <w:t>）</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r>
        <w:rPr>
          <w:rStyle w:val="13"/>
          <w:rFonts w:hint="eastAsia" w:ascii="宋体" w:hAnsi="宋体" w:eastAsia="宋体" w:cs="宋体"/>
          <w:b w:val="0"/>
          <w:i w:val="0"/>
          <w:iCs/>
          <w:color w:val="auto"/>
          <w:kern w:val="2"/>
          <w:sz w:val="28"/>
          <w:szCs w:val="28"/>
          <w:lang w:val="en-US" w:eastAsia="zh-CN" w:bidi="ar-SA"/>
        </w:rPr>
        <w:t>备注：本项目不接受联合体报名，不接受转包、分包。</w:t>
      </w:r>
    </w:p>
    <w:p>
      <w:pPr>
        <w:rPr>
          <w:rFonts w:hint="eastAsia" w:ascii="宋体" w:hAnsi="宋体" w:eastAsia="宋体" w:cs="宋体"/>
          <w:b/>
          <w:bCs/>
          <w:i w:val="0"/>
          <w:iCs w:val="0"/>
          <w:caps w:val="0"/>
          <w:color w:val="auto"/>
          <w:spacing w:val="0"/>
          <w:sz w:val="28"/>
          <w:szCs w:val="28"/>
          <w:lang w:val="en-US" w:eastAsia="zh-CN"/>
        </w:rPr>
      </w:pPr>
      <w:r>
        <w:rPr>
          <w:rFonts w:hint="eastAsia" w:ascii="宋体" w:hAnsi="宋体" w:eastAsia="宋体" w:cs="宋体"/>
          <w:b/>
          <w:bCs/>
          <w:i w:val="0"/>
          <w:iCs w:val="0"/>
          <w:caps w:val="0"/>
          <w:color w:val="auto"/>
          <w:spacing w:val="0"/>
          <w:sz w:val="28"/>
          <w:szCs w:val="28"/>
          <w:lang w:val="en-US" w:eastAsia="zh-CN"/>
        </w:rPr>
        <w:br w:type="page"/>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b/>
          <w:bCs/>
          <w:i w:val="0"/>
          <w:iCs w:val="0"/>
          <w:caps w:val="0"/>
          <w:color w:val="auto"/>
          <w:spacing w:val="0"/>
          <w:sz w:val="28"/>
          <w:szCs w:val="28"/>
          <w:lang w:val="en-US" w:eastAsia="zh-CN"/>
        </w:rPr>
        <w:t>声明函参考格式：</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参加采购活动前三年内（202</w:t>
      </w:r>
      <w:r>
        <w:rPr>
          <w:rFonts w:hint="eastAsia" w:cs="宋体"/>
          <w:i w:val="0"/>
          <w:iCs w:val="0"/>
          <w:caps w:val="0"/>
          <w:color w:val="auto"/>
          <w:spacing w:val="0"/>
          <w:sz w:val="28"/>
          <w:szCs w:val="28"/>
          <w:lang w:val="en-US" w:eastAsia="zh-CN"/>
        </w:rPr>
        <w:t>2</w:t>
      </w:r>
      <w:r>
        <w:rPr>
          <w:rFonts w:hint="eastAsia" w:ascii="宋体" w:hAnsi="宋体" w:eastAsia="宋体" w:cs="宋体"/>
          <w:i w:val="0"/>
          <w:iCs w:val="0"/>
          <w:caps w:val="0"/>
          <w:color w:val="auto"/>
          <w:spacing w:val="0"/>
          <w:sz w:val="28"/>
          <w:szCs w:val="28"/>
          <w:lang w:val="en-US" w:eastAsia="zh-CN"/>
        </w:rPr>
        <w:t>年</w:t>
      </w:r>
      <w:r>
        <w:rPr>
          <w:rFonts w:hint="eastAsia" w:cs="宋体"/>
          <w:i w:val="0"/>
          <w:iCs w:val="0"/>
          <w:caps w:val="0"/>
          <w:color w:val="auto"/>
          <w:spacing w:val="0"/>
          <w:sz w:val="28"/>
          <w:szCs w:val="28"/>
          <w:lang w:val="en-US" w:eastAsia="zh-CN"/>
        </w:rPr>
        <w:t>7</w:t>
      </w:r>
      <w:r>
        <w:rPr>
          <w:rFonts w:hint="eastAsia" w:ascii="宋体" w:hAnsi="宋体" w:eastAsia="宋体" w:cs="宋体"/>
          <w:i w:val="0"/>
          <w:iCs w:val="0"/>
          <w:caps w:val="0"/>
          <w:color w:val="auto"/>
          <w:spacing w:val="0"/>
          <w:sz w:val="28"/>
          <w:szCs w:val="28"/>
          <w:lang w:val="en-US" w:eastAsia="zh-CN"/>
        </w:rPr>
        <w:t>月至今）在经营活动中没有重大违法记录的书面声明</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致：浙商银行股份有限公司</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我公司郑重承诺在参加本项目采购活动前三年内，在经营活动中   （填写“有”或“没有”，如实填写，如不填写视同未提供本声明函）重大违法记录，重大违法记录是指投标人因违法经营受到刑事处罚或者责令停产停业、吊销许可证或者执照、较大数额罚款等行政处罚。</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以上事项如有虚假或隐瞒，我方愿意承担一切后果和责任。</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特此声明。</w:t>
      </w:r>
    </w:p>
    <w:p>
      <w:pPr>
        <w:pStyle w:val="9"/>
        <w:keepNext w:val="0"/>
        <w:keepLines w:val="0"/>
        <w:widowControl/>
        <w:spacing w:before="0" w:after="0" w:line="288" w:lineRule="atLeast"/>
        <w:ind w:firstLine="640"/>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供应商名称（盖章）：</w:t>
      </w:r>
    </w:p>
    <w:p>
      <w:pPr>
        <w:pStyle w:val="9"/>
        <w:keepNext w:val="0"/>
        <w:keepLines w:val="0"/>
        <w:widowControl/>
        <w:spacing w:before="0" w:after="0" w:line="288" w:lineRule="atLeast"/>
        <w:ind w:firstLine="640"/>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     年   月   日</w:t>
      </w: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Style w:val="13"/>
          <w:rFonts w:hint="eastAsia" w:ascii="宋体" w:hAnsi="宋体" w:eastAsia="宋体" w:cs="宋体"/>
          <w:color w:val="auto"/>
          <w:sz w:val="28"/>
          <w:szCs w:val="28"/>
        </w:rPr>
      </w:pPr>
      <w:r>
        <w:rPr>
          <w:rStyle w:val="13"/>
          <w:rFonts w:hint="eastAsia" w:cs="宋体"/>
          <w:color w:val="auto"/>
          <w:sz w:val="28"/>
          <w:szCs w:val="28"/>
          <w:lang w:eastAsia="zh-CN"/>
        </w:rPr>
        <w:t>四</w:t>
      </w:r>
      <w:r>
        <w:rPr>
          <w:rStyle w:val="13"/>
          <w:rFonts w:hint="eastAsia" w:ascii="宋体" w:hAnsi="宋体" w:eastAsia="宋体" w:cs="宋体"/>
          <w:color w:val="auto"/>
          <w:sz w:val="28"/>
          <w:szCs w:val="28"/>
        </w:rPr>
        <w:t>、报名截止时间和方式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8</w:t>
      </w:r>
      <w:r>
        <w:rPr>
          <w:rFonts w:hint="eastAsia" w:ascii="宋体" w:hAnsi="宋体" w:eastAsia="宋体" w:cs="宋体"/>
          <w:iCs/>
          <w:color w:val="auto"/>
          <w:sz w:val="28"/>
          <w:szCs w:val="28"/>
        </w:rPr>
        <w:t>月</w:t>
      </w:r>
      <w:r>
        <w:rPr>
          <w:rFonts w:hint="eastAsia" w:cs="宋体"/>
          <w:iCs/>
          <w:color w:val="auto"/>
          <w:sz w:val="28"/>
          <w:szCs w:val="28"/>
          <w:lang w:val="en-US" w:eastAsia="zh-CN"/>
        </w:rPr>
        <w:t>6</w:t>
      </w:r>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w:t>
      </w:r>
      <w:r>
        <w:rPr>
          <w:rFonts w:hint="eastAsia" w:cs="宋体"/>
          <w:iCs/>
          <w:color w:val="auto"/>
          <w:sz w:val="28"/>
          <w:szCs w:val="28"/>
          <w:lang w:eastAsia="zh-CN"/>
        </w:rPr>
        <w:t>资格条件</w:t>
      </w:r>
      <w:r>
        <w:rPr>
          <w:rFonts w:hint="eastAsia" w:ascii="宋体" w:hAnsi="宋体" w:eastAsia="宋体" w:cs="宋体"/>
          <w:iCs/>
          <w:color w:val="auto"/>
          <w:sz w:val="28"/>
          <w:szCs w:val="28"/>
        </w:rPr>
        <w:t>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cs="宋体"/>
          <w:iCs/>
          <w:color w:val="auto"/>
          <w:sz w:val="28"/>
          <w:szCs w:val="28"/>
          <w:lang w:val="en-US" w:eastAsia="zh-CN"/>
        </w:rPr>
        <w:t>姜先生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0571-57191</w:t>
      </w:r>
      <w:r>
        <w:rPr>
          <w:rFonts w:hint="eastAsia" w:cs="宋体"/>
          <w:iCs/>
          <w:color w:val="auto"/>
          <w:sz w:val="28"/>
          <w:szCs w:val="28"/>
          <w:lang w:val="en-US" w:eastAsia="zh-CN"/>
        </w:rPr>
        <w:t>285</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cs="宋体"/>
          <w:color w:val="auto"/>
          <w:sz w:val="28"/>
          <w:szCs w:val="28"/>
          <w:lang w:eastAsia="zh-CN"/>
        </w:rPr>
        <w:t>五</w:t>
      </w:r>
      <w:r>
        <w:rPr>
          <w:rStyle w:val="13"/>
          <w:rFonts w:hint="eastAsia" w:ascii="宋体" w:hAnsi="宋体" w:eastAsia="宋体" w:cs="宋体"/>
          <w:color w:val="auto"/>
          <w:sz w:val="28"/>
          <w:szCs w:val="28"/>
        </w:rPr>
        <w:t>、注意事项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附件：《浙商银行股份有限公司三宏国际大厦UPS、电池</w:t>
      </w:r>
      <w:r>
        <w:rPr>
          <w:rFonts w:hint="eastAsia" w:ascii="宋体" w:hAnsi="宋体" w:eastAsia="宋体" w:cs="宋体"/>
          <w:bCs/>
          <w:color w:val="auto"/>
          <w:kern w:val="0"/>
          <w:sz w:val="28"/>
          <w:szCs w:val="28"/>
          <w:lang w:val="en-US" w:eastAsia="zh-CN"/>
        </w:rPr>
        <w:t>项</w:t>
      </w:r>
      <w:r>
        <w:rPr>
          <w:rFonts w:hint="eastAsia" w:ascii="宋体" w:hAnsi="宋体" w:eastAsia="宋体" w:cs="宋体"/>
          <w:iCs/>
          <w:color w:val="auto"/>
          <w:kern w:val="0"/>
          <w:sz w:val="28"/>
          <w:szCs w:val="28"/>
          <w:lang w:val="en-US" w:eastAsia="zh-CN" w:bidi="ar-SA"/>
        </w:rPr>
        <w:t>目潜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ind w:right="159"/>
        <w:jc w:val="left"/>
        <w:outlineLvl w:val="2"/>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 w:name="_GoBack"/>
      <w:bookmarkEnd w:id="1"/>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浙商银行三宏国际大厦UPS、电池</w:t>
      </w:r>
      <w:r>
        <w:rPr>
          <w:rFonts w:hint="eastAsia" w:ascii="宋体" w:hAnsi="宋体" w:eastAsia="宋体" w:cs="宋体"/>
          <w:color w:val="auto"/>
          <w:sz w:val="44"/>
          <w:szCs w:val="44"/>
          <w:lang w:val="en-US" w:eastAsia="zh-CN"/>
        </w:rPr>
        <w:t>项目潜在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6299B"/>
    <w:multiLevelType w:val="singleLevel"/>
    <w:tmpl w:val="AB96299B"/>
    <w:lvl w:ilvl="0" w:tentative="0">
      <w:start w:val="1"/>
      <w:numFmt w:val="decimal"/>
      <w:suff w:val="nothing"/>
      <w:lvlText w:val="（%1）"/>
      <w:lvlJc w:val="left"/>
      <w:pPr>
        <w:ind w:left="200"/>
      </w:pPr>
    </w:lvl>
  </w:abstractNum>
  <w:abstractNum w:abstractNumId="1">
    <w:nsid w:val="DFFA80BA"/>
    <w:multiLevelType w:val="singleLevel"/>
    <w:tmpl w:val="DFFA80BA"/>
    <w:lvl w:ilvl="0" w:tentative="0">
      <w:start w:val="1"/>
      <w:numFmt w:val="decimal"/>
      <w:suff w:val="nothing"/>
      <w:lvlText w:val="（%1）"/>
      <w:lvlJc w:val="left"/>
      <w:pPr>
        <w:ind w:left="-10"/>
      </w:pPr>
    </w:lvl>
  </w:abstractNum>
  <w:abstractNum w:abstractNumId="2">
    <w:nsid w:val="F5D3B99C"/>
    <w:multiLevelType w:val="singleLevel"/>
    <w:tmpl w:val="F5D3B99C"/>
    <w:lvl w:ilvl="0" w:tentative="0">
      <w:start w:val="1"/>
      <w:numFmt w:val="decimal"/>
      <w:suff w:val="nothing"/>
      <w:lvlText w:val="（%1）"/>
      <w:lvlJc w:val="left"/>
    </w:lvl>
  </w:abstractNum>
  <w:abstractNum w:abstractNumId="3">
    <w:nsid w:val="3B4E08E1"/>
    <w:multiLevelType w:val="singleLevel"/>
    <w:tmpl w:val="3B4E08E1"/>
    <w:lvl w:ilvl="0" w:tentative="0">
      <w:start w:val="1"/>
      <w:numFmt w:val="decimal"/>
      <w:suff w:val="nothing"/>
      <w:lvlText w:val="（%1）"/>
      <w:lvlJc w:val="left"/>
      <w:pPr>
        <w:ind w:left="-1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67E55"/>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0E02D7"/>
    <w:rsid w:val="10B647F9"/>
    <w:rsid w:val="10E8636D"/>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EEFBF38"/>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CF776A0"/>
    <w:rsid w:val="3D4E699A"/>
    <w:rsid w:val="3D706EFA"/>
    <w:rsid w:val="3DEA3440"/>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4FF74DA6"/>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AC2428"/>
    <w:rsid w:val="60F31A2A"/>
    <w:rsid w:val="61C379F2"/>
    <w:rsid w:val="625C216F"/>
    <w:rsid w:val="626E6459"/>
    <w:rsid w:val="64654742"/>
    <w:rsid w:val="649F3623"/>
    <w:rsid w:val="64E9279D"/>
    <w:rsid w:val="66025468"/>
    <w:rsid w:val="66373E26"/>
    <w:rsid w:val="665A38F8"/>
    <w:rsid w:val="670D6C1F"/>
    <w:rsid w:val="67C11F46"/>
    <w:rsid w:val="6842701C"/>
    <w:rsid w:val="68520372"/>
    <w:rsid w:val="69AB2D6B"/>
    <w:rsid w:val="6A345460"/>
    <w:rsid w:val="6A6E2AA9"/>
    <w:rsid w:val="6A77474D"/>
    <w:rsid w:val="6B221653"/>
    <w:rsid w:val="6BAC7F32"/>
    <w:rsid w:val="6BB85BE3"/>
    <w:rsid w:val="6C733CAF"/>
    <w:rsid w:val="6D54FD2D"/>
    <w:rsid w:val="6D706919"/>
    <w:rsid w:val="6DA06B15"/>
    <w:rsid w:val="6E445689"/>
    <w:rsid w:val="6E505F87"/>
    <w:rsid w:val="6E9F14CB"/>
    <w:rsid w:val="6EF755EB"/>
    <w:rsid w:val="6FEF05EC"/>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F82FD0"/>
    <w:rsid w:val="741B228B"/>
    <w:rsid w:val="746074FC"/>
    <w:rsid w:val="748F004B"/>
    <w:rsid w:val="74BE5317"/>
    <w:rsid w:val="74EFCDAA"/>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B236D8"/>
    <w:rsid w:val="7AB968E7"/>
    <w:rsid w:val="7ABBC20A"/>
    <w:rsid w:val="7ACD0BC4"/>
    <w:rsid w:val="7B186645"/>
    <w:rsid w:val="7B556765"/>
    <w:rsid w:val="7BCA1FA7"/>
    <w:rsid w:val="7CA26407"/>
    <w:rsid w:val="7CDD4BBA"/>
    <w:rsid w:val="7D4C0E1E"/>
    <w:rsid w:val="7D693D36"/>
    <w:rsid w:val="7D8B601E"/>
    <w:rsid w:val="7DE76A9E"/>
    <w:rsid w:val="7E69B779"/>
    <w:rsid w:val="7F77AFA1"/>
    <w:rsid w:val="7F8A69E7"/>
    <w:rsid w:val="7F9FC6F6"/>
    <w:rsid w:val="7FFC012D"/>
    <w:rsid w:val="9758F561"/>
    <w:rsid w:val="975AE2D0"/>
    <w:rsid w:val="9AF7118C"/>
    <w:rsid w:val="ABD30FDE"/>
    <w:rsid w:val="ADFF9442"/>
    <w:rsid w:val="BF7F9E93"/>
    <w:rsid w:val="BFFC89CD"/>
    <w:rsid w:val="BFFD9CA3"/>
    <w:rsid w:val="D95E0322"/>
    <w:rsid w:val="DBADBE57"/>
    <w:rsid w:val="EF5DC196"/>
    <w:rsid w:val="EF9FF6E7"/>
    <w:rsid w:val="F7EFEFFE"/>
    <w:rsid w:val="F7FE9163"/>
    <w:rsid w:val="F9D7B812"/>
    <w:rsid w:val="FA2EC53F"/>
    <w:rsid w:val="FAFF7C83"/>
    <w:rsid w:val="FFD76C58"/>
    <w:rsid w:val="FFE5F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99"/>
    <w:pPr>
      <w:spacing w:line="360" w:lineRule="auto"/>
    </w:pPr>
  </w:style>
  <w:style w:type="paragraph" w:styleId="5">
    <w:name w:val="Body Text First Indent"/>
    <w:basedOn w:val="4"/>
    <w:qFormat/>
    <w:uiPriority w:val="0"/>
    <w:pPr>
      <w:ind w:firstLine="42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1</TotalTime>
  <ScaleCrop>false</ScaleCrop>
  <LinksUpToDate>false</LinksUpToDate>
  <CharactersWithSpaces>611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2024-06-23T17:10:00Z</dcterms:created>
  <dc:creator>石伟豪</dc:creator>
  <cp:lastModifiedBy>KJ01321</cp:lastModifiedBy>
  <cp:lastPrinted>2024-11-23T02:25:00Z</cp:lastPrinted>
  <dcterms:modified xsi:type="dcterms:W3CDTF">2025-07-31T01:52:58Z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C72B14184DAEFE5558E6AE6723A7CABB</vt:lpwstr>
  </property>
</Properties>
</file>